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25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79" w:lineRule="exact"/>
        <w:rPr>
          <w:sz w:val="24"/>
          <w:szCs w:val="24"/>
          <w:color w:val="auto"/>
        </w:rPr>
      </w:pPr>
    </w:p>
    <w:p>
      <w:pPr>
        <w:sectPr>
          <w:pgSz w:w="11900" w:h="16838" w:orient="portrait"/>
          <w:cols w:equalWidth="0" w:num="3">
            <w:col w:w="4380" w:space="720"/>
            <w:col w:w="2940" w:space="720"/>
            <w:col w:w="2440"/>
          </w:cols>
          <w:pgMar w:left="320" w:top="1440"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300" w:space="720"/>
            <w:col w:w="2900" w:space="720"/>
            <w:col w:w="2560"/>
          </w:cols>
          <w:pgMar w:left="320" w:top="1440" w:right="3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80" w:space="720"/>
            <w:col w:w="2800" w:space="720"/>
            <w:col w:w="2680"/>
          </w:cols>
          <w:pgMar w:left="320" w:top="1440" w:right="379" w:bottom="1440" w:gutter="0" w:footer="0" w:header="0"/>
          <w:type w:val="continuous"/>
        </w:sectPr>
      </w:pPr>
    </w:p>
    <w:p>
      <w:pPr>
        <w:spacing w:after="0" w:line="75" w:lineRule="exact"/>
        <w:rPr>
          <w:sz w:val="24"/>
          <w:szCs w:val="24"/>
          <w:color w:val="auto"/>
        </w:rPr>
      </w:pPr>
    </w:p>
    <w:p>
      <w:pPr>
        <w:ind w:left="1480"/>
        <w:spacing w:after="0"/>
        <w:tabs>
          <w:tab w:leader="none" w:pos="3240" w:val="left"/>
          <w:tab w:leader="none" w:pos="4240" w:val="left"/>
        </w:tabs>
        <w:rPr>
          <w:sz w:val="20"/>
          <w:szCs w:val="20"/>
          <w:color w:val="auto"/>
        </w:rPr>
      </w:pPr>
      <w:r>
        <w:rPr>
          <w:rFonts w:ascii="Times New Roman" w:cs="Times New Roman" w:eastAsia="Times New Roman" w:hAnsi="Times New Roman"/>
          <w:sz w:val="18"/>
          <w:szCs w:val="18"/>
          <w:b w:val="1"/>
          <w:bCs w:val="1"/>
          <w:color w:val="auto"/>
        </w:rPr>
        <w:t>110 West 44th Street,</w:t>
        <w:tab/>
        <w:t>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78" w:lineRule="exact"/>
        <w:rPr>
          <w:sz w:val="24"/>
          <w:szCs w:val="24"/>
          <w:color w:val="auto"/>
        </w:rPr>
      </w:pPr>
    </w:p>
    <w:p>
      <w:pPr>
        <w:sectPr>
          <w:pgSz w:w="11900" w:h="16838" w:orient="portrait"/>
          <w:cols w:equalWidth="0" w:num="2">
            <w:col w:w="6540" w:space="720"/>
            <w:col w:w="3940"/>
          </w:cols>
          <w:pgMar w:left="320" w:top="1440" w:right="37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60" w:space="720"/>
            <w:col w:w="4120"/>
          </w:cols>
          <w:pgMar w:left="320" w:top="1440" w:right="379" w:bottom="1440" w:gutter="0" w:footer="0" w:header="0"/>
          <w:type w:val="continuous"/>
        </w:sect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2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TTWO</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11" w:lineRule="exact"/>
        <w:rPr>
          <w:sz w:val="24"/>
          <w:szCs w:val="24"/>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3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21, 2026, Take-Two Interactive Software, Inc. (the “Company”) issued a press release announcing the financial results of the Company for its fourth fiscal quarter and fiscal year ended March 31, 2026. A copy of the press release is attached to this Current Report as Exhibit 99.1 and is incorporated by reference herein.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26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5" w:lineRule="exact"/>
        <w:rPr>
          <w:sz w:val="20"/>
          <w:szCs w:val="20"/>
          <w:color w:val="auto"/>
        </w:rPr>
      </w:pPr>
    </w:p>
    <w:p>
      <w:pPr>
        <w:ind w:left="1120" w:hanging="67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rFonts w:ascii="Times New Roman" w:cs="Times New Roman" w:eastAsia="Times New Roman" w:hAnsi="Times New Roman"/>
          <w:sz w:val="18"/>
          <w:szCs w:val="18"/>
          <w:color w:val="auto"/>
        </w:rPr>
      </w:pPr>
    </w:p>
    <w:p>
      <w:pPr>
        <w:ind w:left="1680" w:right="240" w:hanging="567"/>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99.1 Press Release dated May 21, 2026 relating to Take-Two Interactive Software, Inc.’s financial results for its fourth fiscal quarter and fiscal year ended March 31, 2026</w:t>
      </w:r>
    </w:p>
    <w:p>
      <w:pPr>
        <w:spacing w:after="0" w:line="1"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80"/>
          </w:cols>
          <w:pgMar w:left="320" w:top="1174"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wp:posOffset>
            </wp:positionV>
            <wp:extent cx="1268730" cy="126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3940" w:type="dxa"/>
            <w:vAlign w:val="bottom"/>
            <w:gridSpan w:val="3"/>
          </w:tcPr>
          <w:p>
            <w:pPr>
              <w:ind w:left="480"/>
              <w:spacing w:after="0"/>
              <w:rPr>
                <w:sz w:val="20"/>
                <w:szCs w:val="20"/>
                <w:color w:val="auto"/>
              </w:rPr>
            </w:pPr>
            <w:r>
              <w:rPr>
                <w:rFonts w:ascii="Arial" w:cs="Arial" w:eastAsia="Arial" w:hAnsi="Arial"/>
                <w:sz w:val="18"/>
                <w:szCs w:val="18"/>
                <w:b w:val="1"/>
                <w:bCs w:val="1"/>
                <w:color w:val="auto"/>
              </w:rPr>
              <w:t>FOR IMMEDIATE RELEASE</w:t>
            </w:r>
          </w:p>
        </w:tc>
      </w:tr>
      <w:tr>
        <w:trPr>
          <w:trHeight w:val="653"/>
        </w:trPr>
        <w:tc>
          <w:tcPr>
            <w:tcW w:w="434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48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411"/>
        </w:trPr>
        <w:tc>
          <w:tcPr>
            <w:tcW w:w="4340" w:type="dxa"/>
            <w:vAlign w:val="bottom"/>
          </w:tcPr>
          <w:p>
            <w:pPr>
              <w:spacing w:after="0"/>
              <w:rPr>
                <w:sz w:val="20"/>
                <w:szCs w:val="20"/>
                <w:color w:val="auto"/>
              </w:rPr>
            </w:pPr>
            <w:r>
              <w:rPr>
                <w:rFonts w:ascii="Arial" w:cs="Arial" w:eastAsia="Arial" w:hAnsi="Arial"/>
                <w:sz w:val="18"/>
                <w:szCs w:val="18"/>
                <w:color w:val="auto"/>
              </w:rPr>
              <w:t>(Investor Relations)</w:t>
            </w:r>
          </w:p>
        </w:tc>
        <w:tc>
          <w:tcPr>
            <w:tcW w:w="48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(Corporate Press)</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Nicole Shevins</w:t>
            </w:r>
          </w:p>
        </w:tc>
        <w:tc>
          <w:tcPr>
            <w:tcW w:w="48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Alan Lewis</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Senior Vice President</w:t>
            </w:r>
          </w:p>
        </w:tc>
        <w:tc>
          <w:tcPr>
            <w:tcW w:w="48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w w:val="99"/>
              </w:rPr>
              <w:t>Head of Global Corporate Communications</w:t>
            </w:r>
          </w:p>
        </w:tc>
      </w:tr>
      <w:tr>
        <w:trPr>
          <w:trHeight w:val="278"/>
        </w:trPr>
        <w:tc>
          <w:tcPr>
            <w:tcW w:w="4340" w:type="dxa"/>
            <w:vAlign w:val="bottom"/>
          </w:tcPr>
          <w:p>
            <w:pPr>
              <w:spacing w:after="0"/>
              <w:rPr>
                <w:sz w:val="20"/>
                <w:szCs w:val="20"/>
                <w:color w:val="auto"/>
              </w:rPr>
            </w:pPr>
            <w:r>
              <w:rPr>
                <w:rFonts w:ascii="Arial" w:cs="Arial" w:eastAsia="Arial" w:hAnsi="Arial"/>
                <w:sz w:val="18"/>
                <w:szCs w:val="18"/>
                <w:color w:val="auto"/>
              </w:rPr>
              <w:t>Investor Relations &amp; Corporate Communications</w:t>
            </w:r>
          </w:p>
        </w:tc>
        <w:tc>
          <w:tcPr>
            <w:tcW w:w="48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Take-Two Interactive Software, Inc.</w:t>
            </w:r>
          </w:p>
        </w:tc>
      </w:tr>
      <w:tr>
        <w:trPr>
          <w:trHeight w:val="270"/>
        </w:trPr>
        <w:tc>
          <w:tcPr>
            <w:tcW w:w="4340" w:type="dxa"/>
            <w:vAlign w:val="bottom"/>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2820" w:type="dxa"/>
            <w:vAlign w:val="bottom"/>
            <w:gridSpan w:val="2"/>
          </w:tcPr>
          <w:p>
            <w:pPr>
              <w:ind w:left="500"/>
              <w:spacing w:after="0"/>
              <w:rPr>
                <w:sz w:val="20"/>
                <w:szCs w:val="20"/>
                <w:color w:val="auto"/>
              </w:rPr>
            </w:pPr>
            <w:r>
              <w:rPr>
                <w:rFonts w:ascii="Arial" w:cs="Arial" w:eastAsia="Arial" w:hAnsi="Arial"/>
                <w:sz w:val="18"/>
                <w:szCs w:val="18"/>
                <w:color w:val="auto"/>
              </w:rPr>
              <w:t>(646) 536-2983</w:t>
            </w:r>
          </w:p>
        </w:tc>
        <w:tc>
          <w:tcPr>
            <w:tcW w:w="1120" w:type="dxa"/>
            <w:vAlign w:val="bottom"/>
          </w:tcPr>
          <w:p>
            <w:pPr>
              <w:spacing w:after="0"/>
              <w:rPr>
                <w:sz w:val="23"/>
                <w:szCs w:val="23"/>
                <w:color w:val="auto"/>
              </w:rPr>
            </w:pPr>
          </w:p>
        </w:tc>
      </w:tr>
      <w:tr>
        <w:trPr>
          <w:trHeight w:val="262"/>
        </w:trPr>
        <w:tc>
          <w:tcPr>
            <w:tcW w:w="4340" w:type="dxa"/>
            <w:vAlign w:val="bottom"/>
          </w:tcPr>
          <w:p>
            <w:pPr>
              <w:spacing w:after="0"/>
              <w:rPr>
                <w:sz w:val="20"/>
                <w:szCs w:val="20"/>
                <w:color w:val="auto"/>
              </w:rPr>
            </w:pPr>
            <w:r>
              <w:rPr>
                <w:rFonts w:ascii="Arial" w:cs="Arial" w:eastAsia="Arial" w:hAnsi="Arial"/>
                <w:sz w:val="18"/>
                <w:szCs w:val="18"/>
                <w:color w:val="auto"/>
              </w:rPr>
              <w:t>(646) 536-3005</w:t>
            </w:r>
          </w:p>
        </w:tc>
        <w:tc>
          <w:tcPr>
            <w:tcW w:w="480" w:type="dxa"/>
            <w:vAlign w:val="bottom"/>
          </w:tcPr>
          <w:p>
            <w:pPr>
              <w:spacing w:after="0"/>
              <w:rPr>
                <w:sz w:val="22"/>
                <w:szCs w:val="22"/>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Alan.Lewis@take2games.com</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Nicole.Shevins@take2games.com</w:t>
            </w:r>
          </w:p>
        </w:tc>
        <w:tc>
          <w:tcPr>
            <w:tcW w:w="4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Take-Two Interactive Software, Inc. Reports Results for Fourth Quarter and Fiscal Year 2026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$1.58 billion fiscal fourth quarter Net Bookings, above Company's guidance range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$6.72 billion fiscal year 2026 Net Bookings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Initial outlook for fiscal 2027 includes Net Bookings of $8.0 to $8.2 billion</w:t>
      </w:r>
    </w:p>
    <w:p>
      <w:pPr>
        <w:spacing w:after="0" w:line="200" w:lineRule="exact"/>
        <w:rPr>
          <w:sz w:val="20"/>
          <w:szCs w:val="20"/>
          <w:color w:val="auto"/>
        </w:rPr>
      </w:pPr>
    </w:p>
    <w:p>
      <w:pPr>
        <w:spacing w:after="0" w:line="275"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b w:val="1"/>
          <w:bCs w:val="1"/>
          <w:u w:val="single" w:color="auto"/>
          <w:color w:val="auto"/>
        </w:rPr>
        <w:t>New York, NY – May 21, 2026</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results for the fourth quarter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fiscal year 2026, ended March 31, 2026. For further information, please see the fourth quarter fiscal 2026 results slide deck posted to the Company’s investor relations website at </w:t>
      </w:r>
      <w:r>
        <w:rPr>
          <w:rFonts w:ascii="Arial" w:cs="Arial" w:eastAsia="Arial" w:hAnsi="Arial"/>
          <w:sz w:val="18"/>
          <w:szCs w:val="18"/>
          <w:u w:val="single" w:color="auto"/>
          <w:color w:val="0000FF"/>
        </w:rPr>
        <w:t>take2games.com/ir</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252"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Strauss Zelnick, Chairman and CEO of Take-Two Interactive, stated: “Our Fiscal 2026 performance was exceptional and exceeded our initial expectations at every label. We believe Fiscal 2027 will establish new record levels of operating performance driven by the November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launch of </w:t>
      </w:r>
      <w:r>
        <w:rPr>
          <w:rFonts w:ascii="Arial" w:cs="Arial" w:eastAsia="Arial" w:hAnsi="Arial"/>
          <w:sz w:val="18"/>
          <w:szCs w:val="18"/>
          <w:i w:val="1"/>
          <w:iCs w:val="1"/>
          <w:color w:val="auto"/>
        </w:rPr>
        <w:t>Grand Theft Auto VI,</w:t>
      </w:r>
      <w:r>
        <w:rPr>
          <w:rFonts w:ascii="Arial" w:cs="Arial" w:eastAsia="Arial" w:hAnsi="Arial"/>
          <w:sz w:val="18"/>
          <w:szCs w:val="18"/>
          <w:color w:val="auto"/>
        </w:rPr>
        <w:t xml:space="preserve"> along with strong execution across our portfolio. We expect to sustain this higher level of scale, generate strong cash flows, and deliver long-term shareholder value as we release our robust development pipeline, continue to optimize our live services and capitalize on new business opportunities.”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Fiscal 2026 Financial and Operational Highlights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Net Bookings* were $1.58 billion and were flat compared to last year’s fiscal fourth quarter.</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Bookings from recurrent consumer spending** grew 7% and accounted for 82% of total Net Bookings.</w:t>
      </w:r>
    </w:p>
    <w:p>
      <w:pPr>
        <w:spacing w:after="0" w:line="27" w:lineRule="exact"/>
        <w:rPr>
          <w:rFonts w:ascii="Arial" w:cs="Arial" w:eastAsia="Arial" w:hAnsi="Arial"/>
          <w:sz w:val="18"/>
          <w:szCs w:val="18"/>
          <w:color w:val="auto"/>
        </w:rPr>
      </w:pPr>
    </w:p>
    <w:p>
      <w:pPr>
        <w:ind w:left="1300" w:right="400" w:hanging="320"/>
        <w:spacing w:after="0" w:line="258"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largest contributors to Net Bookings were </w:t>
      </w:r>
      <w:r>
        <w:rPr>
          <w:rFonts w:ascii="Arial" w:cs="Arial" w:eastAsia="Arial" w:hAnsi="Arial"/>
          <w:sz w:val="18"/>
          <w:szCs w:val="18"/>
          <w:i w:val="1"/>
          <w:iCs w:val="1"/>
          <w:color w:val="auto"/>
        </w:rPr>
        <w:t>NBA® 2K26, 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 Toon</w:t>
      </w:r>
      <w:r>
        <w:rPr>
          <w:rFonts w:ascii="Arial" w:cs="Arial" w:eastAsia="Arial" w:hAnsi="Arial"/>
          <w:sz w:val="18"/>
          <w:szCs w:val="18"/>
          <w:color w:val="auto"/>
        </w:rPr>
        <w:t xml:space="preserve"> </w:t>
      </w:r>
      <w:r>
        <w:rPr>
          <w:rFonts w:ascii="Arial" w:cs="Arial" w:eastAsia="Arial" w:hAnsi="Arial"/>
          <w:sz w:val="18"/>
          <w:szCs w:val="18"/>
          <w:i w:val="1"/>
          <w:iCs w:val="1"/>
          <w:color w:val="auto"/>
        </w:rPr>
        <w:t>Blast™</w:t>
      </w:r>
      <w:r>
        <w:rPr>
          <w:rFonts w:ascii="Arial" w:cs="Arial" w:eastAsia="Arial" w:hAnsi="Arial"/>
          <w:sz w:val="18"/>
          <w:szCs w:val="18"/>
          <w:color w:val="auto"/>
        </w:rPr>
        <w:t>,</w:t>
      </w:r>
      <w:r>
        <w:rPr>
          <w:rFonts w:ascii="Arial" w:cs="Arial" w:eastAsia="Arial" w:hAnsi="Arial"/>
          <w:sz w:val="18"/>
          <w:szCs w:val="18"/>
          <w:i w:val="1"/>
          <w:iCs w:val="1"/>
          <w:color w:val="auto"/>
        </w:rPr>
        <w:t xml:space="preserve">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WWE® 2K26, Color Block Jam™</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Words With Friends™,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Civilization® VII.</w:t>
      </w:r>
    </w:p>
    <w:p>
      <w:pPr>
        <w:sectPr>
          <w:pgSz w:w="11900" w:h="16838" w:orient="portrait"/>
          <w:cols w:equalWidth="0" w:num="1">
            <w:col w:w="11240"/>
          </w:cols>
          <w:pgMar w:left="320" w:top="931"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31" w:right="339" w:bottom="1440" w:gutter="0" w:footer="0" w:header="0"/>
          <w:type w:val="continuous"/>
        </w:sectPr>
      </w:pPr>
    </w:p>
    <w:bookmarkStart w:id="4" w:name="page5"/>
    <w:bookmarkEnd w:id="4"/>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GAAP net revenue was $1.68 billion, compared to $1.58 billion in last year’s fiscal fourth quarter.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Recurrent consumer spending** increased 12% and accounted for 81% of total GAAP net revenue.</w:t>
      </w:r>
    </w:p>
    <w:p>
      <w:pPr>
        <w:spacing w:after="0" w:line="9" w:lineRule="exact"/>
        <w:rPr>
          <w:rFonts w:ascii="Arial" w:cs="Arial" w:eastAsia="Arial" w:hAnsi="Arial"/>
          <w:sz w:val="18"/>
          <w:szCs w:val="18"/>
          <w:color w:val="auto"/>
        </w:rPr>
      </w:pPr>
    </w:p>
    <w:p>
      <w:pPr>
        <w:ind w:left="1300" w:right="240" w:hanging="320"/>
        <w:spacing w:after="0" w:line="258" w:lineRule="auto"/>
        <w:tabs>
          <w:tab w:leader="none" w:pos="1296"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The largest contributors to GAAP net revenue were </w:t>
      </w:r>
      <w:r>
        <w:rPr>
          <w:rFonts w:ascii="Arial" w:cs="Arial" w:eastAsia="Arial" w:hAnsi="Arial"/>
          <w:sz w:val="18"/>
          <w:szCs w:val="18"/>
          <w:i w:val="1"/>
          <w:iCs w:val="1"/>
          <w:color w:val="auto"/>
        </w:rPr>
        <w:t>NBA 2K26</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2K25, 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Auto V, Toon Blast</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Color Block Jam,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Words With Friends, Borderlands® 4,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2K26.</w:t>
      </w:r>
    </w:p>
    <w:p>
      <w:pPr>
        <w:spacing w:after="0" w:line="205" w:lineRule="exact"/>
        <w:rPr>
          <w:rFonts w:ascii="Arial" w:cs="Arial" w:eastAsia="Arial" w:hAnsi="Arial"/>
          <w:sz w:val="18"/>
          <w:szCs w:val="18"/>
          <w:color w:val="auto"/>
        </w:rPr>
      </w:pPr>
    </w:p>
    <w:p>
      <w:pPr>
        <w:ind w:left="660" w:right="500" w:hanging="328"/>
        <w:spacing w:after="0" w:line="287"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GAAP net loss was $59.5 million, or $0.32 per share, as compared to $3,726.2 million, or $21.08 per share, for the comparable period last year.</w:t>
      </w:r>
    </w:p>
    <w:p>
      <w:pPr>
        <w:spacing w:after="0" w:line="191" w:lineRule="exact"/>
        <w:rPr>
          <w:rFonts w:ascii="Arial" w:cs="Arial" w:eastAsia="Arial" w:hAnsi="Arial"/>
          <w:sz w:val="18"/>
          <w:szCs w:val="18"/>
          <w:color w:val="auto"/>
        </w:rPr>
      </w:pPr>
    </w:p>
    <w:p>
      <w:pPr>
        <w:ind w:right="40"/>
        <w:spacing w:after="0" w:line="260" w:lineRule="auto"/>
        <w:rPr>
          <w:rFonts w:ascii="Arial" w:cs="Arial" w:eastAsia="Arial" w:hAnsi="Arial"/>
          <w:sz w:val="18"/>
          <w:szCs w:val="18"/>
          <w:color w:val="auto"/>
        </w:rPr>
      </w:pPr>
      <w:r>
        <w:rPr>
          <w:rFonts w:ascii="Arial" w:cs="Arial" w:eastAsia="Arial" w:hAnsi="Arial"/>
          <w:sz w:val="14"/>
          <w:szCs w:val="14"/>
          <w:i w:val="1"/>
          <w:iCs w:val="1"/>
          <w:color w:val="auto"/>
        </w:rPr>
        <w:t>* Net Bookings is our operational metric and defined as the net amount of products and services sold digitally or sold-in physically during the period, and includes licensing fees, merchandise, in-game advertising, strategy guides and publisher incentives.</w:t>
      </w:r>
    </w:p>
    <w:p>
      <w:pPr>
        <w:ind w:left="160" w:hanging="152"/>
        <w:spacing w:after="0"/>
        <w:tabs>
          <w:tab w:leader="none" w:pos="1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Recurrent consumer spending is generated from ongoing consumer engagement and includes virtual currency, add-on content, in-game purchases and in-game advertising.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Fiscal 2026 Financial Results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data is used internally by the Company’s management and Board of Directors to adjust the Company’s GAAP and Non-GAAP financial results in order to facilitate comparison of its operating performance between periods and to better understand its core business: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Three Months Ended March 31, 2026</w:t>
            </w: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23"/>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Financial Data</w:t>
            </w: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Change in deferred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net revenue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of</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Statement of</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related cost of</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Stock-based</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Business</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Business</w:t>
            </w:r>
          </w:p>
        </w:tc>
        <w:tc>
          <w:tcPr>
            <w:tcW w:w="1100" w:type="dxa"/>
            <w:vAlign w:val="bottom"/>
          </w:tcPr>
          <w:p>
            <w:pPr>
              <w:spacing w:after="0"/>
              <w:rPr>
                <w:sz w:val="14"/>
                <w:szCs w:val="14"/>
                <w:color w:val="auto"/>
              </w:rPr>
            </w:pPr>
          </w:p>
        </w:tc>
      </w:tr>
      <w:tr>
        <w:trPr>
          <w:trHeight w:val="225"/>
        </w:trPr>
        <w:tc>
          <w:tcPr>
            <w:tcW w:w="1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Operations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intangibles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reorganization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acquisition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Other </w:t>
            </w:r>
            <w:r>
              <w:rPr>
                <w:rFonts w:ascii="Arial" w:cs="Arial" w:eastAsia="Arial" w:hAnsi="Arial"/>
                <w:sz w:val="18"/>
                <w:szCs w:val="18"/>
                <w:b w:val="1"/>
                <w:bCs w:val="1"/>
                <w:color w:val="auto"/>
                <w:w w:val="96"/>
                <w:vertAlign w:val="superscript"/>
              </w:rPr>
              <w:t>(a)</w:t>
            </w:r>
          </w:p>
        </w:tc>
      </w:tr>
      <w:tr>
        <w:trPr>
          <w:trHeight w:val="216"/>
        </w:trPr>
        <w:tc>
          <w:tcPr>
            <w:tcW w:w="1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2"/>
        </w:trPr>
        <w:tc>
          <w:tcPr>
            <w:tcW w:w="1920" w:type="dxa"/>
            <w:vAlign w:val="bottom"/>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1,679.8</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(185.4)</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938.7</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(94.2)</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185.4</w:t>
            </w:r>
          </w:p>
        </w:tc>
        <w:tc>
          <w:tcPr>
            <w:tcW w:w="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927.8</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160"/>
        </w:trPr>
        <w:tc>
          <w:tcPr>
            <w:tcW w:w="19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(Loss) income from</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1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(94.2)</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78.4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8"/>
                <w:szCs w:val="18"/>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(0.9)</w:t>
            </w:r>
          </w:p>
        </w:tc>
        <w:tc>
          <w:tcPr>
            <w:tcW w:w="100" w:type="dxa"/>
            <w:vAlign w:val="bottom"/>
          </w:tcPr>
          <w:p>
            <w:pPr>
              <w:spacing w:after="0"/>
              <w:rPr>
                <w:sz w:val="18"/>
                <w:szCs w:val="18"/>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and other, net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6.7</w:t>
            </w:r>
          </w:p>
        </w:tc>
      </w:tr>
      <w:tr>
        <w:trPr>
          <w:trHeight w:val="160"/>
        </w:trPr>
        <w:tc>
          <w:tcPr>
            <w:tcW w:w="19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(Loss) income before</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1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income taxes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(93.0)</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78.4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8"/>
                <w:szCs w:val="18"/>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(0.9)</w:t>
            </w:r>
          </w:p>
        </w:tc>
        <w:tc>
          <w:tcPr>
            <w:tcW w:w="100" w:type="dxa"/>
            <w:vAlign w:val="bottom"/>
          </w:tcPr>
          <w:p>
            <w:pPr>
              <w:spacing w:after="0"/>
              <w:rPr>
                <w:sz w:val="18"/>
                <w:szCs w:val="18"/>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6.7</w:t>
            </w:r>
          </w:p>
        </w:tc>
      </w:tr>
      <w:tr>
        <w:trPr>
          <w:trHeight w:val="224"/>
        </w:trPr>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Non-GAAP</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(93.0)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(0.9)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6.7</w:t>
            </w:r>
          </w:p>
        </w:tc>
      </w:tr>
    </w:tbl>
    <w:p>
      <w:pPr>
        <w:spacing w:after="0" w:line="305" w:lineRule="exact"/>
        <w:rPr>
          <w:sz w:val="20"/>
          <w:szCs w:val="20"/>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above table utilizes a management tax rate of 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186.5 million</w:t>
      </w:r>
    </w:p>
    <w:p>
      <w:pPr>
        <w:spacing w:after="0" w:line="220" w:lineRule="exact"/>
        <w:rPr>
          <w:rFonts w:ascii="Arial" w:cs="Arial" w:eastAsia="Arial" w:hAnsi="Arial"/>
          <w:sz w:val="18"/>
          <w:szCs w:val="18"/>
          <w:color w:val="auto"/>
        </w:rPr>
      </w:pPr>
    </w:p>
    <w:p>
      <w:pPr>
        <w:ind w:right="40" w:firstLine="8"/>
        <w:spacing w:after="0" w:line="236" w:lineRule="auto"/>
        <w:tabs>
          <w:tab w:leader="none" w:pos="193"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Other includes adjustments for (i) the revaluation of the Turkish Lira against the U.S. Dollar and (ii) fair value adjustments related to certain equity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2026 Financial and Operational Highlights</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Net Bookings* grew 19% to $6.72 billion, as compared to $5.65 billion during last fiscal year.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Bookings from recurrent consumer spending** grew 17% and accounted for 78% of total Net Bookings.</w:t>
      </w:r>
    </w:p>
    <w:p>
      <w:pPr>
        <w:spacing w:after="0" w:line="9" w:lineRule="exact"/>
        <w:rPr>
          <w:rFonts w:ascii="Arial" w:cs="Arial" w:eastAsia="Arial" w:hAnsi="Arial"/>
          <w:sz w:val="18"/>
          <w:szCs w:val="18"/>
          <w:color w:val="auto"/>
        </w:rPr>
      </w:pPr>
    </w:p>
    <w:p>
      <w:pPr>
        <w:ind w:left="1300" w:right="120" w:hanging="320"/>
        <w:spacing w:after="0" w:line="258"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largest contributors to Net Bookings were </w:t>
      </w:r>
      <w:r>
        <w:rPr>
          <w:rFonts w:ascii="Arial" w:cs="Arial" w:eastAsia="Arial" w:hAnsi="Arial"/>
          <w:sz w:val="18"/>
          <w:szCs w:val="18"/>
          <w:i w:val="1"/>
          <w:iCs w:val="1"/>
          <w:color w:val="auto"/>
        </w:rPr>
        <w:t>NBA 2K26</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2K25, 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Toon Blast</w:t>
      </w:r>
      <w:r>
        <w:rPr>
          <w:rFonts w:ascii="Arial" w:cs="Arial" w:eastAsia="Arial" w:hAnsi="Arial"/>
          <w:sz w:val="18"/>
          <w:szCs w:val="18"/>
          <w:color w:val="auto"/>
        </w:rPr>
        <w:t>,</w:t>
      </w:r>
      <w:r>
        <w:rPr>
          <w:rFonts w:ascii="Arial" w:cs="Arial" w:eastAsia="Arial" w:hAnsi="Arial"/>
          <w:sz w:val="18"/>
          <w:szCs w:val="18"/>
          <w:i w:val="1"/>
          <w:iCs w:val="1"/>
          <w:color w:val="auto"/>
        </w:rPr>
        <w:t xml:space="preserve">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Borderlands 4</w:t>
      </w:r>
      <w:r>
        <w:rPr>
          <w:rFonts w:ascii="Arial" w:cs="Arial" w:eastAsia="Arial" w:hAnsi="Arial"/>
          <w:sz w:val="18"/>
          <w:szCs w:val="18"/>
          <w:color w:val="auto"/>
        </w:rPr>
        <w:t>,</w:t>
      </w:r>
      <w:r>
        <w:rPr>
          <w:rFonts w:ascii="Arial" w:cs="Arial" w:eastAsia="Arial" w:hAnsi="Arial"/>
          <w:sz w:val="18"/>
          <w:szCs w:val="18"/>
          <w:i w:val="1"/>
          <w:iCs w:val="1"/>
          <w:color w:val="auto"/>
        </w:rPr>
        <w:t xml:space="preserve"> Color Block Jam</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Words With Friends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Toy Blast™.</w:t>
      </w:r>
    </w:p>
    <w:p>
      <w:pPr>
        <w:spacing w:after="0" w:line="24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net revenue increased 18% to $6.66 billion, as compared to $5.63 billion during last fiscal year.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Recurrent consumer spending** increased 16% and accounted for 78% of total GAAP net revenue.</w:t>
      </w:r>
    </w:p>
    <w:p>
      <w:pPr>
        <w:sectPr>
          <w:pgSz w:w="11900" w:h="16838" w:orient="portrait"/>
          <w:cols w:equalWidth="0" w:num="1">
            <w:col w:w="11240"/>
          </w:cols>
          <w:pgMar w:left="320" w:top="1174"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74" w:right="339" w:bottom="1440" w:gutter="0" w:footer="0" w:header="0"/>
          <w:type w:val="continuous"/>
        </w:sectPr>
      </w:pPr>
    </w:p>
    <w:bookmarkStart w:id="5" w:name="page6"/>
    <w:bookmarkEnd w:id="5"/>
    <w:p>
      <w:pPr>
        <w:ind w:left="1300" w:right="120" w:hanging="320"/>
        <w:spacing w:after="0" w:line="268" w:lineRule="auto"/>
        <w:tabs>
          <w:tab w:leader="none" w:pos="1296"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The largest contributors to GAAP net revenue were </w:t>
      </w:r>
      <w:r>
        <w:rPr>
          <w:rFonts w:ascii="Arial" w:cs="Arial" w:eastAsia="Arial" w:hAnsi="Arial"/>
          <w:sz w:val="18"/>
          <w:szCs w:val="18"/>
          <w:i w:val="1"/>
          <w:iCs w:val="1"/>
          <w:color w:val="auto"/>
        </w:rPr>
        <w:t>NBA 2K25</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2K26, 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Auto V, Toon Blast</w:t>
      </w:r>
      <w:r>
        <w:rPr>
          <w:rFonts w:ascii="Arial" w:cs="Arial" w:eastAsia="Arial" w:hAnsi="Arial"/>
          <w:sz w:val="18"/>
          <w:szCs w:val="18"/>
          <w:color w:val="auto"/>
        </w:rPr>
        <w:t>,</w:t>
      </w:r>
      <w:r>
        <w:rPr>
          <w:rFonts w:ascii="Arial" w:cs="Arial" w:eastAsia="Arial" w:hAnsi="Arial"/>
          <w:sz w:val="18"/>
          <w:szCs w:val="18"/>
          <w:i w:val="1"/>
          <w:iCs w:val="1"/>
          <w:color w:val="auto"/>
        </w:rPr>
        <w:t xml:space="preserve"> Match Factory!</w:t>
      </w:r>
      <w:r>
        <w:rPr>
          <w:rFonts w:ascii="Arial" w:cs="Arial" w:eastAsia="Arial" w:hAnsi="Arial"/>
          <w:sz w:val="18"/>
          <w:szCs w:val="18"/>
          <w:color w:val="auto"/>
        </w:rPr>
        <w:t>,</w:t>
      </w:r>
      <w:r>
        <w:rPr>
          <w:rFonts w:ascii="Arial" w:cs="Arial" w:eastAsia="Arial" w:hAnsi="Arial"/>
          <w:sz w:val="18"/>
          <w:szCs w:val="18"/>
          <w:i w:val="1"/>
          <w:iCs w:val="1"/>
          <w:color w:val="auto"/>
        </w:rPr>
        <w:t xml:space="preserve"> Empires &amp; Puzzles, Color Block Jam</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4</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Words With Friends.</w:t>
      </w:r>
    </w:p>
    <w:p>
      <w:pPr>
        <w:spacing w:after="0" w:line="197" w:lineRule="exact"/>
        <w:rPr>
          <w:rFonts w:ascii="Arial" w:cs="Arial" w:eastAsia="Arial" w:hAnsi="Arial"/>
          <w:sz w:val="18"/>
          <w:szCs w:val="18"/>
          <w:color w:val="auto"/>
        </w:rPr>
      </w:pPr>
    </w:p>
    <w:p>
      <w:pPr>
        <w:ind w:left="660" w:right="140" w:hanging="328"/>
        <w:spacing w:after="0" w:line="287"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8"/>
          <w:szCs w:val="18"/>
          <w:color w:val="auto"/>
        </w:rPr>
        <w:t>GAAP net loss was $298.2 million, or $1.62 per share, as compared to $4.48 billion, or $25.58 per share, for the comparable period last year.</w:t>
      </w:r>
    </w:p>
    <w:p>
      <w:pPr>
        <w:spacing w:after="0" w:line="191" w:lineRule="exact"/>
        <w:rPr>
          <w:rFonts w:ascii="Arial" w:cs="Arial" w:eastAsia="Arial" w:hAnsi="Arial"/>
          <w:sz w:val="18"/>
          <w:szCs w:val="18"/>
          <w:color w:val="auto"/>
        </w:rPr>
      </w:pPr>
    </w:p>
    <w:p>
      <w:pPr>
        <w:ind w:right="40"/>
        <w:spacing w:after="0" w:line="260" w:lineRule="auto"/>
        <w:rPr>
          <w:rFonts w:ascii="Arial" w:cs="Arial" w:eastAsia="Arial" w:hAnsi="Arial"/>
          <w:sz w:val="18"/>
          <w:szCs w:val="18"/>
          <w:color w:val="auto"/>
        </w:rPr>
      </w:pPr>
      <w:r>
        <w:rPr>
          <w:rFonts w:ascii="Arial" w:cs="Arial" w:eastAsia="Arial" w:hAnsi="Arial"/>
          <w:sz w:val="14"/>
          <w:szCs w:val="14"/>
          <w:i w:val="1"/>
          <w:iCs w:val="1"/>
          <w:color w:val="auto"/>
        </w:rPr>
        <w:t>* Net Bookings is our operational metric and defined as the net amount of products and services sold digitally or sold-in physically during the period, and includes licensing fees, merchandise, in-game advertising, strategy guides and publisher incentives.</w:t>
      </w:r>
    </w:p>
    <w:p>
      <w:pPr>
        <w:ind w:left="160" w:hanging="152"/>
        <w:spacing w:after="0"/>
        <w:tabs>
          <w:tab w:leader="none" w:pos="1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Recurrent consumer spending is generated from ongoing consumer engagement and includes virtual currency, add-on content, in-game purchases and in-game advertising.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2026 Financial Results</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following data is used internally by the Company’s management and Board of Directors to adjust the Company’s GAAP and Non-GAAP financial results in order to facilitate comparison of its operating performance between periods and to better understand its core business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future outlook:</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Fiscal Year Ended March 31, 2026</w:t>
            </w: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Financial Data</w:t>
            </w: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 in deferred</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Statement of</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net revenue and</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Stock-based</w:t>
            </w:r>
          </w:p>
        </w:tc>
        <w:tc>
          <w:tcPr>
            <w:tcW w:w="14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Business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Amortization of</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Business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related cost of</w:t>
            </w:r>
          </w:p>
        </w:tc>
        <w:tc>
          <w:tcPr>
            <w:tcW w:w="126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acquired</w:t>
            </w:r>
          </w:p>
        </w:tc>
        <w:tc>
          <w:tcPr>
            <w:tcW w:w="12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Operations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reorganization</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intangibles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acquisition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20"/>
              <w:spacing w:after="0"/>
              <w:rPr>
                <w:sz w:val="20"/>
                <w:szCs w:val="20"/>
                <w:color w:val="auto"/>
              </w:rPr>
            </w:pPr>
            <w:r>
              <w:rPr>
                <w:rFonts w:ascii="Arial" w:cs="Arial" w:eastAsia="Arial" w:hAnsi="Arial"/>
                <w:sz w:val="14"/>
                <w:szCs w:val="14"/>
                <w:color w:val="auto"/>
              </w:rPr>
              <w:t>Total net revenue</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6,656.4</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64.6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2,846.7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9"/>
              </w:rPr>
              <w:t>(664.9)</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3,809.7</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68.0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664.9</w:t>
            </w: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3,913.9</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(333.2)</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8"/>
              </w:rPr>
              <w:t>(60.7)</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(Loss) income from operations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(104.2)</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68.0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305.3</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725.6</w:t>
            </w:r>
          </w:p>
        </w:tc>
        <w:tc>
          <w:tcPr>
            <w:tcW w:w="80" w:type="dxa"/>
            <w:vAlign w:val="bottom"/>
          </w:tcPr>
          <w:p>
            <w:pPr>
              <w:spacing w:after="0"/>
              <w:rPr>
                <w:sz w:val="18"/>
                <w:szCs w:val="18"/>
                <w:color w:val="auto"/>
              </w:rPr>
            </w:pPr>
          </w:p>
        </w:tc>
        <w:tc>
          <w:tcPr>
            <w:tcW w:w="11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and other, net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3"/>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(197.8)</w:t>
            </w:r>
          </w:p>
        </w:tc>
        <w:tc>
          <w:tcPr>
            <w:tcW w:w="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68.1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305.3</w:t>
            </w:r>
          </w:p>
        </w:tc>
        <w:tc>
          <w:tcPr>
            <w:tcW w:w="80" w:type="dxa"/>
            <w:vAlign w:val="bottom"/>
          </w:tcPr>
          <w:p>
            <w:pPr>
              <w:spacing w:after="0"/>
              <w:rPr>
                <w:sz w:val="17"/>
                <w:szCs w:val="17"/>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725.6</w:t>
            </w:r>
          </w:p>
        </w:tc>
        <w:tc>
          <w:tcPr>
            <w:tcW w:w="80" w:type="dxa"/>
            <w:vAlign w:val="bottom"/>
          </w:tcPr>
          <w:p>
            <w:pPr>
              <w:spacing w:after="0"/>
              <w:rPr>
                <w:sz w:val="17"/>
                <w:szCs w:val="17"/>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25.7</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24"/>
        </w:trPr>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Non-GAAP</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760.6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68.1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305.3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18.9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above table utilizes a management tax rate of 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185.6 million</w:t>
      </w:r>
    </w:p>
    <w:p>
      <w:pPr>
        <w:spacing w:after="0" w:line="234" w:lineRule="exact"/>
        <w:rPr>
          <w:rFonts w:ascii="Arial" w:cs="Arial" w:eastAsia="Arial" w:hAnsi="Arial"/>
          <w:sz w:val="18"/>
          <w:szCs w:val="18"/>
          <w:color w:val="auto"/>
        </w:rPr>
      </w:pPr>
    </w:p>
    <w:p>
      <w:pPr>
        <w:ind w:right="40" w:firstLine="8"/>
        <w:spacing w:after="0" w:line="247" w:lineRule="auto"/>
        <w:tabs>
          <w:tab w:leader="none" w:pos="193"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Other includes adjustments for (i) the revaluation of the Turkish Lira against the U.S. Dollar and (ii) fair value adjustments related to certain equity investments.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Outlook for Fiscal Year 2027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Take-Two is providing its initial outlook for the fiscal year ending March 31, 2027 and fiscal first quarter ending June 30, 2026: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Ending March 31, 2027</w:t>
      </w:r>
    </w:p>
    <w:p>
      <w:pPr>
        <w:spacing w:after="0" w:line="2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Fiscal Year Ending March 31, 2027</w:t>
            </w:r>
          </w:p>
        </w:tc>
        <w:tc>
          <w:tcPr>
            <w:tcW w:w="1400" w:type="dxa"/>
            <w:vAlign w:val="bottom"/>
            <w:tcBorders>
              <w:bottom w:val="single" w:sz="8" w:color="auto"/>
            </w:tcBorders>
          </w:tcPr>
          <w:p>
            <w:pPr>
              <w:spacing w:after="0"/>
              <w:rPr>
                <w:sz w:val="19"/>
                <w:szCs w:val="19"/>
                <w:color w:val="auto"/>
              </w:rPr>
            </w:pPr>
          </w:p>
        </w:tc>
      </w:tr>
      <w:tr>
        <w:trPr>
          <w:trHeight w:val="236"/>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Financial Data</w:t>
            </w:r>
          </w:p>
        </w:tc>
        <w:tc>
          <w:tcPr>
            <w:tcW w:w="1400" w:type="dxa"/>
            <w:vAlign w:val="bottom"/>
            <w:tcBorders>
              <w:bottom w:val="single" w:sz="8" w:color="auto"/>
            </w:tcBorders>
          </w:tcPr>
          <w:p>
            <w:pPr>
              <w:spacing w:after="0"/>
              <w:rPr>
                <w:sz w:val="20"/>
                <w:szCs w:val="20"/>
                <w:color w:val="auto"/>
              </w:rPr>
            </w:pPr>
          </w:p>
        </w:tc>
      </w:tr>
      <w:tr>
        <w:trPr>
          <w:trHeight w:val="199"/>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Change in</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deferred net</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 and</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Amortization of</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Business</w:t>
            </w:r>
          </w:p>
        </w:tc>
      </w:tr>
      <w:tr>
        <w:trPr>
          <w:trHeight w:val="189"/>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related cost of</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Stock-based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acquired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acquisition &amp;</w:t>
            </w:r>
          </w:p>
        </w:tc>
      </w:tr>
      <w:tr>
        <w:trPr>
          <w:trHeight w:val="244"/>
        </w:trPr>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 in millions except for per share amounts</w:t>
            </w:r>
          </w:p>
        </w:tc>
        <w:tc>
          <w:tcPr>
            <w:tcW w:w="80" w:type="dxa"/>
            <w:vAlign w:val="bottom"/>
          </w:tcPr>
          <w:p>
            <w:pPr>
              <w:spacing w:after="0"/>
              <w:rPr>
                <w:sz w:val="21"/>
                <w:szCs w:val="21"/>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 xml:space="preserve">Outlook </w:t>
            </w:r>
            <w:r>
              <w:rPr>
                <w:rFonts w:ascii="Arial" w:cs="Arial" w:eastAsia="Arial" w:hAnsi="Arial"/>
                <w:sz w:val="21"/>
                <w:szCs w:val="21"/>
                <w:b w:val="1"/>
                <w:bCs w:val="1"/>
                <w:color w:val="auto"/>
                <w:w w:val="94"/>
                <w:vertAlign w:val="superscript"/>
              </w:rPr>
              <w:t>(b)</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compensation</w:t>
            </w: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intangibles</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r>
      <w:tr>
        <w:trPr>
          <w:trHeight w:val="223"/>
        </w:trPr>
        <w:tc>
          <w:tcPr>
            <w:tcW w:w="35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33"/>
        </w:trPr>
        <w:tc>
          <w:tcPr>
            <w:tcW w:w="354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$7,900 to $8,100</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$100</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$3,504 to $3,626</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$(77)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$(573)</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$4,180 to $4,200</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$(350)</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$(51)</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net</w:t>
            </w:r>
          </w:p>
        </w:tc>
        <w:tc>
          <w:tcPr>
            <w:tcW w:w="198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$50</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$(3)</w:t>
            </w: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$166 to $224</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$110</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$427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$624</w:t>
            </w:r>
          </w:p>
        </w:tc>
        <w:tc>
          <w:tcPr>
            <w:tcW w:w="80" w:type="dxa"/>
            <w:vAlign w:val="bottom"/>
          </w:tcPr>
          <w:p>
            <w:pPr>
              <w:spacing w:after="0"/>
              <w:rPr>
                <w:sz w:val="20"/>
                <w:szCs w:val="20"/>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$3</w:t>
            </w:r>
          </w:p>
        </w:tc>
      </w:tr>
      <w:tr>
        <w:trPr>
          <w:trHeight w:val="24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$105 to $141</w:t>
            </w: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Diluted net income per share</w:t>
            </w:r>
          </w:p>
        </w:tc>
        <w:tc>
          <w:tcPr>
            <w:tcW w:w="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$0.55 to $0.75</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over $1,000</w:t>
            </w: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approximately $200</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Non-GAAP</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$1,013 to $1,070</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$110</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$427</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Operational metric</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6"/>
                <w:szCs w:val="16"/>
                <w:color w:val="auto"/>
              </w:rPr>
              <w:t>Net Bookings</w:t>
            </w:r>
          </w:p>
        </w:tc>
        <w:tc>
          <w:tcPr>
            <w:tcW w:w="8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$8,000 to $8,200</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313" w:lineRule="exact"/>
        <w:rPr>
          <w:sz w:val="20"/>
          <w:szCs w:val="20"/>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Management reporting tax rate anticipated to be 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 count used to calculate GAAP and management reporting diluted net income per share is expected to be 189.7 million</w:t>
      </w:r>
    </w:p>
    <w:p>
      <w:pPr>
        <w:spacing w:after="0" w:line="234" w:lineRule="exact"/>
        <w:rPr>
          <w:rFonts w:ascii="Arial" w:cs="Arial" w:eastAsia="Arial" w:hAnsi="Arial"/>
          <w:sz w:val="18"/>
          <w:szCs w:val="18"/>
          <w:color w:val="auto"/>
        </w:rPr>
      </w:pPr>
    </w:p>
    <w:p>
      <w:pPr>
        <w:ind w:right="460" w:firstLine="8"/>
        <w:spacing w:after="0" w:line="293" w:lineRule="auto"/>
        <w:tabs>
          <w:tab w:leader="none" w:pos="175"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The individual components of the financial outlook may not foot to the totals, as the Company does not expect actual results for every component to be at the low end or high end of the outlook range simultaneously.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Fiscal First Quarter Ending June 30, 2026</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Ending June 30, 2026</w:t>
            </w: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37"/>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Financial Data</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9"/>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Change in deferred</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net revenue and</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Amortization of</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Business</w:t>
            </w:r>
          </w:p>
        </w:tc>
      </w:tr>
      <w:tr>
        <w:trPr>
          <w:trHeight w:val="189"/>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related cost of</w:t>
            </w:r>
          </w:p>
        </w:tc>
        <w:tc>
          <w:tcPr>
            <w:tcW w:w="16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Stock-based</w:t>
            </w: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acquired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acquisition &amp;</w:t>
            </w:r>
          </w:p>
        </w:tc>
      </w:tr>
      <w:tr>
        <w:trPr>
          <w:trHeight w:val="244"/>
        </w:trPr>
        <w:tc>
          <w:tcPr>
            <w:tcW w:w="3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 in millions except for per share amounts</w:t>
            </w:r>
          </w:p>
        </w:tc>
        <w:tc>
          <w:tcPr>
            <w:tcW w:w="100" w:type="dxa"/>
            <w:vAlign w:val="bottom"/>
          </w:tcPr>
          <w:p>
            <w:pPr>
              <w:spacing w:after="0"/>
              <w:rPr>
                <w:sz w:val="21"/>
                <w:szCs w:val="21"/>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 xml:space="preserve">Outlook </w:t>
            </w:r>
            <w:r>
              <w:rPr>
                <w:rFonts w:ascii="Arial" w:cs="Arial" w:eastAsia="Arial" w:hAnsi="Arial"/>
                <w:sz w:val="21"/>
                <w:szCs w:val="21"/>
                <w:b w:val="1"/>
                <w:bCs w:val="1"/>
                <w:color w:val="auto"/>
                <w:w w:val="96"/>
                <w:vertAlign w:val="superscript"/>
              </w:rPr>
              <w:t>(b)</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w:t>
            </w:r>
          </w:p>
        </w:tc>
        <w:tc>
          <w:tcPr>
            <w:tcW w:w="16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compensation</w:t>
            </w: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intangibles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r>
      <w:tr>
        <w:trPr>
          <w:trHeight w:val="223"/>
        </w:trPr>
        <w:tc>
          <w:tcPr>
            <w:tcW w:w="36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3"/>
        </w:trPr>
        <w:tc>
          <w:tcPr>
            <w:tcW w:w="364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0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$1,450 to $1,500</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$(130)</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$578 to $594</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$(15)</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9"/>
              </w:rPr>
              <w:t>$(154)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9"/>
        </w:trPr>
        <w:tc>
          <w:tcPr>
            <w:tcW w:w="36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$926 to $936</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$(15)</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net</w:t>
            </w:r>
          </w:p>
        </w:tc>
        <w:tc>
          <w:tcPr>
            <w:tcW w:w="16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w:t>
            </w:r>
          </w:p>
        </w:tc>
      </w:tr>
      <w:tr>
        <w:trPr>
          <w:trHeight w:val="239"/>
        </w:trPr>
        <w:tc>
          <w:tcPr>
            <w:tcW w:w="364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10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$(67) to $(43)</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$(115)</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$169</w:t>
            </w:r>
          </w:p>
        </w:tc>
        <w:tc>
          <w:tcPr>
            <w:tcW w:w="80" w:type="dxa"/>
            <w:vAlign w:val="bottom"/>
          </w:tcPr>
          <w:p>
            <w:pPr>
              <w:spacing w:after="0"/>
              <w:rPr>
                <w:sz w:val="20"/>
                <w:szCs w:val="20"/>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$(1)</w:t>
            </w:r>
          </w:p>
        </w:tc>
      </w:tr>
      <w:tr>
        <w:trPr>
          <w:trHeight w:val="24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$(42) to $(27)</w:t>
            </w: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9"/>
        </w:trPr>
        <w:tc>
          <w:tcPr>
            <w:tcW w:w="3640" w:type="dxa"/>
            <w:vAlign w:val="bottom"/>
          </w:tcPr>
          <w:p>
            <w:pPr>
              <w:ind w:left="20"/>
              <w:spacing w:after="0"/>
              <w:rPr>
                <w:sz w:val="20"/>
                <w:szCs w:val="20"/>
                <w:color w:val="auto"/>
              </w:rPr>
            </w:pPr>
            <w:r>
              <w:rPr>
                <w:rFonts w:ascii="Arial" w:cs="Arial" w:eastAsia="Arial" w:hAnsi="Arial"/>
                <w:sz w:val="16"/>
                <w:szCs w:val="16"/>
                <w:color w:val="auto"/>
              </w:rPr>
              <w:t>Net (loss) income per share</w:t>
            </w:r>
          </w:p>
        </w:tc>
        <w:tc>
          <w:tcPr>
            <w:tcW w:w="10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$(0.23) to $(0.15)</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Non-GAAP</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r>
      <w:tr>
        <w:trPr>
          <w:trHeight w:val="24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rPr>
              <w:t>$155 to $179</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$(115)</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Operational metric</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Net Bookings</w:t>
            </w:r>
          </w:p>
        </w:tc>
        <w:tc>
          <w:tcPr>
            <w:tcW w:w="100" w:type="dxa"/>
            <w:vAlign w:val="bottom"/>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$1,320 to $1,370</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2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reporting tax rate anticipated to be 18%</w:t>
      </w:r>
    </w:p>
    <w:p>
      <w:pPr>
        <w:spacing w:after="0" w:line="2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 count used to calculate GAAP net loss per share is expected to be 186.3 million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expected to be 188.7 million</w:t>
      </w:r>
    </w:p>
    <w:p>
      <w:pPr>
        <w:spacing w:after="0" w:line="234" w:lineRule="exact"/>
        <w:rPr>
          <w:sz w:val="20"/>
          <w:szCs w:val="20"/>
          <w:color w:val="auto"/>
        </w:rPr>
      </w:pPr>
    </w:p>
    <w:p>
      <w:pPr>
        <w:ind w:right="380" w:firstLine="8"/>
        <w:spacing w:after="0" w:line="293" w:lineRule="auto"/>
        <w:tabs>
          <w:tab w:leader="none" w:pos="175"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The individual components of the financial outlook may not foot to the totals, as the Company does not expect actual results for every component to be at the low end or high end of the outlook range simultaneously.</w:t>
      </w:r>
    </w:p>
    <w:p>
      <w:pPr>
        <w:spacing w:after="0" w:line="15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Key assumptions and dependencies underlying the Company’s outlook include: a continuation of the current economic backdrop; the timely delivery of the titles included in this financial outlook; continued growth in the installed base of PlayStation 5 and Xbox Series X|S; the ability</w:t>
      </w:r>
    </w:p>
    <w:p>
      <w:pPr>
        <w:ind w:right="140"/>
        <w:spacing w:after="0" w:line="226" w:lineRule="auto"/>
        <w:rPr>
          <w:sz w:val="20"/>
          <w:szCs w:val="20"/>
          <w:color w:val="auto"/>
        </w:rPr>
      </w:pPr>
      <w:r>
        <w:rPr>
          <w:rFonts w:ascii="Arial" w:cs="Arial" w:eastAsia="Arial" w:hAnsi="Arial"/>
          <w:sz w:val="18"/>
          <w:szCs w:val="18"/>
          <w:color w:val="auto"/>
        </w:rPr>
        <w:t>to develop and publish products that capture market share for these current generation systems while also leveraging opportunities on PC, mobile and other platforms; factors affecting our performance on mobile, such as player acquisition costs; our ongoing focus on our live</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services portfolio and new game pipeline; and stable foreign exchange rates. See also “Cautionary Note Regarding Forward Looking Statements”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have been released since January 1, 2026:</w:t>
      </w:r>
    </w:p>
    <w:p>
      <w:pPr>
        <w:spacing w:after="0" w:line="278"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5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Label</w:t>
            </w:r>
          </w:p>
        </w:tc>
        <w:tc>
          <w:tcPr>
            <w:tcW w:w="448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Product</w:t>
            </w:r>
          </w:p>
        </w:tc>
        <w:tc>
          <w:tcPr>
            <w:tcW w:w="304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Platforms</w:t>
            </w:r>
          </w:p>
        </w:tc>
        <w:tc>
          <w:tcPr>
            <w:tcW w:w="19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Release Date</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30"/>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 xml:space="preserve">Sid Meier's Civilization VII </w:t>
            </w:r>
            <w:r>
              <w:rPr>
                <w:rFonts w:ascii="Arial" w:cs="Arial" w:eastAsia="Arial" w:hAnsi="Arial"/>
                <w:sz w:val="16"/>
                <w:szCs w:val="16"/>
                <w:color w:val="auto"/>
              </w:rPr>
              <w:t>for Apple Arcade</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iOS</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February 5, 2026</w:t>
            </w:r>
          </w:p>
        </w:tc>
      </w:tr>
      <w:tr>
        <w:trPr>
          <w:trHeight w:val="236"/>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PGA TOUR 2K25</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Switch 2</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February 6, 2026</w:t>
            </w:r>
          </w:p>
        </w:tc>
      </w:tr>
      <w:tr>
        <w:trPr>
          <w:trHeight w:val="236"/>
        </w:trPr>
        <w:tc>
          <w:tcPr>
            <w:tcW w:w="15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WWE 2K26</w:t>
            </w:r>
          </w:p>
        </w:tc>
        <w:tc>
          <w:tcPr>
            <w:tcW w:w="3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PS5, Xbox Series X|S, Switch 2, PC</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March 13,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973" w:right="41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Take-Two's future lineup announced to-date includes:</w:t>
      </w:r>
    </w:p>
    <w:p>
      <w:pPr>
        <w:spacing w:after="0" w:line="3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8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Label</w:t>
            </w:r>
          </w:p>
        </w:tc>
        <w:tc>
          <w:tcPr>
            <w:tcW w:w="430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Product</w:t>
            </w:r>
          </w:p>
        </w:tc>
        <w:tc>
          <w:tcPr>
            <w:tcW w:w="60" w:type="dxa"/>
            <w:vAlign w:val="bottom"/>
            <w:tcBorders>
              <w:top w:val="single" w:sz="8" w:color="auto"/>
            </w:tcBorders>
          </w:tcPr>
          <w:p>
            <w:pPr>
              <w:spacing w:after="0"/>
              <w:rPr>
                <w:sz w:val="18"/>
                <w:szCs w:val="18"/>
                <w:color w:val="auto"/>
              </w:rPr>
            </w:pPr>
          </w:p>
        </w:tc>
        <w:tc>
          <w:tcPr>
            <w:tcW w:w="27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Platforms</w:t>
            </w:r>
          </w:p>
        </w:tc>
        <w:tc>
          <w:tcPr>
            <w:tcW w:w="20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Release Date</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30"/>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NBA 2K27</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September 2026</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Rockstar Games</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Grand Theft Auto VI</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PS5, Xbox Series X|S</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November 19, 2026</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PGA TOUR 2K27</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WWE 2K27</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6"/>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Zynga</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CSR 3</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iOS, Android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Zynga</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Top Goal</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iOS, Android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Ghost Story Games</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Judas</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PS5, Xbox Series X|S, PC</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7"/>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Project ETHOS</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r>
        <w:trPr>
          <w:trHeight w:val="236"/>
        </w:trPr>
        <w:tc>
          <w:tcPr>
            <w:tcW w:w="1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2K</w:t>
            </w: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i w:val="1"/>
                <w:iCs w:val="1"/>
                <w:color w:val="auto"/>
              </w:rPr>
              <w:t xml:space="preserve">BioShock </w:t>
            </w:r>
            <w:r>
              <w:rPr>
                <w:rFonts w:ascii="Arial" w:cs="Arial" w:eastAsia="Arial" w:hAnsi="Arial"/>
                <w:sz w:val="16"/>
                <w:szCs w:val="16"/>
                <w:color w:val="auto"/>
              </w:rPr>
              <w:t>next iteration</w:t>
            </w:r>
          </w:p>
        </w:tc>
        <w:tc>
          <w:tcPr>
            <w:tcW w:w="28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TBA</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Take-Two will host a conference call today at 4:30 p.m. Eastern Time to review these results and discuss other topics. The call can be accessed by dialing (800) 715-9871 or (646) 307-1963 (conference ID: 9711440). A live listen-only webcast of the call will be available by visiting </w:t>
      </w:r>
      <w:r>
        <w:rPr>
          <w:rFonts w:ascii="Arial" w:cs="Arial" w:eastAsia="Arial" w:hAnsi="Arial"/>
          <w:sz w:val="18"/>
          <w:szCs w:val="18"/>
          <w:u w:val="single" w:color="auto"/>
          <w:color w:val="0000FF"/>
        </w:rPr>
        <w:t>http://ir.take2games.com</w:t>
      </w:r>
      <w:r>
        <w:rPr>
          <w:rFonts w:ascii="Arial" w:cs="Arial" w:eastAsia="Arial" w:hAnsi="Arial"/>
          <w:sz w:val="18"/>
          <w:szCs w:val="18"/>
          <w:color w:val="auto"/>
        </w:rPr>
        <w:t xml:space="preserve"> and a replay will be available following the call at the same location.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which is defined as GAAP net income (loss) excluding interest income (expense), provision for (benefit from) income taxes, depreciation expense, and amortization and impairment of acquired intangibles.</w:t>
      </w:r>
    </w:p>
    <w:p>
      <w:pPr>
        <w:spacing w:after="0" w:line="20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management believes it is important to consider EBITDA, in addition to net income, as it removes the effect of certain non-cash expenses, debt-related charges, and income taxes. Management believes that, when considered together with reported amounts, EBITDA is useful to investors and management in understanding the Company’s ongoing operations and in analysis of ongoing operating trends and provides useful additional information relating to the Company’s operations and financial condition.</w:t>
      </w:r>
    </w:p>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Annual Report on Form 10-K for the period ended March 31,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and Zynga. 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The Company’s common stock is publicly traded on NASDAQ under the symbol TTWO. For more corporate and product information please visit our website at </w:t>
      </w:r>
      <w:r>
        <w:rPr>
          <w:rFonts w:ascii="Arial" w:cs="Arial" w:eastAsia="Arial" w:hAnsi="Arial"/>
          <w:sz w:val="18"/>
          <w:szCs w:val="18"/>
          <w:u w:val="single" w:color="auto"/>
          <w:color w:val="0000FF"/>
        </w:rPr>
        <w:t>http://www.take2games.com</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93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7"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w:t>
      </w:r>
    </w:p>
    <w:p>
      <w:pPr>
        <w:spacing w:after="0" w:line="251" w:lineRule="auto"/>
        <w:rPr>
          <w:sz w:val="20"/>
          <w:szCs w:val="20"/>
          <w:color w:val="auto"/>
        </w:rPr>
      </w:pPr>
      <w:r>
        <w:rPr>
          <w:rFonts w:ascii="Arial" w:cs="Arial" w:eastAsia="Arial" w:hAnsi="Arial"/>
          <w:sz w:val="18"/>
          <w:szCs w:val="18"/>
          <w:color w:val="auto"/>
        </w:rPr>
        <w:t xml:space="preserve">"seeks,"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w:t>
      </w:r>
      <w:r>
        <w:rPr>
          <w:rFonts w:ascii="Arial" w:cs="Arial" w:eastAsia="Arial" w:hAnsi="Arial"/>
          <w:sz w:val="18"/>
          <w:szCs w:val="18"/>
          <w:color w:val="auto"/>
        </w:rPr>
        <w:t>products and our ability to develop other hit titles; our ability to leverage opportunities on PlayStation®5 and Xbox Series X|S;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factors affecting our mobile business, such as player acquisition costs; and the ability to maintain acceptable pricing levels on our games.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 w:cs="Arial" w:eastAsia="Arial" w:hAnsi="Arial"/>
          <w:sz w:val="18"/>
          <w:szCs w:val="18"/>
          <w:u w:val="single" w:color="auto"/>
          <w:color w:val="0000FF"/>
        </w:rPr>
        <w:t>www.take2games.com</w:t>
      </w:r>
      <w:r>
        <w:rPr>
          <w:rFonts w:ascii="Arial" w:cs="Arial" w:eastAsia="Arial" w:hAnsi="Arial"/>
          <w:sz w:val="18"/>
          <w:szCs w:val="18"/>
          <w:color w:val="auto"/>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31" w:right="35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0"/>
                <w:szCs w:val="20"/>
                <w:color w:val="auto"/>
              </w:rPr>
            </w:pPr>
          </w:p>
        </w:tc>
        <w:tc>
          <w:tcPr>
            <w:tcW w:w="32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3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1,568.4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6,162.1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37"/>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Game intangibles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development costs and royalties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r>
      <w:tr>
        <w:trPr>
          <w:trHeight w:val="237"/>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3,062.2</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r>
      <w:tr>
        <w:trPr>
          <w:trHeight w:val="24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7,453.3</w:t>
            </w:r>
          </w:p>
        </w:tc>
      </w:tr>
      <w:tr>
        <w:trPr>
          <w:trHeight w:val="237"/>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(4,391.1)</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7"/>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(4,491.3)</w:t>
            </w: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6"/>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(4,478.9)</w:t>
            </w: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3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280" w:type="dxa"/>
            <w:vAlign w:val="bottom"/>
          </w:tcPr>
          <w:p>
            <w:pPr>
              <w:spacing w:after="0"/>
              <w:rPr>
                <w:sz w:val="17"/>
                <w:szCs w:val="17"/>
                <w:color w:val="auto"/>
              </w:rPr>
            </w:pP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5"/>
                <w:szCs w:val="15"/>
                <w:b w:val="1"/>
                <w:bCs w:val="1"/>
                <w:color w:val="auto"/>
              </w:rPr>
              <w:t>March 31, 2025</w:t>
            </w:r>
          </w:p>
        </w:tc>
      </w:tr>
      <w:tr>
        <w:trPr>
          <w:trHeight w:val="35"/>
        </w:trPr>
        <w:tc>
          <w:tcPr>
            <w:tcW w:w="7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23"/>
        </w:trPr>
        <w:tc>
          <w:tcPr>
            <w:tcW w:w="7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3"/>
        </w:trPr>
        <w:tc>
          <w:tcPr>
            <w:tcW w:w="7440" w:type="dxa"/>
            <w:vAlign w:val="bottom"/>
            <w:gridSpan w:val="2"/>
          </w:tcPr>
          <w:p>
            <w:pPr>
              <w:ind w:left="33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1,545.5</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$0.9 and $1.6 at March 31, 2026 and 2025, respectively</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737.0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w:t>
            </w: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37"/>
        </w:trPr>
        <w:tc>
          <w:tcPr>
            <w:tcW w:w="7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37"/>
        </w:trPr>
        <w:tc>
          <w:tcPr>
            <w:tcW w:w="73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3,199.5</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Software development costs and licenses, net of current portion</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1,892.6</w:t>
            </w: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1,057.3</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2,336.0</w:t>
            </w: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restricted cash and cash equivalents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37"/>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57"/>
        </w:trPr>
        <w:tc>
          <w:tcPr>
            <w:tcW w:w="73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9,383.2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9,180.7</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4"/>
        </w:trPr>
        <w:tc>
          <w:tcPr>
            <w:tcW w:w="7440" w:type="dxa"/>
            <w:vAlign w:val="bottom"/>
            <w:gridSpan w:val="2"/>
          </w:tcPr>
          <w:p>
            <w:pPr>
              <w:ind w:left="19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211.0</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1,159.9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36"/>
        </w:trPr>
        <w:tc>
          <w:tcPr>
            <w:tcW w:w="7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Short-term debt, net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1,148.5</w:t>
            </w:r>
          </w:p>
        </w:tc>
      </w:tr>
      <w:tr>
        <w:trPr>
          <w:trHeight w:val="237"/>
        </w:trPr>
        <w:tc>
          <w:tcPr>
            <w:tcW w:w="73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2,588.8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3,615.8</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2,512.6</w:t>
            </w: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r>
      <w:tr>
        <w:trPr>
          <w:trHeight w:val="25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software development royalties</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3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r>
      <w:tr>
        <w:trPr>
          <w:trHeight w:val="246"/>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6"/>
        </w:trPr>
        <w:tc>
          <w:tcPr>
            <w:tcW w:w="74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5,872.3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7,043.0</w:t>
            </w:r>
          </w:p>
        </w:tc>
      </w:tr>
      <w:tr>
        <w:trPr>
          <w:trHeight w:val="20"/>
        </w:trPr>
        <w:tc>
          <w:tcPr>
            <w:tcW w:w="7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02"/>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5.0 shares authorized: no shares issued and outstanding at March 31, 2026</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2025</w:t>
            </w:r>
          </w:p>
        </w:tc>
        <w:tc>
          <w:tcPr>
            <w:tcW w:w="24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 300.0 and 300.0 shares authorized; 209.1 and 200.8 shares issued and 185.4</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177.1 outstanding at March 31, 2026 and 2025, respectively</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11,953.7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w:t>
            </w:r>
          </w:p>
        </w:tc>
      </w:tr>
      <w:tr>
        <w:trPr>
          <w:trHeight w:val="253"/>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23.7 and 23.7 common shares at March 31, 2026 and 2025, respectively</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w:t>
            </w:r>
          </w:p>
        </w:tc>
      </w:tr>
      <w:tr>
        <w:trPr>
          <w:trHeight w:val="23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(7,357.0)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(7,058.8)</w:t>
            </w:r>
          </w:p>
        </w:tc>
      </w:tr>
      <w:tr>
        <w:trPr>
          <w:trHeight w:val="246"/>
        </w:trPr>
        <w:tc>
          <w:tcPr>
            <w:tcW w:w="7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37"/>
        </w:trPr>
        <w:tc>
          <w:tcPr>
            <w:tcW w:w="7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3,510.9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r>
      <w:tr>
        <w:trPr>
          <w:trHeight w:val="256"/>
        </w:trPr>
        <w:tc>
          <w:tcPr>
            <w:tcW w:w="7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9,383.2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9,180.7</w:t>
            </w:r>
          </w:p>
        </w:tc>
      </w:tr>
      <w:tr>
        <w:trPr>
          <w:trHeight w:val="20"/>
        </w:trPr>
        <w:tc>
          <w:tcPr>
            <w:tcW w:w="7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69"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208280</wp:posOffset>
            </wp:positionV>
            <wp:extent cx="2922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 Ended March 31,</w:t>
            </w:r>
          </w:p>
        </w:tc>
        <w:tc>
          <w:tcPr>
            <w:tcW w:w="1300" w:type="dxa"/>
            <w:vAlign w:val="bottom"/>
            <w:tcBorders>
              <w:bottom w:val="single" w:sz="8" w:color="auto"/>
            </w:tcBorders>
          </w:tcPr>
          <w:p>
            <w:pPr>
              <w:spacing w:after="0"/>
              <w:rPr>
                <w:sz w:val="19"/>
                <w:szCs w:val="19"/>
                <w:color w:val="auto"/>
              </w:rPr>
            </w:pPr>
          </w:p>
        </w:tc>
      </w:tr>
      <w:tr>
        <w:trPr>
          <w:trHeight w:val="237"/>
        </w:trPr>
        <w:tc>
          <w:tcPr>
            <w:tcW w:w="6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(298.2)</w:t>
            </w:r>
          </w:p>
        </w:tc>
        <w:tc>
          <w:tcPr>
            <w:tcW w:w="120" w:type="dxa"/>
            <w:vAlign w:val="bottom"/>
          </w:tcPr>
          <w:p>
            <w:pPr>
              <w:spacing w:after="0"/>
              <w:rPr>
                <w:sz w:val="20"/>
                <w:szCs w:val="20"/>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(4,478.9)</w:t>
            </w:r>
          </w:p>
        </w:tc>
      </w:tr>
      <w:tr>
        <w:trPr>
          <w:trHeight w:val="253"/>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and impairment of software development costs and licenses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412.8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and impairment of intangibles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impairment</w:t>
            </w:r>
          </w:p>
        </w:tc>
        <w:tc>
          <w:tcPr>
            <w:tcW w:w="1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Fair value adjustments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3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effect from purchases of businesses:</w:t>
            </w: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other current and other non-current assets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6"/>
        </w:trPr>
        <w:tc>
          <w:tcPr>
            <w:tcW w:w="6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(365.3)</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w:t>
            </w:r>
          </w:p>
        </w:tc>
      </w:tr>
      <w:tr>
        <w:trPr>
          <w:trHeight w:val="237"/>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624.3</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4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 in bank time deposits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Divestitures</w:t>
            </w:r>
          </w:p>
        </w:tc>
        <w:tc>
          <w:tcPr>
            <w:tcW w:w="1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Business acquisitions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acquisitions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36"/>
        </w:trPr>
        <w:tc>
          <w:tcPr>
            <w:tcW w:w="6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6"/>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(649.2)</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3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payment related to net share settlements on restricted stock awards</w:t>
            </w:r>
          </w:p>
        </w:tc>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1,247.5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for settlement of convertible notes</w:t>
            </w:r>
          </w:p>
        </w:tc>
        <w:tc>
          <w:tcPr>
            <w:tcW w:w="1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r>
      <w:tr>
        <w:trPr>
          <w:trHeight w:val="253"/>
        </w:trPr>
        <w:tc>
          <w:tcPr>
            <w:tcW w:w="6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debt</w:t>
            </w:r>
          </w:p>
        </w:tc>
        <w:tc>
          <w:tcPr>
            <w:tcW w:w="1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Repayment of debt</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(1,150.0)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contingent earn-out consideration</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6"/>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94.6</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202"/>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Effects of foreign currency exchange rates on cash, cash equivalents, and restricted cash and cash</w:t>
            </w: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7"/>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equivalents</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and cash equivalents</w:t>
            </w:r>
          </w:p>
        </w:tc>
        <w:tc>
          <w:tcPr>
            <w:tcW w:w="1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r>
      <w:tr>
        <w:trPr>
          <w:trHeight w:val="253"/>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Cash, cash equivalents, and restricted cash and cash equivalents, beginning of year </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1,559.2</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r>
      <w:tr>
        <w:trPr>
          <w:trHeight w:val="237"/>
        </w:trPr>
        <w:tc>
          <w:tcPr>
            <w:tcW w:w="6640" w:type="dxa"/>
            <w:vAlign w:val="bottom"/>
            <w:gridSpan w:val="2"/>
          </w:tcPr>
          <w:p>
            <w:pPr>
              <w:ind w:left="140"/>
              <w:spacing w:after="0" w:line="237" w:lineRule="exact"/>
              <w:rPr>
                <w:sz w:val="20"/>
                <w:szCs w:val="20"/>
                <w:color w:val="auto"/>
              </w:rPr>
            </w:pPr>
            <w:r>
              <w:rPr>
                <w:rFonts w:ascii="Times New Roman" w:cs="Times New Roman" w:eastAsia="Times New Roman" w:hAnsi="Times New Roman"/>
                <w:sz w:val="16"/>
                <w:szCs w:val="16"/>
                <w:color w:val="auto"/>
              </w:rPr>
              <w:t xml:space="preserve">Cash, cash equivalents, and restricted cash and cash equivalents, end of period </w:t>
            </w:r>
            <w:r>
              <w:rPr>
                <w:rFonts w:ascii="Times New Roman" w:cs="Times New Roman" w:eastAsia="Times New Roman" w:hAnsi="Times New Roman"/>
                <w:sz w:val="21"/>
                <w:szCs w:val="21"/>
                <w:color w:val="auto"/>
                <w:vertAlign w:val="superscript"/>
              </w:rPr>
              <w:t>(1)</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1,638.1</w:t>
            </w:r>
          </w:p>
        </w:tc>
        <w:tc>
          <w:tcPr>
            <w:tcW w:w="120" w:type="dxa"/>
            <w:vAlign w:val="bottom"/>
          </w:tcPr>
          <w:p>
            <w:pPr>
              <w:spacing w:after="0"/>
              <w:rPr>
                <w:sz w:val="20"/>
                <w:szCs w:val="20"/>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1,559.2</w:t>
            </w:r>
          </w:p>
        </w:tc>
      </w:tr>
      <w:tr>
        <w:trPr>
          <w:trHeight w:val="20"/>
        </w:trPr>
        <w:tc>
          <w:tcPr>
            <w:tcW w:w="6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55" w:gutter="0" w:footer="0" w:header="0"/>
        </w:sectPr>
      </w:pPr>
    </w:p>
    <w:bookmarkStart w:id="13" w:name="page14"/>
    <w:bookmarkEnd w:id="13"/>
    <w:p>
      <w:pPr>
        <w:ind w:left="-8" w:firstLine="8"/>
        <w:spacing w:after="0" w:line="238" w:lineRule="auto"/>
        <w:tabs>
          <w:tab w:leader="none" w:pos="16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sectPr>
          <w:pgSz w:w="11900" w:h="16838" w:orient="portrait"/>
          <w:cols w:equalWidth="0" w:num="1">
            <w:col w:w="11232"/>
          </w:cols>
          <w:pgMar w:left="328" w:top="126"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63" w:lineRule="exact"/>
        <w:rPr>
          <w:sz w:val="20"/>
          <w:szCs w:val="20"/>
          <w:color w:val="auto"/>
        </w:rPr>
      </w:pPr>
    </w:p>
    <w:p>
      <w:pPr>
        <w:ind w:left="20" w:right="3880"/>
        <w:spacing w:after="0" w:line="349"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8"/>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991.7</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1,679.8</w:t>
            </w:r>
          </w:p>
        </w:tc>
        <w:tc>
          <w:tcPr>
            <w:tcW w:w="80" w:type="dxa"/>
            <w:vAlign w:val="bottom"/>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932.7</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647.6</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1,580.3</w:t>
            </w: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37"/>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1,635.5</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1,679.8</w:t>
            </w:r>
          </w:p>
        </w:tc>
        <w:tc>
          <w:tcPr>
            <w:tcW w:w="80" w:type="dxa"/>
            <w:vAlign w:val="bottom"/>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1,540.3</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1,580.3</w:t>
            </w: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36"/>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843.9</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1,679.8</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platform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1,580.3</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9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63" w:lineRule="exact"/>
        <w:rPr>
          <w:sz w:val="20"/>
          <w:szCs w:val="20"/>
          <w:color w:val="auto"/>
        </w:rPr>
      </w:pPr>
    </w:p>
    <w:p>
      <w:pPr>
        <w:ind w:left="20" w:right="3880"/>
        <w:spacing w:after="0" w:line="349"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tcPr>
          <w:p>
            <w:pPr>
              <w:spacing w:after="0"/>
              <w:rPr>
                <w:sz w:val="18"/>
                <w:szCs w:val="18"/>
                <w:color w:val="auto"/>
              </w:rPr>
            </w:pPr>
          </w:p>
        </w:tc>
        <w:tc>
          <w:tcPr>
            <w:tcW w:w="328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Fiscal Year Ended</w:t>
            </w:r>
          </w:p>
        </w:tc>
      </w:tr>
      <w:tr>
        <w:trPr>
          <w:trHeight w:val="238"/>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Pr>
          <w:p>
            <w:pPr>
              <w:spacing w:after="0"/>
              <w:rPr>
                <w:sz w:val="20"/>
                <w:szCs w:val="20"/>
                <w:color w:val="auto"/>
              </w:rPr>
            </w:pPr>
          </w:p>
        </w:tc>
        <w:tc>
          <w:tcPr>
            <w:tcW w:w="328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3,940.4</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2,716.0</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8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4,004.9</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2,716.1</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6,721.0</w:t>
            </w:r>
          </w:p>
        </w:tc>
        <w:tc>
          <w:tcPr>
            <w:tcW w:w="8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Fiscal Year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7"/>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6,459.7</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6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8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6,528.3</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6,721.0</w:t>
            </w:r>
          </w:p>
        </w:tc>
        <w:tc>
          <w:tcPr>
            <w:tcW w:w="8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21"/>
        </w:trPr>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Fiscal Year Ended</w:t>
            </w:r>
          </w:p>
        </w:tc>
      </w:tr>
      <w:tr>
        <w:trPr>
          <w:trHeight w:val="265"/>
        </w:trPr>
        <w:tc>
          <w:tcPr>
            <w:tcW w:w="3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6"/>
        </w:trPr>
        <w:tc>
          <w:tcPr>
            <w:tcW w:w="3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3,333.0</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2,597.3</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726.1</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Bookings by platform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3,300.9</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733.1</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Bookings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6,721.0</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9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TAKE-TWO INTERACTIVE SOFTWARE, INC. and SUBSIDIARIES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ADDITIONAL DATA</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00" w:type="dxa"/>
            <w:vAlign w:val="bottom"/>
          </w:tcPr>
          <w:p>
            <w:pPr>
              <w:spacing w:after="0"/>
              <w:rPr>
                <w:sz w:val="17"/>
                <w:szCs w:val="17"/>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Game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development costs</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Selling and</w:t>
            </w:r>
          </w:p>
        </w:tc>
      </w:tr>
      <w:tr>
        <w:trPr>
          <w:trHeight w:val="23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 revenue</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Product costs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and royalties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marketing</w:t>
            </w: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82.4</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392.2</w:t>
            </w: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66"/>
        </w:trPr>
        <w:tc>
          <w:tcPr>
            <w:tcW w:w="3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00"/>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Interest and 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00"/>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00" w:type="dxa"/>
            <w:vAlign w:val="bottom"/>
          </w:tcPr>
          <w:p>
            <w:pPr>
              <w:spacing w:after="0"/>
              <w:rPr>
                <w:sz w:val="17"/>
                <w:szCs w:val="17"/>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Game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development costs</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Selling and</w:t>
            </w:r>
          </w:p>
        </w:tc>
      </w:tr>
      <w:tr>
        <w:trPr>
          <w:trHeight w:val="23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 revenue</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Product costs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and royalties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marketing</w:t>
            </w: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w:t>
            </w: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80"/>
        </w:trPr>
        <w:tc>
          <w:tcPr>
            <w:tcW w:w="3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00"/>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00" w:type="dxa"/>
            <w:vAlign w:val="bottom"/>
          </w:tcPr>
          <w:p>
            <w:pPr>
              <w:spacing w:after="0"/>
              <w:rPr>
                <w:sz w:val="16"/>
                <w:szCs w:val="16"/>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 and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bl>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TAKE-TWO INTERACTIVE SOFTWARE, INC. and SUBSIDIARIES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DATA</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0"/>
        </w:trPr>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3"/>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00" w:type="dxa"/>
            <w:vAlign w:val="bottom"/>
          </w:tcPr>
          <w:p>
            <w:pPr>
              <w:spacing w:after="0"/>
              <w:rPr>
                <w:sz w:val="17"/>
                <w:szCs w:val="17"/>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 Game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development costs</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Selling and</w:t>
            </w:r>
          </w:p>
        </w:tc>
      </w:tr>
      <w:tr>
        <w:trPr>
          <w:trHeight w:val="23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2026</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Product costs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intangibles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 royalties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marketing</w:t>
            </w: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6,656.4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1,770.8</w:t>
            </w: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80"/>
        </w:trPr>
        <w:tc>
          <w:tcPr>
            <w:tcW w:w="3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00"/>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2026</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1,074.6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70"/>
        </w:trPr>
        <w:tc>
          <w:tcPr>
            <w:tcW w:w="3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0"/>
        </w:trPr>
        <w:tc>
          <w:tcPr>
            <w:tcW w:w="3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Cost of</w:t>
            </w:r>
          </w:p>
        </w:tc>
        <w:tc>
          <w:tcPr>
            <w:tcW w:w="1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3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 Game</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development costs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Internal</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Selling and</w:t>
            </w:r>
          </w:p>
        </w:tc>
      </w:tr>
      <w:tr>
        <w:trPr>
          <w:trHeight w:val="239"/>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2025</w:t>
            </w:r>
          </w:p>
        </w:tc>
        <w:tc>
          <w:tcPr>
            <w:tcW w:w="10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80" w:type="dxa"/>
            <w:vAlign w:val="bottom"/>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Product costs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intangibles</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 royalties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royalties</w:t>
            </w: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marketing</w:t>
            </w:r>
          </w:p>
        </w:tc>
      </w:tr>
      <w:tr>
        <w:trPr>
          <w:trHeight w:val="23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5,633.6</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1,683.7</w:t>
            </w:r>
          </w:p>
        </w:tc>
      </w:tr>
      <w:tr>
        <w:trPr>
          <w:trHeight w:val="212"/>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12"/>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80"/>
        </w:trPr>
        <w:tc>
          <w:tcPr>
            <w:tcW w:w="3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00"/>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9"/>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General and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Interest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2025</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reorganization</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from deferred revenue and related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02"/>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and impairment of acquired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of business reorganization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bl>
    <w:p>
      <w:pPr>
        <w:sectPr>
          <w:pgSz w:w="11900" w:h="16838" w:orient="portrait"/>
          <w:cols w:equalWidth="0" w:num="1">
            <w:col w:w="11240"/>
          </w:cols>
          <w:pgMar w:left="320" w:top="1440" w:right="339" w:bottom="879"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w:t>
            </w: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3"/>
                <w:szCs w:val="23"/>
                <w:color w:val="auto"/>
              </w:rPr>
            </w:pPr>
          </w:p>
        </w:tc>
        <w:tc>
          <w:tcPr>
            <w:tcW w:w="3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(3,726.2)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(4,478.9)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760.6</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Fiscal Year Ending March 31, 2027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$105 to $141</w:t>
            </w: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$62 to $83</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6"/>
              </w:rPr>
              <w:t>$41</w:t>
            </w: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$181</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$624</w:t>
            </w:r>
          </w:p>
        </w:tc>
        <w:tc>
          <w:tcPr>
            <w:tcW w:w="1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$1,013 to $1,070</w:t>
            </w: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$(42) to $(27)</w:t>
            </w: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$(25) to $(16)</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$169</w:t>
            </w:r>
          </w:p>
        </w:tc>
        <w:tc>
          <w:tcPr>
            <w:tcW w:w="1120" w:type="dxa"/>
            <w:vAlign w:val="bottom"/>
            <w:tcBorders>
              <w:bottom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$155 to $179</w:t>
            </w:r>
          </w:p>
        </w:tc>
        <w:tc>
          <w:tcPr>
            <w:tcW w:w="1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4DB127F8"/>
    <w:multiLevelType w:val="hybridMultilevel"/>
    <w:lvl w:ilvl="0">
      <w:lvlJc w:val="left"/>
      <w:lvlText w:val="(%1)"/>
      <w:numFmt w:val="lowerLetter"/>
    </w:lvl>
    <w:lvl w:ilvl="1">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66EF438D"/>
    <w:multiLevelType w:val="hybridMultilevel"/>
    <w:lvl w:ilvl="0">
      <w:lvlJc w:val="left"/>
      <w:lvlText w:val="(%1)"/>
      <w:numFmt w:val="lowerLetter"/>
    </w:lvl>
    <w:lvl w:ilvl="1">
      <w:lvlJc w:val="left"/>
      <w:lvlText w:val="•"/>
      <w:numFmt w:val="bullet"/>
      <w:start w:val="1"/>
    </w:lvl>
  </w:abstractNum>
  <w:abstractNum w:abstractNumId="10">
    <w:nsid w:val="140E0F76"/>
    <w:multiLevelType w:val="hybridMultilevel"/>
    <w:lvl w:ilvl="0">
      <w:lvlJc w:val="left"/>
      <w:lvlText w:val="(%1)"/>
      <w:numFmt w:val="lowerLetter"/>
      <w:start w:val="1"/>
    </w:lvl>
    <w:lvl w:ilvl="1">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2026-05-21T15:18:05Z</dcterms:created>
  <dcterms:modified xsi:type="dcterms:W3CDTF">2026-05-21T15:18:05Z</dcterms:modified>
</cp:coreProperties>
</file>