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vMerge w:val="restart"/>
          </w:tcPr>
          <w:p>
            <w:pPr>
              <w:spacing w:after="0"/>
              <w:rPr>
                <w:rFonts w:ascii="Arial" w:cs="Arial" w:eastAsia="Arial" w:hAnsi="Arial"/>
                <w:sz w:val="22"/>
                <w:szCs w:val="22"/>
                <w:color w:val="0000EE"/>
                <w:w w:val="98"/>
              </w:rPr>
            </w:pPr>
            <w:hyperlink r:id="rId12">
              <w:r>
                <w:rPr>
                  <w:rFonts w:ascii="Arial" w:cs="Arial" w:eastAsia="Arial" w:hAnsi="Arial"/>
                  <w:sz w:val="22"/>
                  <w:szCs w:val="22"/>
                  <w:color w:val="0000EE"/>
                  <w:w w:val="98"/>
                </w:rPr>
                <w:t>Moses Jon J</w:t>
              </w:r>
            </w:hyperlink>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tcBorders>
              <w:bottom w:val="single" w:sz="8" w:color="0000EE"/>
            </w:tcBorders>
            <w:gridSpan w:val="9"/>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TAKE TWO INTERACTIVE SOFTWARE</w:t>
              </w:r>
            </w:hyperlink>
          </w:p>
        </w:tc>
        <w:tc>
          <w:tcPr>
            <w:tcW w:w="12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restart"/>
          </w:tcPr>
          <w:p>
            <w:pPr>
              <w:spacing w:after="0" w:line="229"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TTWO</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restart"/>
          </w:tcPr>
          <w:p>
            <w:pPr>
              <w:ind w:left="100"/>
              <w:spacing w:after="0" w:line="195" w:lineRule="exact"/>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42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line="143" w:lineRule="exact"/>
              <w:rPr>
                <w:sz w:val="20"/>
                <w:szCs w:val="20"/>
                <w:color w:val="auto"/>
              </w:rPr>
            </w:pPr>
            <w:r>
              <w:rPr>
                <w:rFonts w:ascii="Arial" w:cs="Arial" w:eastAsia="Arial" w:hAnsi="Arial"/>
                <w:sz w:val="14"/>
                <w:szCs w:val="14"/>
                <w:color w:val="auto"/>
              </w:rPr>
              <w:t>(Last)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40"/>
              <w:spacing w:after="0" w:line="143"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43"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line="143"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C/O TAKE-TWO INTERACTIVE SOFTWARE,</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6"/>
          </w:tcPr>
          <w:p>
            <w:pPr>
              <w:ind w:left="160"/>
              <w:spacing w:after="0"/>
              <w:rPr>
                <w:sz w:val="20"/>
                <w:szCs w:val="20"/>
                <w:color w:val="auto"/>
              </w:rPr>
            </w:pPr>
            <w:r>
              <w:rPr>
                <w:rFonts w:ascii="Arial" w:cs="Arial" w:eastAsia="Arial" w:hAnsi="Arial"/>
                <w:sz w:val="18"/>
                <w:szCs w:val="18"/>
                <w:color w:val="0000FF"/>
              </w:rPr>
              <w:t>08/10/2018</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110 WEST 44TH STREET</w:t>
            </w: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20" w:type="dxa"/>
            <w:vAlign w:val="bottom"/>
          </w:tcPr>
          <w:p>
            <w:pPr>
              <w:spacing w:after="0"/>
              <w:rPr>
                <w:sz w:val="11"/>
                <w:szCs w:val="11"/>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80" w:type="dxa"/>
            <w:vAlign w:val="bottom"/>
            <w:gridSpan w:val="9"/>
            <w:vMerge w:val="continue"/>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220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6"/>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w w:val="95"/>
              </w:rPr>
              <w:t>08/10/2018</w:t>
            </w: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692</w:t>
            </w:r>
            <w:r>
              <w:rPr>
                <w:rFonts w:ascii="Arial" w:cs="Arial" w:eastAsia="Arial" w:hAnsi="Arial"/>
                <w:sz w:val="22"/>
                <w:szCs w:val="22"/>
                <w:color w:val="008000"/>
                <w:w w:val="83"/>
                <w:vertAlign w:val="superscript"/>
              </w:rPr>
              <w:t>(1)</w:t>
            </w:r>
          </w:p>
        </w:tc>
        <w:tc>
          <w:tcPr>
            <w:tcW w:w="7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15,544</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9"/>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6"/>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acquisition of shares pursuant to a grant of restricted common stock pursuant to the Director compensation program (the "Program") and the Issuer's 2017 Stock Incentive Plan ("Stock Plan"). Includes 451 shares of restricted stock that vest on the first anniversary of the Pricing Date (as defined below) and 241 shares of common stock granted in lieu of cash compensation at the election of the Reporting Person, which shares were fully vested upon grant. As provided by the terms of the Program and the Stock Plan, (i) the grant date was August 10, 2018; and (ii) the number of shares were determined based on the dollar value of the award and the average of the closing prices of the common stock on the ten trading days prior to August 10, 2018 (the "Pricing Date"), the fifth trading day following the filing of the Issuer's Quarterly Report on Form 10-Q.</w:t>
      </w:r>
    </w:p>
    <w:p>
      <w:pPr>
        <w:spacing w:after="0" w:line="3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Jon J. Moses</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08/14/2018</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5704"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2019-12-23T21:16:02Z</dcterms:created>
  <dcterms:modified xsi:type="dcterms:W3CDTF">2019-12-23T21:16:02Z</dcterms:modified>
</cp:coreProperties>
</file>