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Dornemann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06/01/2020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574</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12,062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June 1, 2020; and (ii) the number of shares were determined based on the dollar value of the award and the average of the closing prices of the common stock on the ten trading days prior to June 1, 2020 (the "Pricing Date"), the fifth trading day following the filing of the Issuer's Annual Report on Form 10-K.</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Mr. Michael</w:t>
      </w:r>
      <w:r>
        <w:rPr>
          <w:sz w:val="20"/>
          <w:szCs w:val="20"/>
          <w:color w:val="auto"/>
        </w:rPr>
        <w:tab/>
      </w:r>
      <w:r>
        <w:rPr>
          <w:rFonts w:ascii="Arial" w:cs="Arial" w:eastAsia="Arial" w:hAnsi="Arial"/>
          <w:sz w:val="15"/>
          <w:szCs w:val="15"/>
          <w:color w:val="0000FF"/>
        </w:rPr>
        <w:t>06/03/2020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Dornemann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6020"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2020-06-03T16:03:24Z</dcterms:created>
  <dcterms:modified xsi:type="dcterms:W3CDTF">2020-06-03T16:03:24Z</dcterms:modified>
</cp:coreProperties>
</file>