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right="1239"/>
        <w:spacing w:after="0" w:line="277" w:lineRule="auto"/>
        <w:rPr>
          <w:sz w:val="20"/>
          <w:szCs w:val="20"/>
          <w:color w:val="auto"/>
        </w:rPr>
      </w:pPr>
      <w:r>
        <w:rPr>
          <w:rFonts w:ascii="Times New Roman" w:cs="Times New Roman" w:eastAsia="Times New Roman" w:hAnsi="Times New Roman"/>
          <w:sz w:val="43"/>
          <w:szCs w:val="43"/>
          <w:color w:val="auto"/>
        </w:rPr>
        <w:drawing>
          <wp:anchor simplePos="0" relativeHeight="251657728" behindDoc="1" locked="0" layoutInCell="0" allowOverlap="1">
            <wp:simplePos x="0" y="0"/>
            <wp:positionH relativeFrom="page">
              <wp:posOffset>195580</wp:posOffset>
            </wp:positionH>
            <wp:positionV relativeFrom="page">
              <wp:posOffset>144780</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page">
              <wp:posOffset>195580</wp:posOffset>
            </wp:positionH>
            <wp:positionV relativeFrom="page">
              <wp:posOffset>453390</wp:posOffset>
            </wp:positionV>
            <wp:extent cx="715772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57720" cy="42545"/>
                    </a:xfrm>
                    <a:prstGeom prst="rect">
                      <a:avLst/>
                    </a:prstGeom>
                    <a:noFill/>
                  </pic:spPr>
                </pic:pic>
              </a:graphicData>
            </a:graphic>
          </wp:anchor>
        </w:drawing>
        <w:t>SECURITIES AND EXCHANGE COMMISSION Washington, D.C. 20549</w:t>
      </w:r>
    </w:p>
    <w:p>
      <w:pPr>
        <w:spacing w:after="0" w:line="400" w:lineRule="exact"/>
        <w:rPr>
          <w:sz w:val="24"/>
          <w:szCs w:val="24"/>
          <w:color w:val="auto"/>
        </w:rPr>
      </w:pPr>
    </w:p>
    <w:p>
      <w:pPr>
        <w:spacing w:after="0"/>
        <w:rPr>
          <w:sz w:val="20"/>
          <w:szCs w:val="20"/>
          <w:color w:val="auto"/>
        </w:rPr>
      </w:pPr>
      <w:r>
        <w:rPr>
          <w:rFonts w:ascii="Times New Roman" w:cs="Times New Roman" w:eastAsia="Times New Roman" w:hAnsi="Times New Roman"/>
          <w:sz w:val="32"/>
          <w:szCs w:val="32"/>
          <w:color w:val="auto"/>
        </w:rPr>
        <w:t>SCHEDULE 13G</w:t>
      </w:r>
    </w:p>
    <w:p>
      <w:pPr>
        <w:spacing w:after="0" w:line="200" w:lineRule="exact"/>
        <w:rPr>
          <w:sz w:val="24"/>
          <w:szCs w:val="24"/>
          <w:color w:val="auto"/>
        </w:rPr>
      </w:pPr>
    </w:p>
    <w:p>
      <w:pPr>
        <w:spacing w:after="0" w:line="346" w:lineRule="exact"/>
        <w:rPr>
          <w:sz w:val="24"/>
          <w:szCs w:val="24"/>
          <w:color w:val="auto"/>
        </w:rPr>
      </w:pPr>
    </w:p>
    <w:p>
      <w:pPr>
        <w:spacing w:after="0"/>
        <w:rPr>
          <w:sz w:val="20"/>
          <w:szCs w:val="20"/>
          <w:color w:val="auto"/>
        </w:rPr>
      </w:pPr>
      <w:r>
        <w:rPr>
          <w:rFonts w:ascii="Times New Roman" w:cs="Times New Roman" w:eastAsia="Times New Roman" w:hAnsi="Times New Roman"/>
          <w:sz w:val="26"/>
          <w:szCs w:val="26"/>
          <w:color w:val="auto"/>
        </w:rPr>
        <w:t>UNDER THE SECURITIES EXCHANGE ACT OF 1934</w:t>
      </w:r>
    </w:p>
    <w:p>
      <w:pPr>
        <w:spacing w:after="0" w:line="106"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Take-Two Interactive Software Inc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720"/>
        <w:spacing w:after="0"/>
        <w:rPr>
          <w:sz w:val="20"/>
          <w:szCs w:val="20"/>
          <w:color w:val="auto"/>
        </w:rPr>
      </w:pPr>
      <w:r>
        <w:rPr>
          <w:rFonts w:ascii="Times New Roman" w:cs="Times New Roman" w:eastAsia="Times New Roman" w:hAnsi="Times New Roman"/>
          <w:sz w:val="22"/>
          <w:szCs w:val="22"/>
          <w:b w:val="1"/>
          <w:bCs w:val="1"/>
          <w:color w:val="auto"/>
        </w:rPr>
        <w:t>(Name of Issuer)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3220"/>
        <w:spacing w:after="0"/>
        <w:rPr>
          <w:sz w:val="20"/>
          <w:szCs w:val="20"/>
          <w:color w:val="auto"/>
        </w:rPr>
      </w:pPr>
      <w:r>
        <w:rPr>
          <w:rFonts w:ascii="Times New Roman" w:cs="Times New Roman" w:eastAsia="Times New Roman" w:hAnsi="Times New Roman"/>
          <w:sz w:val="22"/>
          <w:szCs w:val="22"/>
          <w:b w:val="1"/>
          <w:bCs w:val="1"/>
          <w:color w:val="auto"/>
        </w:rPr>
        <w:t>(Title of Class of Securities)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412115</wp:posOffset>
            </wp:positionV>
            <wp:extent cx="5717540" cy="425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53" w:lineRule="exact"/>
        <w:rPr>
          <w:sz w:val="24"/>
          <w:szCs w:val="24"/>
          <w:color w:val="auto"/>
        </w:rPr>
      </w:pPr>
    </w:p>
    <w:p>
      <w:pPr>
        <w:ind w:left="3680"/>
        <w:spacing w:after="0"/>
        <w:rPr>
          <w:sz w:val="20"/>
          <w:szCs w:val="20"/>
          <w:color w:val="auto"/>
        </w:rPr>
      </w:pPr>
      <w:r>
        <w:rPr>
          <w:rFonts w:ascii="Times New Roman" w:cs="Times New Roman" w:eastAsia="Times New Roman" w:hAnsi="Times New Roman"/>
          <w:sz w:val="22"/>
          <w:szCs w:val="22"/>
          <w:b w:val="1"/>
          <w:bCs w:val="1"/>
          <w:color w:val="auto"/>
        </w:rPr>
        <w:t>(CUSIP Number)</w:t>
      </w:r>
    </w:p>
    <w:p>
      <w:pPr>
        <w:spacing w:after="0" w:line="200" w:lineRule="exact"/>
        <w:rPr>
          <w:sz w:val="24"/>
          <w:szCs w:val="24"/>
          <w:color w:val="auto"/>
        </w:rPr>
      </w:pPr>
    </w:p>
    <w:p>
      <w:pPr>
        <w:spacing w:after="0" w:line="330" w:lineRule="exact"/>
        <w:rPr>
          <w:sz w:val="24"/>
          <w:szCs w:val="24"/>
          <w:color w:val="auto"/>
        </w:rPr>
      </w:pPr>
    </w:p>
    <w:p>
      <w:pPr>
        <w:jc w:val="center"/>
        <w:ind w:right="1119"/>
        <w:spacing w:after="0"/>
        <w:rPr>
          <w:sz w:val="20"/>
          <w:szCs w:val="20"/>
          <w:color w:val="auto"/>
        </w:rPr>
      </w:pPr>
      <w:r>
        <w:rPr>
          <w:rFonts w:ascii="Times New Roman" w:cs="Times New Roman" w:eastAsia="Times New Roman" w:hAnsi="Times New Roman"/>
          <w:sz w:val="22"/>
          <w:szCs w:val="22"/>
          <w:b w:val="1"/>
          <w:bCs w:val="1"/>
          <w:color w:val="0000FF"/>
        </w:rPr>
        <w:t>03/31/2026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69215</wp:posOffset>
            </wp:positionV>
            <wp:extent cx="5717540" cy="425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717540" cy="42545"/>
                    </a:xfrm>
                    <a:prstGeom prst="rect">
                      <a:avLst/>
                    </a:prstGeom>
                    <a:noFill/>
                  </pic:spPr>
                </pic:pic>
              </a:graphicData>
            </a:graphic>
          </wp:anchor>
        </w:drawing>
      </w:r>
    </w:p>
    <w:p>
      <w:pPr>
        <w:spacing w:after="0" w:line="213" w:lineRule="exact"/>
        <w:rPr>
          <w:sz w:val="24"/>
          <w:szCs w:val="24"/>
          <w:color w:val="auto"/>
        </w:rPr>
      </w:pPr>
    </w:p>
    <w:p>
      <w:pPr>
        <w:ind w:left="1920"/>
        <w:spacing w:after="0"/>
        <w:rPr>
          <w:sz w:val="20"/>
          <w:szCs w:val="20"/>
          <w:color w:val="auto"/>
        </w:rPr>
      </w:pPr>
      <w:r>
        <w:rPr>
          <w:rFonts w:ascii="Times New Roman" w:cs="Times New Roman" w:eastAsia="Times New Roman" w:hAnsi="Times New Roman"/>
          <w:sz w:val="22"/>
          <w:szCs w:val="22"/>
          <w:b w:val="1"/>
          <w:bCs w:val="1"/>
          <w:color w:val="auto"/>
        </w:rPr>
        <w:t>(Date of Event Which Requires Filing of this Statement)</w:t>
      </w:r>
    </w:p>
    <w:p>
      <w:pPr>
        <w:spacing w:after="0" w:line="200" w:lineRule="exact"/>
        <w:rPr>
          <w:sz w:val="24"/>
          <w:szCs w:val="24"/>
          <w:color w:val="auto"/>
        </w:rPr>
      </w:pPr>
    </w:p>
    <w:p>
      <w:pPr>
        <w:spacing w:after="0" w:line="36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Check the appropriate box to designate the rule pursuant to which this Schedule is filed:</w:t>
      </w:r>
    </w:p>
    <w:p>
      <w:pPr>
        <w:spacing w:after="0" w:line="5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38" w:lineRule="exact"/>
        <w:rPr>
          <w:sz w:val="24"/>
          <w:szCs w:val="24"/>
          <w:color w:val="auto"/>
        </w:rPr>
      </w:pPr>
    </w:p>
    <w:p>
      <w:pPr>
        <w:ind w:left="380"/>
        <w:spacing w:after="0"/>
        <w:rPr>
          <w:sz w:val="20"/>
          <w:szCs w:val="20"/>
          <w:color w:val="auto"/>
        </w:rPr>
      </w:pPr>
      <w:r>
        <w:rPr>
          <w:rFonts w:ascii="Times New Roman" w:cs="Times New Roman" w:eastAsia="Times New Roman" w:hAnsi="Times New Roman"/>
          <w:sz w:val="22"/>
          <w:szCs w:val="22"/>
          <w:color w:val="auto"/>
        </w:rPr>
        <w:t>Rule 13d-1(d)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-32385</wp:posOffset>
            </wp:positionH>
            <wp:positionV relativeFrom="paragraph">
              <wp:posOffset>92710</wp:posOffset>
            </wp:positionV>
            <wp:extent cx="7157720" cy="425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-32385</wp:posOffset>
            </wp:positionH>
            <wp:positionV relativeFrom="paragraph">
              <wp:posOffset>178435</wp:posOffset>
            </wp:positionV>
            <wp:extent cx="7157720" cy="425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57720" cy="425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-151130</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13" w:lineRule="exact"/>
        <w:rPr>
          <w:sz w:val="24"/>
          <w:szCs w:val="24"/>
          <w:color w:val="auto"/>
        </w:rPr>
      </w:pPr>
    </w:p>
    <w:p>
      <w:pPr>
        <w:ind w:left="20"/>
        <w:spacing w:after="0"/>
        <w:rPr>
          <w:sz w:val="20"/>
          <w:szCs w:val="20"/>
          <w:color w:val="auto"/>
        </w:rPr>
      </w:pPr>
      <w:r>
        <w:rPr>
          <w:rFonts w:ascii="Times New Roman" w:cs="Times New Roman" w:eastAsia="Times New Roman" w:hAnsi="Times New Roman"/>
          <w:sz w:val="26"/>
          <w:szCs w:val="26"/>
          <w:color w:val="auto"/>
        </w:rPr>
        <w:t>SCHEDULE 13G</w:t>
      </w:r>
    </w:p>
    <w:p>
      <w:pPr>
        <w:spacing w:after="0" w:line="295"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b w:val="1"/>
          <w:bCs w:val="1"/>
          <w:color w:val="auto"/>
        </w:rPr>
        <w:t>CUSIP No.</w:t>
      </w:r>
    </w:p>
    <w:p>
      <w:pPr>
        <w:spacing w:after="0" w:line="200" w:lineRule="exact"/>
        <w:rPr>
          <w:sz w:val="24"/>
          <w:szCs w:val="24"/>
          <w:color w:val="auto"/>
        </w:rPr>
      </w:pPr>
    </w:p>
    <w:p>
      <w:pPr>
        <w:spacing w:after="0" w:line="361"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Names of Reporting Persons</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1</w:t>
      </w:r>
    </w:p>
    <w:p>
      <w:pPr>
        <w:ind w:left="112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20" w:lineRule="exact"/>
        <w:rPr>
          <w:sz w:val="24"/>
          <w:szCs w:val="24"/>
          <w:color w:val="auto"/>
        </w:rPr>
      </w:pPr>
    </w:p>
    <w:p>
      <w:pPr>
        <w:ind w:left="1120"/>
        <w:spacing w:after="0"/>
        <w:rPr>
          <w:sz w:val="20"/>
          <w:szCs w:val="20"/>
          <w:color w:val="auto"/>
        </w:rPr>
      </w:pPr>
      <w:r>
        <w:rPr>
          <w:rFonts w:ascii="Times New Roman" w:cs="Times New Roman" w:eastAsia="Times New Roman" w:hAnsi="Times New Roman"/>
          <w:sz w:val="22"/>
          <w:szCs w:val="22"/>
          <w:color w:val="auto"/>
        </w:rPr>
        <w:t>Check the appropriate box if a member of a Group (see instructions)</w:t>
      </w:r>
    </w:p>
    <w:p>
      <w:pPr>
        <w:spacing w:after="0" w:line="33" w:lineRule="exact"/>
        <w:rPr>
          <w:sz w:val="24"/>
          <w:szCs w:val="24"/>
          <w:color w:val="auto"/>
        </w:rPr>
      </w:pPr>
    </w:p>
    <w:p>
      <w:pPr>
        <w:ind w:left="1120" w:hanging="1112"/>
        <w:spacing w:after="0"/>
        <w:tabs>
          <w:tab w:leader="none" w:pos="1120" w:val="left"/>
        </w:tabs>
        <w:numPr>
          <w:ilvl w:val="0"/>
          <w:numId w:val="1"/>
        </w:numPr>
        <w:rPr>
          <w:rFonts w:ascii="Times New Roman" w:cs="Times New Roman" w:eastAsia="Times New Roman" w:hAnsi="Times New Roman"/>
          <w:sz w:val="43"/>
          <w:szCs w:val="43"/>
          <w:color w:val="auto"/>
          <w:vertAlign w:val="superscript"/>
        </w:rPr>
      </w:pPr>
      <w:r>
        <w:rPr>
          <w:sz w:val="1"/>
          <w:szCs w:val="1"/>
          <w:color w:val="auto"/>
        </w:rPr>
        <w:drawing>
          <wp:inline distT="0" distB="0" distL="0" distR="0">
            <wp:extent cx="128905" cy="128270"/>
            <wp:effectExtent l="0" t="0" r="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27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w:t>
      </w:r>
    </w:p>
    <w:p>
      <w:pPr>
        <w:ind w:left="1120"/>
        <w:spacing w:after="0"/>
        <w:rPr>
          <w:rFonts w:ascii="Times New Roman" w:cs="Times New Roman" w:eastAsia="Times New Roman" w:hAnsi="Times New Roman"/>
          <w:sz w:val="43"/>
          <w:szCs w:val="43"/>
          <w:color w:val="auto"/>
          <w:vertAlign w:val="superscript"/>
        </w:rPr>
      </w:pPr>
      <w:r>
        <w:rPr>
          <w:rFonts w:ascii="Times New Roman" w:cs="Times New Roman" w:eastAsia="Times New Roman" w:hAnsi="Times New Roman"/>
          <w:sz w:val="1"/>
          <w:szCs w:val="1"/>
          <w:color w:val="auto"/>
          <w:vertAlign w:val="superscript"/>
        </w:rPr>
        <w:drawing>
          <wp:inline distT="0" distB="0" distL="0" distR="0">
            <wp:extent cx="128905" cy="128905"/>
            <wp:effectExtent l="0" t="0" r="0" b="0"/>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(b)</w:t>
      </w:r>
    </w:p>
    <w:p>
      <w:pPr>
        <w:spacing w:after="0" w:line="30" w:lineRule="exact"/>
        <w:rPr>
          <w:sz w:val="24"/>
          <w:szCs w:val="24"/>
          <w:color w:val="auto"/>
        </w:rPr>
      </w:pPr>
    </w:p>
    <w:p>
      <w:pPr>
        <w:ind w:left="1120" w:hanging="1112"/>
        <w:spacing w:after="0"/>
        <w:tabs>
          <w:tab w:leader="none" w:pos="1120" w:val="left"/>
        </w:tabs>
        <w:numPr>
          <w:ilvl w:val="0"/>
          <w:numId w:val="2"/>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Sec Use Only</w:t>
      </w:r>
    </w:p>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82"/>
        </w:trPr>
        <w:tc>
          <w:tcPr>
            <w:tcW w:w="11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4</w:t>
            </w:r>
          </w:p>
        </w:tc>
        <w:tc>
          <w:tcPr>
            <w:tcW w:w="3180" w:type="dxa"/>
            <w:vAlign w:val="bottom"/>
          </w:tcPr>
          <w:p>
            <w:pPr>
              <w:ind w:left="20"/>
              <w:spacing w:after="0"/>
              <w:rPr>
                <w:sz w:val="20"/>
                <w:szCs w:val="20"/>
                <w:color w:val="auto"/>
              </w:rPr>
            </w:pPr>
            <w:r>
              <w:rPr>
                <w:rFonts w:ascii="Times New Roman" w:cs="Times New Roman" w:eastAsia="Times New Roman" w:hAnsi="Times New Roman"/>
                <w:sz w:val="22"/>
                <w:szCs w:val="22"/>
                <w:color w:val="auto"/>
                <w:w w:val="97"/>
              </w:rPr>
              <w:t>Citizenship or Place of Organization</w:t>
            </w:r>
          </w:p>
        </w:tc>
        <w:tc>
          <w:tcPr>
            <w:tcW w:w="0" w:type="dxa"/>
            <w:vAlign w:val="bottom"/>
          </w:tcPr>
          <w:p>
            <w:pPr>
              <w:spacing w:after="0"/>
              <w:rPr>
                <w:sz w:val="1"/>
                <w:szCs w:val="1"/>
                <w:color w:val="auto"/>
              </w:rPr>
            </w:pPr>
          </w:p>
        </w:tc>
      </w:tr>
      <w:tr>
        <w:trPr>
          <w:trHeight w:val="243"/>
        </w:trPr>
        <w:tc>
          <w:tcPr>
            <w:tcW w:w="1100" w:type="dxa"/>
            <w:vAlign w:val="bottom"/>
            <w:vMerge w:val="continue"/>
          </w:tcPr>
          <w:p>
            <w:pPr>
              <w:spacing w:after="0"/>
              <w:rPr>
                <w:sz w:val="21"/>
                <w:szCs w:val="21"/>
                <w:color w:val="auto"/>
              </w:rPr>
            </w:pPr>
          </w:p>
        </w:tc>
        <w:tc>
          <w:tcPr>
            <w:tcW w:w="3180" w:type="dxa"/>
            <w:vAlign w:val="bottom"/>
            <w:vMerge w:val="restart"/>
          </w:tcPr>
          <w:p>
            <w:pPr>
              <w:ind w:left="20"/>
              <w:spacing w:after="0"/>
              <w:rPr>
                <w:sz w:val="20"/>
                <w:szCs w:val="20"/>
                <w:color w:val="auto"/>
              </w:rPr>
            </w:pPr>
            <w:r>
              <w:rPr>
                <w:rFonts w:ascii="Times New Roman" w:cs="Times New Roman" w:eastAsia="Times New Roman" w:hAnsi="Times New Roman"/>
                <w:sz w:val="22"/>
                <w:szCs w:val="22"/>
                <w:color w:val="auto"/>
              </w:rPr>
              <w:t>PENNSYLVANIA</w:t>
            </w:r>
          </w:p>
        </w:tc>
        <w:tc>
          <w:tcPr>
            <w:tcW w:w="0" w:type="dxa"/>
            <w:vAlign w:val="bottom"/>
          </w:tcPr>
          <w:p>
            <w:pPr>
              <w:spacing w:after="0"/>
              <w:rPr>
                <w:sz w:val="1"/>
                <w:szCs w:val="1"/>
                <w:color w:val="auto"/>
              </w:rPr>
            </w:pPr>
          </w:p>
        </w:tc>
      </w:tr>
      <w:tr>
        <w:trPr>
          <w:trHeight w:val="243"/>
        </w:trPr>
        <w:tc>
          <w:tcPr>
            <w:tcW w:w="1100" w:type="dxa"/>
            <w:vAlign w:val="bottom"/>
          </w:tcPr>
          <w:p>
            <w:pPr>
              <w:spacing w:after="0"/>
              <w:rPr>
                <w:sz w:val="21"/>
                <w:szCs w:val="21"/>
                <w:color w:val="auto"/>
              </w:rPr>
            </w:pPr>
          </w:p>
        </w:tc>
        <w:tc>
          <w:tcPr>
            <w:tcW w:w="31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71"/>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Number of</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Sole Voting Power</w:t>
            </w:r>
          </w:p>
        </w:tc>
        <w:tc>
          <w:tcPr>
            <w:tcW w:w="0" w:type="dxa"/>
            <w:vAlign w:val="bottom"/>
          </w:tcPr>
          <w:p>
            <w:pPr>
              <w:spacing w:after="0"/>
              <w:rPr>
                <w:sz w:val="1"/>
                <w:szCs w:val="1"/>
                <w:color w:val="auto"/>
              </w:rPr>
            </w:pPr>
          </w:p>
        </w:tc>
      </w:tr>
      <w:tr>
        <w:trPr>
          <w:trHeight w:val="243"/>
        </w:trPr>
        <w:tc>
          <w:tcPr>
            <w:tcW w:w="110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Shares</w:t>
            </w:r>
          </w:p>
        </w:tc>
        <w:tc>
          <w:tcPr>
            <w:tcW w:w="31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5</w:t>
            </w:r>
          </w:p>
        </w:tc>
        <w:tc>
          <w:tcPr>
            <w:tcW w:w="0" w:type="dxa"/>
            <w:vAlign w:val="bottom"/>
          </w:tcPr>
          <w:p>
            <w:pPr>
              <w:spacing w:after="0"/>
              <w:rPr>
                <w:sz w:val="1"/>
                <w:szCs w:val="1"/>
                <w:color w:val="auto"/>
              </w:rPr>
            </w:pPr>
          </w:p>
        </w:tc>
      </w:tr>
      <w:tr>
        <w:trPr>
          <w:trHeight w:val="309"/>
        </w:trPr>
        <w:tc>
          <w:tcPr>
            <w:tcW w:w="1100" w:type="dxa"/>
            <w:vAlign w:val="bottom"/>
          </w:tcPr>
          <w:p>
            <w:pPr>
              <w:spacing w:after="0"/>
              <w:rPr>
                <w:sz w:val="20"/>
                <w:szCs w:val="20"/>
                <w:color w:val="auto"/>
              </w:rPr>
            </w:pPr>
            <w:r>
              <w:rPr>
                <w:rFonts w:ascii="Times New Roman" w:cs="Times New Roman" w:eastAsia="Times New Roman" w:hAnsi="Times New Roman"/>
                <w:sz w:val="22"/>
                <w:szCs w:val="22"/>
                <w:color w:val="auto"/>
              </w:rPr>
              <w:t>Beneficially</w:t>
            </w:r>
          </w:p>
        </w:tc>
        <w:tc>
          <w:tcPr>
            <w:tcW w:w="3180" w:type="dxa"/>
            <w:vAlign w:val="bottom"/>
          </w:tcPr>
          <w:p>
            <w:pPr>
              <w:ind w:left="300"/>
              <w:spacing w:after="0"/>
              <w:rPr>
                <w:sz w:val="20"/>
                <w:szCs w:val="20"/>
                <w:color w:val="auto"/>
              </w:rPr>
            </w:pPr>
            <w:r>
              <w:rPr>
                <w:rFonts w:ascii="Times New Roman" w:cs="Times New Roman" w:eastAsia="Times New Roman" w:hAnsi="Times New Roman"/>
                <w:sz w:val="22"/>
                <w:szCs w:val="22"/>
                <w:color w:val="auto"/>
              </w:rPr>
              <w:t>1,751,761.00</w:t>
            </w:r>
          </w:p>
        </w:tc>
        <w:tc>
          <w:tcPr>
            <w:tcW w:w="0" w:type="dxa"/>
            <w:vAlign w:val="bottom"/>
          </w:tcPr>
          <w:p>
            <w:pPr>
              <w:spacing w:after="0"/>
              <w:rPr>
                <w:sz w:val="1"/>
                <w:szCs w:val="1"/>
                <w:color w:val="auto"/>
              </w:rPr>
            </w:pPr>
          </w:p>
        </w:tc>
      </w:tr>
    </w:tbl>
    <w:p>
      <w:pPr>
        <w:sectPr>
          <w:pgSz w:w="11900" w:h="16838" w:orient="portrait"/>
          <w:cols w:equalWidth="0" w:num="1">
            <w:col w:w="10099"/>
          </w:cols>
          <w:pgMar w:left="360" w:top="866" w:right="1440" w:bottom="0" w:gutter="0" w:footer="0" w:header="0"/>
        </w:sectPr>
      </w:pPr>
    </w:p>
    <w:bookmarkStart w:id="1" w:name="page2"/>
    <w:bookmarkEnd w:id="1"/>
    <w:p>
      <w:pPr>
        <w:spacing w:after="0" w:line="1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Owned by</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6</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Voting Power</w:t>
            </w: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Each</w:t>
            </w:r>
          </w:p>
        </w:tc>
        <w:tc>
          <w:tcPr>
            <w:tcW w:w="300" w:type="dxa"/>
            <w:vAlign w:val="bottom"/>
          </w:tcPr>
          <w:p>
            <w:pPr>
              <w:spacing w:after="0"/>
              <w:rPr>
                <w:sz w:val="21"/>
                <w:szCs w:val="21"/>
                <w:color w:val="auto"/>
              </w:rPr>
            </w:pPr>
          </w:p>
        </w:tc>
        <w:tc>
          <w:tcPr>
            <w:tcW w:w="20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104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Reporting</w:t>
            </w:r>
          </w:p>
        </w:tc>
        <w:tc>
          <w:tcPr>
            <w:tcW w:w="300" w:type="dxa"/>
            <w:vAlign w:val="bottom"/>
          </w:tcPr>
          <w:p>
            <w:pPr>
              <w:spacing w:after="0"/>
              <w:rPr>
                <w:sz w:val="21"/>
                <w:szCs w:val="21"/>
                <w:color w:val="auto"/>
              </w:rPr>
            </w:pPr>
          </w:p>
        </w:tc>
        <w:tc>
          <w:tcPr>
            <w:tcW w:w="2080" w:type="dxa"/>
            <w:vAlign w:val="bottom"/>
          </w:tcPr>
          <w:p>
            <w:pPr>
              <w:ind w:left="60"/>
              <w:spacing w:after="0" w:line="243" w:lineRule="exact"/>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r>
        <w:trPr>
          <w:trHeight w:val="270"/>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Person</w:t>
            </w:r>
          </w:p>
        </w:tc>
        <w:tc>
          <w:tcPr>
            <w:tcW w:w="300" w:type="dxa"/>
            <w:vAlign w:val="bottom"/>
          </w:tcPr>
          <w:p>
            <w:pPr>
              <w:spacing w:after="0"/>
              <w:rPr>
                <w:sz w:val="23"/>
                <w:szCs w:val="23"/>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w w:val="96"/>
              </w:rPr>
              <w:t>Sole Dispositive Power</w:t>
            </w:r>
          </w:p>
        </w:tc>
        <w:tc>
          <w:tcPr>
            <w:tcW w:w="0" w:type="dxa"/>
            <w:vAlign w:val="bottom"/>
          </w:tcPr>
          <w:p>
            <w:pPr>
              <w:spacing w:after="0"/>
              <w:rPr>
                <w:sz w:val="1"/>
                <w:szCs w:val="1"/>
                <w:color w:val="auto"/>
              </w:rPr>
            </w:pPr>
          </w:p>
        </w:tc>
      </w:tr>
      <w:tr>
        <w:trPr>
          <w:trHeight w:val="309"/>
        </w:trPr>
        <w:tc>
          <w:tcPr>
            <w:tcW w:w="1040" w:type="dxa"/>
            <w:vAlign w:val="bottom"/>
          </w:tcPr>
          <w:p>
            <w:pPr>
              <w:spacing w:after="0"/>
              <w:rPr>
                <w:sz w:val="20"/>
                <w:szCs w:val="20"/>
                <w:color w:val="auto"/>
              </w:rPr>
            </w:pPr>
            <w:r>
              <w:rPr>
                <w:rFonts w:ascii="Times New Roman" w:cs="Times New Roman" w:eastAsia="Times New Roman" w:hAnsi="Times New Roman"/>
                <w:sz w:val="22"/>
                <w:szCs w:val="22"/>
                <w:color w:val="auto"/>
              </w:rPr>
              <w:t>With:</w:t>
            </w: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7</w:t>
            </w:r>
          </w:p>
        </w:tc>
        <w:tc>
          <w:tcPr>
            <w:tcW w:w="2080" w:type="dxa"/>
            <w:vAlign w:val="bottom"/>
            <w:vMerge w:val="restart"/>
          </w:tcPr>
          <w:p>
            <w:pPr>
              <w:ind w:left="60"/>
              <w:spacing w:after="0"/>
              <w:rPr>
                <w:sz w:val="20"/>
                <w:szCs w:val="20"/>
                <w:color w:val="auto"/>
              </w:rPr>
            </w:pPr>
            <w:r>
              <w:rPr>
                <w:rFonts w:ascii="Times New Roman" w:cs="Times New Roman" w:eastAsia="Times New Roman" w:hAnsi="Times New Roman"/>
                <w:sz w:val="22"/>
                <w:szCs w:val="22"/>
                <w:color w:val="auto"/>
              </w:rPr>
              <w:t>13,131,908.00</w:t>
            </w:r>
          </w:p>
        </w:tc>
        <w:tc>
          <w:tcPr>
            <w:tcW w:w="0" w:type="dxa"/>
            <w:vAlign w:val="bottom"/>
          </w:tcPr>
          <w:p>
            <w:pPr>
              <w:spacing w:after="0"/>
              <w:rPr>
                <w:sz w:val="1"/>
                <w:szCs w:val="1"/>
                <w:color w:val="auto"/>
              </w:rPr>
            </w:pPr>
          </w:p>
        </w:tc>
      </w:tr>
      <w:tr>
        <w:trPr>
          <w:trHeight w:val="243"/>
        </w:trPr>
        <w:tc>
          <w:tcPr>
            <w:tcW w:w="10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2080" w:type="dxa"/>
            <w:vAlign w:val="bottom"/>
            <w:vMerge w:val="continue"/>
          </w:tcPr>
          <w:p>
            <w:pPr>
              <w:spacing w:after="0"/>
              <w:rPr>
                <w:sz w:val="21"/>
                <w:szCs w:val="21"/>
                <w:color w:val="auto"/>
              </w:rPr>
            </w:pPr>
          </w:p>
        </w:tc>
        <w:tc>
          <w:tcPr>
            <w:tcW w:w="0" w:type="dxa"/>
            <w:vAlign w:val="bottom"/>
          </w:tcPr>
          <w:p>
            <w:pPr>
              <w:spacing w:after="0"/>
              <w:rPr>
                <w:sz w:val="1"/>
                <w:szCs w:val="1"/>
                <w:color w:val="auto"/>
              </w:rPr>
            </w:pPr>
          </w:p>
        </w:tc>
      </w:tr>
      <w:tr>
        <w:trPr>
          <w:trHeight w:val="258"/>
        </w:trPr>
        <w:tc>
          <w:tcPr>
            <w:tcW w:w="104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Shared Dispositive</w:t>
            </w:r>
          </w:p>
        </w:tc>
        <w:tc>
          <w:tcPr>
            <w:tcW w:w="0" w:type="dxa"/>
            <w:vAlign w:val="bottom"/>
          </w:tcPr>
          <w:p>
            <w:pPr>
              <w:spacing w:after="0"/>
              <w:rPr>
                <w:sz w:val="1"/>
                <w:szCs w:val="1"/>
                <w:color w:val="auto"/>
              </w:rPr>
            </w:pPr>
          </w:p>
        </w:tc>
      </w:tr>
      <w:tr>
        <w:trPr>
          <w:trHeight w:val="404"/>
        </w:trPr>
        <w:tc>
          <w:tcPr>
            <w:tcW w:w="1040" w:type="dxa"/>
            <w:vAlign w:val="bottom"/>
          </w:tcPr>
          <w:p>
            <w:pPr>
              <w:spacing w:after="0"/>
              <w:rPr>
                <w:sz w:val="24"/>
                <w:szCs w:val="24"/>
                <w:color w:val="auto"/>
              </w:rPr>
            </w:pPr>
          </w:p>
        </w:tc>
        <w:tc>
          <w:tcPr>
            <w:tcW w:w="300" w:type="dxa"/>
            <w:vAlign w:val="bottom"/>
          </w:tcPr>
          <w:p>
            <w:pPr>
              <w:jc w:val="right"/>
              <w:spacing w:after="0"/>
              <w:rPr>
                <w:sz w:val="20"/>
                <w:szCs w:val="20"/>
                <w:color w:val="auto"/>
              </w:rPr>
            </w:pPr>
            <w:r>
              <w:rPr>
                <w:rFonts w:ascii="Times New Roman" w:cs="Times New Roman" w:eastAsia="Times New Roman" w:hAnsi="Times New Roman"/>
                <w:sz w:val="22"/>
                <w:szCs w:val="22"/>
                <w:color w:val="auto"/>
              </w:rPr>
              <w:t>8</w:t>
            </w: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Power</w:t>
            </w:r>
          </w:p>
        </w:tc>
        <w:tc>
          <w:tcPr>
            <w:tcW w:w="0" w:type="dxa"/>
            <w:vAlign w:val="bottom"/>
          </w:tcPr>
          <w:p>
            <w:pPr>
              <w:spacing w:after="0"/>
              <w:rPr>
                <w:sz w:val="1"/>
                <w:szCs w:val="1"/>
                <w:color w:val="auto"/>
              </w:rPr>
            </w:pPr>
          </w:p>
        </w:tc>
      </w:tr>
      <w:tr>
        <w:trPr>
          <w:trHeight w:val="364"/>
        </w:trPr>
        <w:tc>
          <w:tcPr>
            <w:tcW w:w="10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080" w:type="dxa"/>
            <w:vAlign w:val="bottom"/>
          </w:tcPr>
          <w:p>
            <w:pPr>
              <w:ind w:left="60"/>
              <w:spacing w:after="0"/>
              <w:rPr>
                <w:sz w:val="20"/>
                <w:szCs w:val="20"/>
                <w:color w:val="auto"/>
              </w:rPr>
            </w:pPr>
            <w:r>
              <w:rPr>
                <w:rFonts w:ascii="Times New Roman" w:cs="Times New Roman" w:eastAsia="Times New Roman" w:hAnsi="Times New Roman"/>
                <w:sz w:val="22"/>
                <w:szCs w:val="22"/>
                <w:color w:val="auto"/>
              </w:rPr>
              <w:t>0.00</w:t>
            </w:r>
          </w:p>
        </w:tc>
        <w:tc>
          <w:tcPr>
            <w:tcW w:w="0" w:type="dxa"/>
            <w:vAlign w:val="bottom"/>
          </w:tcPr>
          <w:p>
            <w:pPr>
              <w:spacing w:after="0"/>
              <w:rPr>
                <w:sz w:val="1"/>
                <w:szCs w:val="1"/>
                <w:color w:val="auto"/>
              </w:rPr>
            </w:pPr>
          </w:p>
        </w:tc>
      </w:tr>
    </w:tbl>
    <w:p>
      <w:pPr>
        <w:spacing w:after="0" w:line="55"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Aggregate Amount Beneficially Owned by Each Reporting Person</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9</w:t>
      </w:r>
    </w:p>
    <w:p>
      <w:pPr>
        <w:ind w:left="1160"/>
        <w:spacing w:after="0"/>
        <w:rPr>
          <w:sz w:val="20"/>
          <w:szCs w:val="20"/>
          <w:color w:val="auto"/>
        </w:rPr>
      </w:pPr>
      <w:r>
        <w:rPr>
          <w:rFonts w:ascii="Times New Roman" w:cs="Times New Roman" w:eastAsia="Times New Roman" w:hAnsi="Times New Roman"/>
          <w:sz w:val="22"/>
          <w:szCs w:val="22"/>
          <w:color w:val="auto"/>
        </w:rPr>
        <w:t>13,131,908.00</w:t>
      </w:r>
    </w:p>
    <w:p>
      <w:pPr>
        <w:spacing w:after="0" w:line="7"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Check box if the aggregate amount in row (9) excludes certain shares (See Instructions)</w:t>
      </w:r>
    </w:p>
    <w:p>
      <w:pPr>
        <w:ind w:left="40"/>
        <w:spacing w:after="0"/>
        <w:rPr>
          <w:sz w:val="20"/>
          <w:szCs w:val="20"/>
          <w:color w:val="auto"/>
        </w:rPr>
      </w:pPr>
      <w:r>
        <w:rPr>
          <w:rFonts w:ascii="Times New Roman" w:cs="Times New Roman" w:eastAsia="Times New Roman" w:hAnsi="Times New Roman"/>
          <w:sz w:val="22"/>
          <w:szCs w:val="22"/>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742315</wp:posOffset>
            </wp:positionH>
            <wp:positionV relativeFrom="paragraph">
              <wp:posOffset>12700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Percent of class represented by amount in row (9)</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11</w:t>
      </w:r>
    </w:p>
    <w:p>
      <w:pPr>
        <w:ind w:left="1160"/>
        <w:spacing w:after="0"/>
        <w:rPr>
          <w:sz w:val="20"/>
          <w:szCs w:val="20"/>
          <w:color w:val="auto"/>
        </w:rPr>
      </w:pPr>
      <w:r>
        <w:rPr>
          <w:rFonts w:ascii="Times New Roman" w:cs="Times New Roman" w:eastAsia="Times New Roman" w:hAnsi="Times New Roman"/>
          <w:sz w:val="22"/>
          <w:szCs w:val="22"/>
          <w:color w:val="auto"/>
        </w:rPr>
        <w:t>7.09 %</w:t>
      </w:r>
    </w:p>
    <w:p>
      <w:pPr>
        <w:spacing w:after="0" w:line="20" w:lineRule="exact"/>
        <w:rPr>
          <w:sz w:val="20"/>
          <w:szCs w:val="20"/>
          <w:color w:val="auto"/>
        </w:rPr>
      </w:pPr>
    </w:p>
    <w:p>
      <w:pPr>
        <w:ind w:left="1160"/>
        <w:spacing w:after="0"/>
        <w:rPr>
          <w:sz w:val="20"/>
          <w:szCs w:val="20"/>
          <w:color w:val="auto"/>
        </w:rPr>
      </w:pPr>
      <w:r>
        <w:rPr>
          <w:rFonts w:ascii="Times New Roman" w:cs="Times New Roman" w:eastAsia="Times New Roman" w:hAnsi="Times New Roman"/>
          <w:sz w:val="22"/>
          <w:szCs w:val="22"/>
          <w:color w:val="auto"/>
        </w:rPr>
        <w:t>Type of Reporting Person (See Instructions)</w:t>
      </w:r>
    </w:p>
    <w:p>
      <w:pPr>
        <w:spacing w:after="0" w:line="4"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12</w:t>
      </w:r>
    </w:p>
    <w:p>
      <w:pPr>
        <w:ind w:left="1160"/>
        <w:spacing w:after="0"/>
        <w:rPr>
          <w:sz w:val="20"/>
          <w:szCs w:val="20"/>
          <w:color w:val="auto"/>
        </w:rPr>
      </w:pPr>
      <w:r>
        <w:rPr>
          <w:rFonts w:ascii="Times New Roman" w:cs="Times New Roman" w:eastAsia="Times New Roman" w:hAnsi="Times New Roman"/>
          <w:sz w:val="22"/>
          <w:szCs w:val="22"/>
          <w:color w:val="auto"/>
        </w:rPr>
        <w:t>IA</w:t>
      </w:r>
    </w:p>
    <w:p>
      <w:pPr>
        <w:spacing w:after="0" w:line="246" w:lineRule="exact"/>
        <w:rPr>
          <w:sz w:val="20"/>
          <w:szCs w:val="20"/>
          <w:color w:val="auto"/>
        </w:rPr>
      </w:pPr>
    </w:p>
    <w:p>
      <w:pPr>
        <w:spacing w:after="0" w:line="234" w:lineRule="auto"/>
        <w:rPr>
          <w:sz w:val="20"/>
          <w:szCs w:val="20"/>
          <w:color w:val="auto"/>
        </w:rPr>
      </w:pPr>
      <w:r>
        <w:rPr>
          <w:rFonts w:ascii="Times New Roman" w:cs="Times New Roman" w:eastAsia="Times New Roman" w:hAnsi="Times New Roman"/>
          <w:sz w:val="22"/>
          <w:szCs w:val="22"/>
          <w:b w:val="1"/>
          <w:bCs w:val="1"/>
          <w:color w:val="auto"/>
        </w:rPr>
        <w:t xml:space="preserve">Comment for Type of Reporting Person: </w:t>
      </w:r>
      <w:r>
        <w:rPr>
          <w:rFonts w:ascii="Times New Roman" w:cs="Times New Roman" w:eastAsia="Times New Roman" w:hAnsi="Times New Roman"/>
          <w:sz w:val="22"/>
          <w:szCs w:val="22"/>
          <w:color w:val="auto"/>
        </w:rPr>
        <w:t>In accordance with SEC Release No. 34-39538 (January 12, 1998), this Schedule</w:t>
      </w:r>
      <w:r>
        <w:rPr>
          <w:rFonts w:ascii="Times New Roman" w:cs="Times New Roman" w:eastAsia="Times New Roman" w:hAnsi="Times New Roman"/>
          <w:sz w:val="22"/>
          <w:szCs w:val="22"/>
          <w:b w:val="1"/>
          <w:bCs w:val="1"/>
          <w:color w:val="auto"/>
        </w:rPr>
        <w:t xml:space="preserve"> </w:t>
      </w:r>
      <w:r>
        <w:rPr>
          <w:rFonts w:ascii="Times New Roman" w:cs="Times New Roman" w:eastAsia="Times New Roman" w:hAnsi="Times New Roman"/>
          <w:sz w:val="22"/>
          <w:szCs w:val="22"/>
          <w:color w:val="auto"/>
        </w:rPr>
        <w:t>13G reflects the securities beneficially owned, or deemed to be beneficially owned, by Vanguard Capital Management LLC and the following affiliates of Vanguard Capital Management LLC or business divisions of such affiliates: Vanguard Asset Management Limited, Vanguard Fiduciary Trust Company, Vanguard Global Advisers, LLC and Vanguard Investments Australia Ltd. This Schedule 13G includes securities held by Vanguard funds, or sleeves thereof, over which Vanguard Capital Management LLC exercises dispositive power, in addition to securities held by clients over which the affiliates or business divisions of such affiliates indicated above exercise dispositive and/or voting power. This Schedule 13G does not include securities, if any, beneficially owned by other subsidiaries or affiliates of Vanguard Capital Management LLC, or business divisions of such subsidiaries, whose ownership of securities is disaggregated from that of the reporting business unit in accordance with such release.</w:t>
      </w:r>
    </w:p>
    <w:p>
      <w:pPr>
        <w:spacing w:after="0" w:line="200" w:lineRule="exact"/>
        <w:rPr>
          <w:sz w:val="20"/>
          <w:szCs w:val="20"/>
          <w:color w:val="auto"/>
        </w:rPr>
      </w:pPr>
    </w:p>
    <w:p>
      <w:pPr>
        <w:spacing w:after="0" w:line="200" w:lineRule="exact"/>
        <w:rPr>
          <w:sz w:val="20"/>
          <w:szCs w:val="20"/>
          <w:color w:val="auto"/>
        </w:rPr>
      </w:pPr>
    </w:p>
    <w:p>
      <w:pPr>
        <w:spacing w:after="0" w:line="306" w:lineRule="exact"/>
        <w:rPr>
          <w:sz w:val="20"/>
          <w:szCs w:val="20"/>
          <w:color w:val="auto"/>
        </w:rPr>
      </w:pPr>
    </w:p>
    <w:p>
      <w:pPr>
        <w:ind w:left="60"/>
        <w:spacing w:after="0"/>
        <w:rPr>
          <w:sz w:val="20"/>
          <w:szCs w:val="20"/>
          <w:color w:val="auto"/>
        </w:rPr>
      </w:pPr>
      <w:r>
        <w:rPr>
          <w:rFonts w:ascii="Times New Roman" w:cs="Times New Roman" w:eastAsia="Times New Roman" w:hAnsi="Times New Roman"/>
          <w:sz w:val="26"/>
          <w:szCs w:val="26"/>
          <w:color w:val="auto"/>
        </w:rPr>
        <w:t>SCHEDULE 13G</w:t>
      </w:r>
    </w:p>
    <w:p>
      <w:pPr>
        <w:sectPr>
          <w:pgSz w:w="11900" w:h="16854" w:orient="portrait"/>
          <w:cols w:equalWidth="0" w:num="1">
            <w:col w:w="11180"/>
          </w:cols>
          <w:pgMar w:left="320" w:top="102" w:right="399" w:bottom="0" w:gutter="0" w:footer="0" w:header="0"/>
        </w:sectPr>
      </w:pP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1.</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87"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2.</w:t>
      </w:r>
    </w:p>
    <w:p>
      <w:pPr>
        <w:spacing w:after="0" w:line="29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(c)</w:t>
      </w:r>
    </w:p>
    <w:p>
      <w:pPr>
        <w:spacing w:after="0" w:line="200" w:lineRule="exact"/>
        <w:rPr>
          <w:sz w:val="20"/>
          <w:szCs w:val="20"/>
          <w:color w:val="auto"/>
        </w:rPr>
      </w:pPr>
    </w:p>
    <w:p>
      <w:pPr>
        <w:spacing w:after="0" w:line="330"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(d)</w:t>
      </w:r>
    </w:p>
    <w:p>
      <w:pPr>
        <w:spacing w:after="0" w:line="200" w:lineRule="exact"/>
        <w:rPr>
          <w:sz w:val="20"/>
          <w:szCs w:val="20"/>
          <w:color w:val="auto"/>
        </w:rPr>
      </w:pPr>
    </w:p>
    <w:p>
      <w:pPr>
        <w:spacing w:after="0" w:line="209"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(e)</w:t>
      </w:r>
    </w:p>
    <w:p>
      <w:pPr>
        <w:spacing w:after="0" w:line="16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1"/>
          <w:szCs w:val="21"/>
          <w:color w:val="auto"/>
        </w:rPr>
        <w:t>Item 3.</w:t>
      </w:r>
    </w:p>
    <w:p>
      <w:pPr>
        <w:spacing w:after="0" w:line="56"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(a)</w:t>
      </w:r>
    </w:p>
    <w:p>
      <w:pPr>
        <w:spacing w:after="0" w:line="58" w:lineRule="exact"/>
        <w:rPr>
          <w:sz w:val="20"/>
          <w:szCs w:val="20"/>
          <w:color w:val="auto"/>
        </w:rPr>
      </w:pPr>
    </w:p>
    <w:p>
      <w:pPr>
        <w:ind w:left="40"/>
        <w:spacing w:after="0"/>
        <w:rPr>
          <w:sz w:val="20"/>
          <w:szCs w:val="20"/>
          <w:color w:val="auto"/>
        </w:rPr>
      </w:pPr>
      <w:r>
        <w:rPr>
          <w:rFonts w:ascii="Times New Roman" w:cs="Times New Roman" w:eastAsia="Times New Roman" w:hAnsi="Times New Roman"/>
          <w:sz w:val="22"/>
          <w:szCs w:val="22"/>
          <w:color w:val="auto"/>
        </w:rPr>
        <w:t>(b)</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76"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issuer:</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Take-Two Interactive Software Inc</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of issuer's principal executive offices: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110 W 44th St, New York, NY, 10036</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Name of person filing:</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Address or principal business office or, if none, residence:</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100 Vanguard Blvd,, Malvern, PA, 19355</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Citizenship:</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PA</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Title of class of securities:</w:t>
      </w:r>
    </w:p>
    <w:p>
      <w:pPr>
        <w:spacing w:after="0" w:line="233"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Common Stock</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CUSIP No.:</w:t>
      </w:r>
    </w:p>
    <w:p>
      <w:pPr>
        <w:spacing w:after="0" w:line="287"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If this statement is filed pursuant to §§ 240.13d-1(b) or 240.13d-2(b) or (c), check whether the person filing is a:</w:t>
      </w:r>
    </w:p>
    <w:p>
      <w:pPr>
        <w:spacing w:after="0" w:line="69" w:lineRule="exact"/>
        <w:rPr>
          <w:sz w:val="20"/>
          <w:szCs w:val="20"/>
          <w:color w:val="auto"/>
        </w:rPr>
      </w:pPr>
    </w:p>
    <w:p>
      <w:pPr>
        <w:ind w:left="380" w:right="3640"/>
        <w:spacing w:after="0" w:line="322" w:lineRule="auto"/>
        <w:rPr>
          <w:sz w:val="20"/>
          <w:szCs w:val="20"/>
          <w:color w:val="auto"/>
        </w:rPr>
      </w:pPr>
      <w:r>
        <w:rPr>
          <w:rFonts w:ascii="Times New Roman" w:cs="Times New Roman" w:eastAsia="Times New Roman" w:hAnsi="Times New Roman"/>
          <w:sz w:val="22"/>
          <w:szCs w:val="22"/>
          <w:color w:val="auto"/>
        </w:rPr>
        <w:t>Broker or dealer registered under section 15 of the Act (15 U.S.C. 78o); Bank as defined in section 3(a)(6) of the Act (15 U.S.C. 78c);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-421640</wp:posOffset>
            </wp:positionV>
            <wp:extent cx="128905" cy="12827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3810</wp:posOffset>
            </wp:positionH>
            <wp:positionV relativeFrom="paragraph">
              <wp:posOffset>-224155</wp:posOffset>
            </wp:positionV>
            <wp:extent cx="128905" cy="12827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54" w:orient="portrait"/>
          <w:cols w:equalWidth="0" w:num="2">
            <w:col w:w="660" w:space="300"/>
            <w:col w:w="10220"/>
          </w:cols>
          <w:pgMar w:left="320" w:top="102" w:right="399" w:bottom="0" w:gutter="0" w:footer="0" w:header="0"/>
          <w:type w:val="continuous"/>
        </w:sectPr>
      </w:pPr>
    </w:p>
    <w:bookmarkStart w:id="2" w:name="page3"/>
    <w:bookmarkEnd w:id="2"/>
    <w:p>
      <w:pPr>
        <w:spacing w:after="0" w:line="10" w:lineRule="exact"/>
        <w:rPr>
          <w:sz w:val="20"/>
          <w:szCs w:val="20"/>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Insurance company as defined in section 3(a)(19) of the Act (15 U.S.C. 78c);</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1"/>
          <w:szCs w:val="21"/>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1"/>
          <w:szCs w:val="21"/>
          <w:color w:val="auto"/>
        </w:rPr>
        <w:t xml:space="preserve">  Investment company registered under section 8 of the Investment Company Act of 1940 (15 U.S.C. 80a-8);</w:t>
      </w:r>
    </w:p>
    <w:p>
      <w:pPr>
        <w:spacing w:after="0" w:line="62" w:lineRule="exact"/>
        <w:rPr>
          <w:rFonts w:ascii="Times New Roman" w:cs="Times New Roman" w:eastAsia="Times New Roman" w:hAnsi="Times New Roman"/>
          <w:sz w:val="21"/>
          <w:szCs w:val="21"/>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investment adviser in accordance with § 240.13d-1(b)(1)(ii)(E);</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An employee benefit plan or endowment fund in accordance with § 240.13d-1(b)(1)(ii)(F);</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parent holding company or control person in accordance with § 240.13d-1(b)(1)(ii)(G);</w:t>
      </w:r>
    </w:p>
    <w:p>
      <w:pPr>
        <w:spacing w:after="0" w:line="57" w:lineRule="exact"/>
        <w:rPr>
          <w:rFonts w:ascii="Times New Roman" w:cs="Times New Roman" w:eastAsia="Times New Roman" w:hAnsi="Times New Roman"/>
          <w:sz w:val="22"/>
          <w:szCs w:val="22"/>
          <w:color w:val="auto"/>
        </w:rPr>
      </w:pPr>
    </w:p>
    <w:p>
      <w:pPr>
        <w:ind w:left="920" w:hanging="912"/>
        <w:spacing w:after="0"/>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savings associations as defined in Section 3(b) of the Federal Deposit Insurance Act (12 U.S.C. 1813);</w:t>
      </w:r>
    </w:p>
    <w:p>
      <w:pPr>
        <w:spacing w:after="0" w:line="57" w:lineRule="exact"/>
        <w:rPr>
          <w:rFonts w:ascii="Times New Roman" w:cs="Times New Roman" w:eastAsia="Times New Roman" w:hAnsi="Times New Roman"/>
          <w:sz w:val="22"/>
          <w:szCs w:val="22"/>
          <w:color w:val="auto"/>
        </w:rPr>
      </w:pPr>
    </w:p>
    <w:p>
      <w:pPr>
        <w:ind w:left="920" w:right="680" w:hanging="912"/>
        <w:spacing w:after="0" w:line="185" w:lineRule="auto"/>
        <w:tabs>
          <w:tab w:leader="none" w:pos="920" w:val="left"/>
        </w:tabs>
        <w:numPr>
          <w:ilvl w:val="0"/>
          <w:numId w:val="3"/>
        </w:numPr>
        <w:rPr>
          <w:rFonts w:ascii="Times New Roman" w:cs="Times New Roman" w:eastAsia="Times New Roman" w:hAnsi="Times New Roman"/>
          <w:sz w:val="39"/>
          <w:szCs w:val="39"/>
          <w:color w:val="auto"/>
          <w:vertAlign w:val="subscript"/>
        </w:rPr>
      </w:pPr>
      <w:r>
        <w:rPr>
          <w:sz w:val="1"/>
          <w:szCs w:val="1"/>
          <w:color w:val="auto"/>
        </w:rPr>
        <w:drawing>
          <wp:inline distT="0" distB="0" distL="0" distR="0">
            <wp:extent cx="128905" cy="128905"/>
            <wp:effectExtent l="0" t="0" r="0" b="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0"/>
          <w:szCs w:val="20"/>
          <w:color w:val="auto"/>
        </w:rPr>
        <w:t xml:space="preserve"> A church plan that is excluded from the definition of an investment company under section 3(c)(14) of the Investment Company Act of 1940 (15 U.S.C. 80a-3);</w:t>
      </w:r>
    </w:p>
    <w:p>
      <w:pPr>
        <w:spacing w:after="0" w:line="30" w:lineRule="exact"/>
        <w:rPr>
          <w:rFonts w:ascii="Times New Roman" w:cs="Times New Roman" w:eastAsia="Times New Roman" w:hAnsi="Times New Roman"/>
          <w:sz w:val="39"/>
          <w:szCs w:val="39"/>
          <w:color w:val="auto"/>
          <w:vertAlign w:val="subscript"/>
        </w:rPr>
      </w:pPr>
    </w:p>
    <w:p>
      <w:pPr>
        <w:ind w:left="920"/>
        <w:spacing w:after="0"/>
        <w:rPr>
          <w:rFonts w:ascii="Times New Roman" w:cs="Times New Roman" w:eastAsia="Times New Roman" w:hAnsi="Times New Roman"/>
          <w:sz w:val="39"/>
          <w:szCs w:val="39"/>
          <w:color w:val="auto"/>
          <w:vertAlign w:val="subscript"/>
        </w:rPr>
      </w:pPr>
      <w:r>
        <w:rPr>
          <w:rFonts w:ascii="Times New Roman" w:cs="Times New Roman" w:eastAsia="Times New Roman" w:hAnsi="Times New Roman"/>
          <w:sz w:val="1"/>
          <w:szCs w:val="1"/>
          <w:color w:val="auto"/>
          <w:vertAlign w:val="subscript"/>
        </w:rPr>
        <w:drawing>
          <wp:inline distT="0" distB="0" distL="0" distR="0">
            <wp:extent cx="128905" cy="128905"/>
            <wp:effectExtent l="0" t="0" r="0" b="0"/>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A non-U.S. institution in accordance with § 240.13d-1(b)(1)(ii)(J). If filing as a non-U.S. institution in</w:t>
      </w:r>
    </w:p>
    <w:p>
      <w:pPr>
        <w:spacing w:after="0" w:line="14" w:lineRule="exact"/>
        <w:rPr>
          <w:rFonts w:ascii="Times New Roman" w:cs="Times New Roman" w:eastAsia="Times New Roman" w:hAnsi="Times New Roman"/>
          <w:sz w:val="39"/>
          <w:szCs w:val="39"/>
          <w:color w:val="auto"/>
          <w:vertAlign w:val="subscript"/>
        </w:rPr>
      </w:pPr>
    </w:p>
    <w:p>
      <w:pPr>
        <w:ind w:left="920" w:hanging="912"/>
        <w:spacing w:after="0" w:line="230" w:lineRule="auto"/>
        <w:tabs>
          <w:tab w:leader="none" w:pos="920" w:val="left"/>
        </w:tabs>
        <w:numPr>
          <w:ilvl w:val="0"/>
          <w:numId w:val="3"/>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accordance with § 240.13d-1(b)(1)(ii)(J),</w:t>
      </w:r>
    </w:p>
    <w:p>
      <w:pPr>
        <w:spacing w:after="0" w:line="1" w:lineRule="exact"/>
        <w:rPr>
          <w:sz w:val="20"/>
          <w:szCs w:val="20"/>
          <w:color w:val="auto"/>
        </w:rPr>
      </w:pPr>
    </w:p>
    <w:p>
      <w:pPr>
        <w:ind w:left="1300"/>
        <w:spacing w:after="0"/>
        <w:rPr>
          <w:sz w:val="20"/>
          <w:szCs w:val="20"/>
          <w:color w:val="auto"/>
        </w:rPr>
      </w:pPr>
      <w:r>
        <w:rPr>
          <w:rFonts w:ascii="Times New Roman" w:cs="Times New Roman" w:eastAsia="Times New Roman" w:hAnsi="Times New Roman"/>
          <w:sz w:val="22"/>
          <w:szCs w:val="22"/>
          <w:color w:val="auto"/>
        </w:rPr>
        <w:t>please specify the type of institution:</w:t>
      </w:r>
    </w:p>
    <w:p>
      <w:pPr>
        <w:spacing w:after="0" w:line="34" w:lineRule="exact"/>
        <w:rPr>
          <w:sz w:val="20"/>
          <w:szCs w:val="20"/>
          <w:color w:val="auto"/>
        </w:rPr>
      </w:pPr>
    </w:p>
    <w:p>
      <w:pPr>
        <w:ind w:left="920" w:hanging="912"/>
        <w:spacing w:after="0"/>
        <w:tabs>
          <w:tab w:leader="none" w:pos="920" w:val="left"/>
        </w:tabs>
        <w:numPr>
          <w:ilvl w:val="0"/>
          <w:numId w:val="4"/>
        </w:numPr>
        <w:rPr>
          <w:rFonts w:ascii="Times New Roman" w:cs="Times New Roman" w:eastAsia="Times New Roman" w:hAnsi="Times New Roman"/>
          <w:sz w:val="22"/>
          <w:szCs w:val="22"/>
          <w:color w:val="auto"/>
        </w:rPr>
      </w:pPr>
      <w:r>
        <w:rPr>
          <w:rFonts w:ascii="Times New Roman" w:cs="Times New Roman" w:eastAsia="Times New Roman" w:hAnsi="Times New Roman"/>
          <w:sz w:val="1"/>
          <w:szCs w:val="1"/>
          <w:color w:val="auto"/>
        </w:rPr>
        <w:drawing>
          <wp:inline distT="0" distB="0" distL="0" distR="0">
            <wp:extent cx="128905" cy="128905"/>
            <wp:effectExtent l="0" t="0" r="0" b="0"/>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Group, in accordance with Rule 240.13d-1(b)(1)(ii)(K).</w:t>
      </w:r>
    </w:p>
    <w:p>
      <w:pPr>
        <w:spacing w:after="0" w:line="341" w:lineRule="exact"/>
        <w:rPr>
          <w:sz w:val="20"/>
          <w:szCs w:val="20"/>
          <w:color w:val="auto"/>
        </w:r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4.</w:t>
      </w:r>
      <w:r>
        <w:rPr>
          <w:sz w:val="20"/>
          <w:szCs w:val="20"/>
          <w:color w:val="auto"/>
        </w:rPr>
        <w:tab/>
      </w:r>
      <w:r>
        <w:rPr>
          <w:rFonts w:ascii="Times New Roman" w:cs="Times New Roman" w:eastAsia="Times New Roman" w:hAnsi="Times New Roman"/>
          <w:sz w:val="21"/>
          <w:szCs w:val="21"/>
          <w:color w:val="auto"/>
        </w:rPr>
        <w:t>Ownership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Amount beneficially owned:</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(a)</w:t>
      </w:r>
    </w:p>
    <w:p>
      <w:pPr>
        <w:ind w:left="920"/>
        <w:spacing w:after="0"/>
        <w:rPr>
          <w:sz w:val="20"/>
          <w:szCs w:val="20"/>
          <w:color w:val="auto"/>
        </w:rPr>
      </w:pPr>
      <w:r>
        <w:rPr>
          <w:rFonts w:ascii="Times New Roman" w:cs="Times New Roman" w:eastAsia="Times New Roman" w:hAnsi="Times New Roman"/>
          <w:sz w:val="22"/>
          <w:szCs w:val="22"/>
          <w:color w:val="auto"/>
        </w:rPr>
        <w:t>13131908</w:t>
      </w:r>
    </w:p>
    <w:p>
      <w:pPr>
        <w:spacing w:after="0" w:line="2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Percent of class:</w:t>
      </w:r>
    </w:p>
    <w:p>
      <w:pPr>
        <w:spacing w:after="0" w:line="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(b)</w:t>
      </w:r>
    </w:p>
    <w:p>
      <w:pPr>
        <w:ind w:left="920"/>
        <w:spacing w:after="0"/>
        <w:rPr>
          <w:sz w:val="20"/>
          <w:szCs w:val="20"/>
          <w:color w:val="auto"/>
        </w:rPr>
      </w:pPr>
      <w:r>
        <w:rPr>
          <w:rFonts w:ascii="Times New Roman" w:cs="Times New Roman" w:eastAsia="Times New Roman" w:hAnsi="Times New Roman"/>
          <w:sz w:val="22"/>
          <w:szCs w:val="22"/>
          <w:color w:val="auto"/>
        </w:rPr>
        <w:t>7.09 %</w:t>
      </w:r>
    </w:p>
    <w:p>
      <w:pPr>
        <w:spacing w:after="0" w:line="20" w:lineRule="exact"/>
        <w:rPr>
          <w:sz w:val="20"/>
          <w:szCs w:val="20"/>
          <w:color w:val="auto"/>
        </w:rPr>
      </w:pPr>
    </w:p>
    <w:p>
      <w:pPr>
        <w:ind w:left="920" w:hanging="912"/>
        <w:spacing w:after="0"/>
        <w:tabs>
          <w:tab w:leader="none" w:pos="920" w:val="left"/>
        </w:tabs>
        <w:numPr>
          <w:ilvl w:val="0"/>
          <w:numId w:val="5"/>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Number of shares as to which the person has:</w:t>
      </w:r>
    </w:p>
    <w:p>
      <w:pPr>
        <w:sectPr>
          <w:pgSz w:w="11900" w:h="16849" w:orient="portrait"/>
          <w:cols w:equalWidth="0" w:num="1">
            <w:col w:w="11140"/>
          </w:cols>
          <w:pgMar w:left="360" w:top="126" w:right="399"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5.</w:t>
      </w:r>
    </w:p>
    <w:p>
      <w:pPr>
        <w:spacing w:after="0" w:line="353"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6.</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7.</w:t>
      </w:r>
    </w:p>
    <w:p>
      <w:pPr>
        <w:spacing w:after="0" w:line="200" w:lineRule="exact"/>
        <w:rPr>
          <w:sz w:val="20"/>
          <w:szCs w:val="20"/>
          <w:color w:val="auto"/>
        </w:rPr>
      </w:pPr>
    </w:p>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21"/>
          <w:szCs w:val="21"/>
          <w:color w:val="auto"/>
        </w:rPr>
        <w:t>Item 8.</w:t>
      </w:r>
    </w:p>
    <w:p>
      <w:pPr>
        <w:spacing w:after="0" w:line="20" w:lineRule="exact"/>
        <w:rPr>
          <w:sz w:val="20"/>
          <w:szCs w:val="20"/>
          <w:color w:val="auto"/>
        </w:rPr>
      </w:pPr>
      <w:r>
        <w:rPr>
          <w:sz w:val="20"/>
          <w:szCs w:val="20"/>
          <w:color w:val="auto"/>
        </w:rPr>
        <w:br w:type="column"/>
      </w:r>
    </w:p>
    <w:p>
      <w:pPr>
        <w:spacing w:after="0" w:line="24" w:lineRule="exact"/>
        <w:rPr>
          <w:sz w:val="20"/>
          <w:szCs w:val="20"/>
          <w:color w:val="auto"/>
        </w:rPr>
      </w:pPr>
    </w:p>
    <w:p>
      <w:pPr>
        <w:ind w:right="6520" w:firstLine="6"/>
        <w:spacing w:after="0" w:line="486" w:lineRule="auto"/>
        <w:tabs>
          <w:tab w:leader="none" w:pos="25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vote or to direct the vote: 1751761</w:t>
      </w:r>
    </w:p>
    <w:p>
      <w:pPr>
        <w:spacing w:after="0" w:line="1" w:lineRule="exact"/>
        <w:rPr>
          <w:rFonts w:ascii="Times New Roman" w:cs="Times New Roman" w:eastAsia="Times New Roman" w:hAnsi="Times New Roman"/>
          <w:sz w:val="22"/>
          <w:szCs w:val="22"/>
          <w:color w:val="auto"/>
        </w:rPr>
      </w:pPr>
    </w:p>
    <w:p>
      <w:pPr>
        <w:ind w:left="320" w:hanging="314"/>
        <w:spacing w:after="0"/>
        <w:tabs>
          <w:tab w:leader="none" w:pos="32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vote or to direct the vote:</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ind w:right="5320" w:firstLine="6"/>
        <w:spacing w:after="0" w:line="486" w:lineRule="auto"/>
        <w:tabs>
          <w:tab w:leader="none" w:pos="378"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Sole power to dispose or to direct the disposition of: 13131908</w:t>
      </w:r>
    </w:p>
    <w:p>
      <w:pPr>
        <w:spacing w:after="0" w:line="1" w:lineRule="exact"/>
        <w:rPr>
          <w:rFonts w:ascii="Times New Roman" w:cs="Times New Roman" w:eastAsia="Times New Roman" w:hAnsi="Times New Roman"/>
          <w:sz w:val="22"/>
          <w:szCs w:val="22"/>
          <w:color w:val="auto"/>
        </w:rPr>
      </w:pPr>
    </w:p>
    <w:p>
      <w:pPr>
        <w:ind w:left="380" w:hanging="374"/>
        <w:spacing w:after="0"/>
        <w:tabs>
          <w:tab w:leader="none" w:pos="380" w:val="left"/>
        </w:tabs>
        <w:numPr>
          <w:ilvl w:val="0"/>
          <w:numId w:val="6"/>
        </w:numPr>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Shared power to dispose or to direct the disposition of:</w:t>
      </w:r>
    </w:p>
    <w:p>
      <w:pPr>
        <w:spacing w:after="0" w:line="233"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0</w:t>
      </w:r>
    </w:p>
    <w:p>
      <w:pPr>
        <w:spacing w:after="0" w:line="287" w:lineRule="exact"/>
        <w:rPr>
          <w:rFonts w:ascii="Times New Roman" w:cs="Times New Roman" w:eastAsia="Times New Roman" w:hAnsi="Times New Roman"/>
          <w:sz w:val="22"/>
          <w:szCs w:val="22"/>
          <w:color w:val="auto"/>
        </w:rPr>
      </w:pPr>
    </w:p>
    <w:p>
      <w:pPr>
        <w:spacing w:after="0"/>
        <w:rPr>
          <w:rFonts w:ascii="Times New Roman" w:cs="Times New Roman" w:eastAsia="Times New Roman" w:hAnsi="Times New Roman"/>
          <w:sz w:val="22"/>
          <w:szCs w:val="22"/>
          <w:color w:val="auto"/>
        </w:rPr>
      </w:pPr>
      <w:r>
        <w:rPr>
          <w:rFonts w:ascii="Times New Roman" w:cs="Times New Roman" w:eastAsia="Times New Roman" w:hAnsi="Times New Roman"/>
          <w:sz w:val="22"/>
          <w:szCs w:val="22"/>
          <w:color w:val="auto"/>
        </w:rPr>
        <w:t>Ownership of 5 Percent or Less of a Class.</w:t>
      </w:r>
    </w:p>
    <w:p>
      <w:pPr>
        <w:spacing w:after="0" w:line="341"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Ownership of more than 5 Percent on Behalf of Another Person.</w:t>
      </w:r>
    </w:p>
    <w:p>
      <w:pPr>
        <w:spacing w:after="0" w:line="44" w:lineRule="exact"/>
        <w:rPr>
          <w:sz w:val="20"/>
          <w:szCs w:val="20"/>
          <w:color w:val="auto"/>
        </w:rPr>
      </w:pPr>
    </w:p>
    <w:p>
      <w:pPr>
        <w:jc w:val="both"/>
        <w:spacing w:after="0" w:line="238" w:lineRule="auto"/>
        <w:rPr>
          <w:sz w:val="20"/>
          <w:szCs w:val="20"/>
          <w:color w:val="auto"/>
        </w:rPr>
      </w:pPr>
      <w:r>
        <w:rPr>
          <w:rFonts w:ascii="Times New Roman" w:cs="Times New Roman" w:eastAsia="Times New Roman" w:hAnsi="Times New Roman"/>
          <w:sz w:val="22"/>
          <w:szCs w:val="22"/>
          <w:color w:val="auto"/>
        </w:rPr>
        <w:t>If any other person is known to have the right to receive or the power to direct the receipt of dividends from, or the proceeds from the sale of, such securities, a statement to that effect should be included in response to this item and, if such interest relates to more than 5 percent of the class, such person should be identified. A listing of the shareholders of an investment company registered under the Investment Company Act of 1940 or the beneficiaries of employee benefit plan, pension fund or endowment fund is not required.</w:t>
      </w:r>
    </w:p>
    <w:p>
      <w:pPr>
        <w:spacing w:after="0" w:line="200" w:lineRule="exact"/>
        <w:rPr>
          <w:sz w:val="20"/>
          <w:szCs w:val="20"/>
          <w:color w:val="auto"/>
        </w:rPr>
      </w:pPr>
    </w:p>
    <w:p>
      <w:pPr>
        <w:spacing w:after="0" w:line="247" w:lineRule="exact"/>
        <w:rPr>
          <w:sz w:val="20"/>
          <w:szCs w:val="20"/>
          <w:color w:val="auto"/>
        </w:rPr>
      </w:pPr>
    </w:p>
    <w:p>
      <w:pPr>
        <w:jc w:val="both"/>
        <w:ind w:right="300"/>
        <w:spacing w:after="0" w:line="239" w:lineRule="auto"/>
        <w:rPr>
          <w:sz w:val="20"/>
          <w:szCs w:val="20"/>
          <w:color w:val="auto"/>
        </w:rPr>
      </w:pPr>
      <w:r>
        <w:rPr>
          <w:rFonts w:ascii="Times New Roman" w:cs="Times New Roman" w:eastAsia="Times New Roman" w:hAnsi="Times New Roman"/>
          <w:sz w:val="22"/>
          <w:szCs w:val="22"/>
          <w:color w:val="auto"/>
        </w:rPr>
        <w:t>Vanguard Capital Management, including investment companies registered under the Investment Company Act of 1940 and other managed accounts, have the right to receive or the power to direct the receipt of dividends from, or the proceeds from the sale of, the securities reported herein.No one other person's interest in the securities reported herein is more than 5%.</w:t>
      </w:r>
    </w:p>
    <w:p>
      <w:pPr>
        <w:spacing w:after="0" w:line="18" w:lineRule="exact"/>
        <w:rPr>
          <w:sz w:val="20"/>
          <w:szCs w:val="20"/>
          <w:color w:val="auto"/>
        </w:rPr>
      </w:pPr>
    </w:p>
    <w:p>
      <w:pPr>
        <w:ind w:right="460"/>
        <w:spacing w:after="0" w:line="256" w:lineRule="auto"/>
        <w:rPr>
          <w:sz w:val="20"/>
          <w:szCs w:val="20"/>
          <w:color w:val="auto"/>
        </w:rPr>
      </w:pPr>
      <w:r>
        <w:rPr>
          <w:rFonts w:ascii="Times New Roman" w:cs="Times New Roman" w:eastAsia="Times New Roman" w:hAnsi="Times New Roman"/>
          <w:sz w:val="22"/>
          <w:szCs w:val="22"/>
          <w:color w:val="auto"/>
        </w:rPr>
        <w:t>Identification and Classification of the Subsidiary Which Acquired the Security Being Reported on by the Parent Holding Company or Control Person.</w:t>
      </w: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Identification and Classification of Members of the Group.</w:t>
      </w:r>
    </w:p>
    <w:p>
      <w:pPr>
        <w:spacing w:after="0" w:line="44"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Not Applicable</w:t>
      </w:r>
    </w:p>
    <w:p>
      <w:pPr>
        <w:spacing w:after="0" w:line="44" w:lineRule="exact"/>
        <w:rPr>
          <w:sz w:val="20"/>
          <w:szCs w:val="20"/>
          <w:color w:val="auto"/>
        </w:rPr>
      </w:pPr>
    </w:p>
    <w:p>
      <w:pPr>
        <w:sectPr>
          <w:pgSz w:w="11900" w:h="16849" w:orient="portrait"/>
          <w:cols w:equalWidth="0" w:num="2">
            <w:col w:w="620" w:space="300"/>
            <w:col w:w="10220"/>
          </w:cols>
          <w:pgMar w:left="360" w:top="126" w:right="399" w:bottom="0" w:gutter="0" w:footer="0" w:header="0"/>
          <w:type w:val="continuous"/>
        </w:sectPr>
      </w:pPr>
    </w:p>
    <w:p>
      <w:pPr>
        <w:spacing w:after="0"/>
        <w:tabs>
          <w:tab w:leader="none" w:pos="900" w:val="left"/>
        </w:tabs>
        <w:rPr>
          <w:sz w:val="20"/>
          <w:szCs w:val="20"/>
          <w:color w:val="auto"/>
        </w:rPr>
      </w:pPr>
      <w:r>
        <w:rPr>
          <w:rFonts w:ascii="Times New Roman" w:cs="Times New Roman" w:eastAsia="Times New Roman" w:hAnsi="Times New Roman"/>
          <w:sz w:val="22"/>
          <w:szCs w:val="22"/>
          <w:color w:val="auto"/>
        </w:rPr>
        <w:t>Item 9.</w:t>
      </w:r>
      <w:r>
        <w:rPr>
          <w:sz w:val="20"/>
          <w:szCs w:val="20"/>
          <w:color w:val="auto"/>
        </w:rPr>
        <w:tab/>
      </w:r>
      <w:r>
        <w:rPr>
          <w:rFonts w:ascii="Times New Roman" w:cs="Times New Roman" w:eastAsia="Times New Roman" w:hAnsi="Times New Roman"/>
          <w:sz w:val="21"/>
          <w:szCs w:val="21"/>
          <w:color w:val="auto"/>
        </w:rPr>
        <w:t>Notice of Dissolution of Group.</w:t>
      </w:r>
    </w:p>
    <w:p>
      <w:pPr>
        <w:spacing w:after="0" w:line="4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22"/>
          <w:szCs w:val="22"/>
          <w:color w:val="auto"/>
        </w:rPr>
        <w:t>Not Applicable</w:t>
      </w:r>
    </w:p>
    <w:p>
      <w:pPr>
        <w:spacing w:after="0" w:line="314" w:lineRule="exact"/>
        <w:rPr>
          <w:sz w:val="20"/>
          <w:szCs w:val="20"/>
          <w:color w:val="auto"/>
        </w:rPr>
      </w:pPr>
    </w:p>
    <w:p>
      <w:pPr>
        <w:spacing w:after="0"/>
        <w:tabs>
          <w:tab w:leader="none" w:pos="920" w:val="left"/>
        </w:tabs>
        <w:rPr>
          <w:sz w:val="20"/>
          <w:szCs w:val="20"/>
          <w:color w:val="auto"/>
        </w:rPr>
      </w:pPr>
      <w:r>
        <w:rPr>
          <w:rFonts w:ascii="Times New Roman" w:cs="Times New Roman" w:eastAsia="Times New Roman" w:hAnsi="Times New Roman"/>
          <w:sz w:val="22"/>
          <w:szCs w:val="22"/>
          <w:color w:val="auto"/>
        </w:rPr>
        <w:t>Item 10.</w:t>
      </w:r>
      <w:r>
        <w:rPr>
          <w:sz w:val="20"/>
          <w:szCs w:val="20"/>
          <w:color w:val="auto"/>
        </w:rPr>
        <w:tab/>
      </w:r>
      <w:r>
        <w:rPr>
          <w:rFonts w:ascii="Times New Roman" w:cs="Times New Roman" w:eastAsia="Times New Roman" w:hAnsi="Times New Roman"/>
          <w:sz w:val="21"/>
          <w:szCs w:val="21"/>
          <w:color w:val="auto"/>
        </w:rPr>
        <w:t>Certifications:</w:t>
      </w:r>
    </w:p>
    <w:p>
      <w:pPr>
        <w:spacing w:after="0" w:line="44" w:lineRule="exact"/>
        <w:rPr>
          <w:sz w:val="20"/>
          <w:szCs w:val="20"/>
          <w:color w:val="auto"/>
        </w:rPr>
      </w:pPr>
    </w:p>
    <w:p>
      <w:pPr>
        <w:ind w:left="940"/>
        <w:spacing w:after="0"/>
        <w:rPr>
          <w:sz w:val="20"/>
          <w:szCs w:val="20"/>
          <w:color w:val="auto"/>
        </w:rPr>
      </w:pPr>
      <w:r>
        <w:rPr>
          <w:rFonts w:ascii="Times New Roman" w:cs="Times New Roman" w:eastAsia="Times New Roman" w:hAnsi="Times New Roman"/>
          <w:sz w:val="21"/>
          <w:szCs w:val="21"/>
          <w:color w:val="auto"/>
        </w:rPr>
        <w:t>By signing below I certify that, to the best of my knowledge and belief, the securities referred to above were acquired</w:t>
      </w:r>
    </w:p>
    <w:p>
      <w:pPr>
        <w:sectPr>
          <w:pgSz w:w="11900" w:h="16849" w:orient="portrait"/>
          <w:cols w:equalWidth="0" w:num="1">
            <w:col w:w="11140"/>
          </w:cols>
          <w:pgMar w:left="360" w:top="126" w:right="399" w:bottom="0" w:gutter="0" w:footer="0" w:header="0"/>
          <w:type w:val="continuous"/>
        </w:sectPr>
      </w:pPr>
    </w:p>
    <w:bookmarkStart w:id="3" w:name="page4"/>
    <w:bookmarkEnd w:id="3"/>
    <w:p>
      <w:pPr>
        <w:ind w:left="720" w:right="180"/>
        <w:spacing w:after="0"/>
        <w:rPr>
          <w:sz w:val="20"/>
          <w:szCs w:val="20"/>
          <w:color w:val="auto"/>
        </w:rPr>
      </w:pPr>
      <w:r>
        <w:rPr>
          <w:rFonts w:ascii="Times New Roman" w:cs="Times New Roman" w:eastAsia="Times New Roman" w:hAnsi="Times New Roman"/>
          <w:sz w:val="22"/>
          <w:szCs w:val="22"/>
          <w:color w:val="auto"/>
        </w:rPr>
        <w:t>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 other than activities solely in connection with a nomination under § 240.14a-11.</w:t>
      </w:r>
    </w:p>
    <w:p>
      <w:pPr>
        <w:spacing w:after="0" w:line="285" w:lineRule="exact"/>
        <w:rPr>
          <w:sz w:val="20"/>
          <w:szCs w:val="20"/>
          <w:color w:val="auto"/>
        </w:rPr>
      </w:pPr>
    </w:p>
    <w:p>
      <w:pPr>
        <w:spacing w:after="0"/>
        <w:rPr>
          <w:sz w:val="20"/>
          <w:szCs w:val="20"/>
          <w:color w:val="auto"/>
        </w:rPr>
      </w:pPr>
      <w:r>
        <w:rPr>
          <w:rFonts w:ascii="Times New Roman" w:cs="Times New Roman" w:eastAsia="Times New Roman" w:hAnsi="Times New Roman"/>
          <w:sz w:val="22"/>
          <w:szCs w:val="22"/>
          <w:color w:val="auto"/>
        </w:rPr>
        <w:t>SIGNATURE</w:t>
      </w:r>
    </w:p>
    <w:p>
      <w:pPr>
        <w:spacing w:after="0" w:line="44" w:lineRule="exact"/>
        <w:rPr>
          <w:sz w:val="20"/>
          <w:szCs w:val="20"/>
          <w:color w:val="auto"/>
        </w:rPr>
      </w:pPr>
    </w:p>
    <w:p>
      <w:pPr>
        <w:ind w:left="1260"/>
        <w:spacing w:after="0" w:line="258" w:lineRule="auto"/>
        <w:rPr>
          <w:sz w:val="20"/>
          <w:szCs w:val="20"/>
          <w:color w:val="auto"/>
        </w:rPr>
      </w:pPr>
      <w:r>
        <w:rPr>
          <w:rFonts w:ascii="Times New Roman" w:cs="Times New Roman" w:eastAsia="Times New Roman" w:hAnsi="Times New Roman"/>
          <w:sz w:val="22"/>
          <w:szCs w:val="22"/>
          <w:color w:val="auto"/>
        </w:rPr>
        <w:t>After reasonable inquiry and to the best of my knowledge and belief, I certify that the information set forth in this statement is true, complete and correct.</w:t>
      </w:r>
    </w:p>
    <w:p>
      <w:pPr>
        <w:spacing w:after="0" w:line="307" w:lineRule="exact"/>
        <w:rPr>
          <w:sz w:val="20"/>
          <w:szCs w:val="20"/>
          <w:color w:val="auto"/>
        </w:rPr>
      </w:pPr>
    </w:p>
    <w:p>
      <w:pPr>
        <w:ind w:left="2660"/>
        <w:spacing w:after="0"/>
        <w:rPr>
          <w:sz w:val="20"/>
          <w:szCs w:val="20"/>
          <w:color w:val="auto"/>
        </w:rPr>
      </w:pPr>
      <w:r>
        <w:rPr>
          <w:rFonts w:ascii="Times New Roman" w:cs="Times New Roman" w:eastAsia="Times New Roman" w:hAnsi="Times New Roman"/>
          <w:sz w:val="22"/>
          <w:szCs w:val="22"/>
          <w:color w:val="auto"/>
        </w:rPr>
        <w:t>Vanguard Capital Management</w:t>
      </w:r>
    </w:p>
    <w:p>
      <w:pPr>
        <w:spacing w:after="0" w:line="152"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Signature:</w:t>
      </w:r>
      <w:r>
        <w:rPr>
          <w:sz w:val="20"/>
          <w:szCs w:val="20"/>
          <w:color w:val="auto"/>
        </w:rPr>
        <w:tab/>
      </w:r>
      <w:r>
        <w:rPr>
          <w:rFonts w:ascii="Times New Roman" w:cs="Times New Roman" w:eastAsia="Times New Roman" w:hAnsi="Times New Roman"/>
          <w:sz w:val="21"/>
          <w:szCs w:val="21"/>
          <w:color w:val="auto"/>
        </w:rPr>
        <w:t>Ashley Grim</w:t>
      </w:r>
    </w:p>
    <w:p>
      <w:pPr>
        <w:spacing w:after="0" w:line="44" w:lineRule="exact"/>
        <w:rPr>
          <w:sz w:val="20"/>
          <w:szCs w:val="20"/>
          <w:color w:val="auto"/>
        </w:rPr>
      </w:pPr>
    </w:p>
    <w:p>
      <w:pPr>
        <w:ind w:left="4260"/>
        <w:spacing w:after="0"/>
        <w:rPr>
          <w:sz w:val="20"/>
          <w:szCs w:val="20"/>
          <w:color w:val="auto"/>
        </w:rPr>
      </w:pPr>
      <w:r>
        <w:rPr>
          <w:rFonts w:ascii="Times New Roman" w:cs="Times New Roman" w:eastAsia="Times New Roman" w:hAnsi="Times New Roman"/>
          <w:sz w:val="22"/>
          <w:szCs w:val="22"/>
          <w:color w:val="auto"/>
        </w:rPr>
        <w:t>Name/Title: Head of Global Fund Administration</w:t>
      </w:r>
    </w:p>
    <w:p>
      <w:pPr>
        <w:spacing w:after="0" w:line="44" w:lineRule="exact"/>
        <w:rPr>
          <w:sz w:val="20"/>
          <w:szCs w:val="20"/>
          <w:color w:val="auto"/>
        </w:rPr>
      </w:pPr>
    </w:p>
    <w:p>
      <w:pPr>
        <w:ind w:left="4260"/>
        <w:spacing w:after="0"/>
        <w:tabs>
          <w:tab w:leader="none" w:pos="5340" w:val="left"/>
        </w:tabs>
        <w:rPr>
          <w:sz w:val="20"/>
          <w:szCs w:val="20"/>
          <w:color w:val="auto"/>
        </w:rPr>
      </w:pPr>
      <w:r>
        <w:rPr>
          <w:rFonts w:ascii="Times New Roman" w:cs="Times New Roman" w:eastAsia="Times New Roman" w:hAnsi="Times New Roman"/>
          <w:sz w:val="22"/>
          <w:szCs w:val="22"/>
          <w:color w:val="auto"/>
        </w:rPr>
        <w:t>Date:</w:t>
      </w:r>
      <w:r>
        <w:rPr>
          <w:sz w:val="20"/>
          <w:szCs w:val="20"/>
          <w:color w:val="auto"/>
        </w:rPr>
        <w:tab/>
      </w:r>
      <w:r>
        <w:rPr>
          <w:rFonts w:ascii="Times New Roman" w:cs="Times New Roman" w:eastAsia="Times New Roman" w:hAnsi="Times New Roman"/>
          <w:sz w:val="22"/>
          <w:szCs w:val="22"/>
          <w:color w:val="auto"/>
        </w:rPr>
        <w:t>04/30/2026</w:t>
      </w:r>
    </w:p>
    <w:sectPr>
      <w:pgSz w:w="11900" w:h="16838" w:orient="portrait"/>
      <w:cols w:equalWidth="0" w:num="1">
        <w:col w:w="10920"/>
      </w:cols>
      <w:pgMar w:left="580" w:top="112" w:right="3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2AE8944A"/>
    <w:multiLevelType w:val="hybridMultilevel"/>
    <w:lvl w:ilvl="0">
      <w:lvlJc w:val="left"/>
      <w:lvlText w:val="2"/>
      <w:numFmt w:val="bullet"/>
      <w:start w:val="1"/>
    </w:lvl>
  </w:abstractNum>
  <w:abstractNum w:abstractNumId="1">
    <w:nsid w:val="625558EC"/>
    <w:multiLevelType w:val="hybridMultilevel"/>
    <w:lvl w:ilvl="0">
      <w:lvlJc w:val="left"/>
      <w:lvlText w:val="3"/>
      <w:numFmt w:val="bullet"/>
      <w:start w:val="1"/>
    </w:lvl>
  </w:abstractNum>
  <w:abstractNum w:abstractNumId="2">
    <w:nsid w:val="238E1F29"/>
    <w:multiLevelType w:val="hybridMultilevel"/>
    <w:lvl w:ilvl="0">
      <w:lvlJc w:val="left"/>
      <w:lvlText w:val="(%1)"/>
      <w:numFmt w:val="lowerLetter"/>
      <w:start w:val="3"/>
    </w:lvl>
  </w:abstractNum>
  <w:abstractNum w:abstractNumId="3">
    <w:nsid w:val="46E87CCD"/>
    <w:multiLevelType w:val="hybridMultilevel"/>
    <w:lvl w:ilvl="0">
      <w:lvlJc w:val="left"/>
      <w:lvlText w:val="(%1)"/>
      <w:numFmt w:val="lowerLetter"/>
      <w:start w:val="11"/>
    </w:lvl>
  </w:abstractNum>
  <w:abstractNum w:abstractNumId="4">
    <w:nsid w:val="3D1B58BA"/>
    <w:multiLevelType w:val="hybridMultilevel"/>
    <w:lvl w:ilvl="0">
      <w:lvlJc w:val="left"/>
      <w:lvlText w:val="(%1)"/>
      <w:numFmt w:val="lowerLetter"/>
      <w:start w:val="3"/>
    </w:lvl>
  </w:abstractNum>
  <w:abstractNum w:abstractNumId="5">
    <w:nsid w:val="507ED7AB"/>
    <w:multiLevelType w:val="hybridMultilevel"/>
    <w:lvl w:ilvl="0">
      <w:lvlJc w:val="left"/>
      <w:lvlText w:val="(%1)"/>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2026-04-30T13:19:10Z</dcterms:created>
  <dcterms:modified xsi:type="dcterms:W3CDTF">2026-04-30T13:19:10Z</dcterms:modified>
</cp:coreProperties>
</file>