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175895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Take-Two Interactive Software, Inc.</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40" w:hanging="552"/>
        <w:spacing w:after="0" w:line="268"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31" w:lineRule="auto"/>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0" w:lineRule="exact"/>
        <w:rPr>
          <w:rFonts w:ascii="MS PGothic" w:cs="MS PGothic" w:eastAsia="MS PGothic" w:hAnsi="MS PGothic"/>
          <w:sz w:val="16"/>
          <w:szCs w:val="16"/>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40" w:hanging="552"/>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-4180205</wp:posOffset>
            </wp:positionV>
            <wp:extent cx="6412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-3760470</wp:posOffset>
            </wp:positionV>
            <wp:extent cx="6412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-3202940</wp:posOffset>
            </wp:positionV>
            <wp:extent cx="6412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-2783205</wp:posOffset>
            </wp:positionV>
            <wp:extent cx="6412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-2362835</wp:posOffset>
            </wp:positionV>
            <wp:extent cx="6412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-982980</wp:posOffset>
            </wp:positionV>
            <wp:extent cx="6412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-562610</wp:posOffset>
            </wp:positionV>
            <wp:extent cx="641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-142875</wp:posOffset>
            </wp:positionV>
            <wp:extent cx="641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276860</wp:posOffset>
            </wp:positionV>
            <wp:extent cx="6412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140"/>
          </w:cols>
          <w:pgMar w:left="320" w:top="422" w:right="439" w:bottom="316" w:gutter="0" w:footer="0" w:header="0"/>
        </w:sectPr>
      </w:pPr>
    </w:p>
    <w:bookmarkStart w:id="1" w:name="page2"/>
    <w:bookmarkEnd w:id="1"/>
    <w:p>
      <w:pPr>
        <w:ind w:firstLine="449"/>
        <w:spacing w:after="0" w:line="275" w:lineRule="auto"/>
        <w:rPr>
          <w:sz w:val="20"/>
          <w:szCs w:val="20"/>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2" w:name="page3"/>
    <w:bookmarkEnd w:id="2"/>
    <w:p>
      <w:pPr>
        <w:jc w:val="center"/>
        <w:ind w:left="1900" w:right="286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September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118745</wp:posOffset>
            </wp:positionV>
            <wp:extent cx="3420110" cy="1868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0110" cy="1868805"/>
                    </a:xfrm>
                    <a:prstGeom prst="rect">
                      <a:avLst/>
                    </a:prstGeom>
                    <a:noFill/>
                  </pic:spPr>
                </pic:pic>
              </a:graphicData>
            </a:graphic>
          </wp:anchor>
        </w:drawing>
      </w:r>
    </w:p>
    <w:p>
      <w:pPr>
        <w:sectPr>
          <w:pgSz w:w="11900" w:h="16838" w:orient="portrait"/>
          <w:cols w:equalWidth="0" w:num="1">
            <w:col w:w="10080"/>
          </w:cols>
          <w:pgMar w:left="1380" w:top="274" w:right="4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TAKE-TWO INTERACTIVE SOFTWARE, INC.</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680"/>
        <w:spacing w:after="0"/>
        <w:rPr>
          <w:sz w:val="20"/>
          <w:szCs w:val="20"/>
          <w:color w:val="auto"/>
        </w:rPr>
      </w:pPr>
      <w:r>
        <w:rPr>
          <w:rFonts w:ascii="Arial" w:cs="Arial" w:eastAsia="Arial" w:hAnsi="Arial"/>
          <w:sz w:val="18"/>
          <w:szCs w:val="18"/>
          <w:b w:val="1"/>
          <w:bCs w:val="1"/>
          <w:u w:val="single" w:color="auto"/>
          <w:color w:val="auto"/>
        </w:rPr>
        <w:t>Meeting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July 20, 2020</w:t>
      </w:r>
    </w:p>
    <w:p>
      <w:pPr>
        <w:spacing w:after="0" w:line="171"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September 16, 2020</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9:00 AM EDT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W Hotel</w:t>
      </w:r>
    </w:p>
    <w:p>
      <w:pPr>
        <w:spacing w:after="0" w:line="16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201 Park Avenue South</w:t>
      </w:r>
    </w:p>
    <w:p>
      <w:pPr>
        <w:spacing w:after="0" w:line="15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New York, NY 10003</w:t>
      </w:r>
    </w:p>
    <w:p>
      <w:pPr>
        <w:spacing w:after="0" w:line="200" w:lineRule="exact"/>
        <w:rPr>
          <w:sz w:val="20"/>
          <w:szCs w:val="20"/>
          <w:color w:val="auto"/>
        </w:rPr>
      </w:pPr>
    </w:p>
    <w:p>
      <w:pPr>
        <w:sectPr>
          <w:pgSz w:w="11900" w:h="16838" w:orient="portrait"/>
          <w:cols w:equalWidth="0" w:num="2">
            <w:col w:w="4200" w:space="720"/>
            <w:col w:w="5160"/>
          </w:cols>
          <w:pgMar w:left="1380" w:top="274" w:right="4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4680"/>
        <w:spacing w:after="0" w:line="288" w:lineRule="auto"/>
        <w:rPr>
          <w:sz w:val="20"/>
          <w:szCs w:val="20"/>
          <w:color w:val="auto"/>
        </w:rPr>
      </w:pPr>
      <w:r>
        <w:rPr>
          <w:rFonts w:ascii="Arial" w:cs="Arial" w:eastAsia="Arial" w:hAnsi="Arial"/>
          <w:sz w:val="16"/>
          <w:szCs w:val="16"/>
          <w:color w:val="auto"/>
        </w:rPr>
        <w:t>We intend to hold our annual meeting in person. However, the health and safety of our shareholders are important to us and as part of our precautions regarding the COVID-19 pandemic, we are planning for the possibility that our Annual Meeting may be held solely by means of remote communication. If we take this step, we will announce the decision to do so in advance, and details on how to participate will be posted on our website at www.take2games.com and filed with the SEC as additional proxy materials. If you are planning to attend our meeting, please check our website the week of the meeting.</w:t>
      </w:r>
    </w:p>
    <w:p>
      <w:pPr>
        <w:spacing w:after="0" w:line="119"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You are receiving this communication because you hold shares in the</w:t>
      </w:r>
    </w:p>
    <w:p>
      <w:pPr>
        <w:spacing w:after="0" w:line="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company named above.</w:t>
      </w:r>
    </w:p>
    <w:p>
      <w:pPr>
        <w:spacing w:after="0" w:line="165" w:lineRule="exact"/>
        <w:rPr>
          <w:sz w:val="20"/>
          <w:szCs w:val="20"/>
          <w:color w:val="auto"/>
        </w:rPr>
      </w:pPr>
    </w:p>
    <w:p>
      <w:pPr>
        <w:ind w:left="4680" w:right="160"/>
        <w:spacing w:after="0" w:line="294"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15" w:lineRule="exact"/>
        <w:rPr>
          <w:sz w:val="20"/>
          <w:szCs w:val="20"/>
          <w:color w:val="auto"/>
        </w:rPr>
      </w:pPr>
    </w:p>
    <w:p>
      <w:pPr>
        <w:ind w:left="4680" w:right="340"/>
        <w:spacing w:after="0" w:line="26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88900</wp:posOffset>
            </wp:positionV>
            <wp:extent cx="356616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411480"/>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-116205</wp:posOffset>
            </wp:positionV>
            <wp:extent cx="111125"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608330"/>
                    </a:xfrm>
                    <a:prstGeom prst="rect">
                      <a:avLst/>
                    </a:prstGeom>
                    <a:noFill/>
                  </pic:spPr>
                </pic:pic>
              </a:graphicData>
            </a:graphic>
          </wp:anchor>
        </w:drawing>
      </w:r>
    </w:p>
    <w:p>
      <w:pPr>
        <w:spacing w:after="0" w:line="254" w:lineRule="exact"/>
        <w:rPr>
          <w:sz w:val="20"/>
          <w:szCs w:val="20"/>
          <w:color w:val="auto"/>
        </w:rPr>
      </w:pPr>
    </w:p>
    <w:p>
      <w:pPr>
        <w:ind w:left="4780" w:right="8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ectPr>
          <w:pgSz w:w="11900" w:h="16838" w:orient="portrait"/>
          <w:cols w:equalWidth="0" w:num="1">
            <w:col w:w="10080"/>
          </w:cols>
          <w:pgMar w:left="1380" w:top="274" w:right="439" w:bottom="1440" w:gutter="0" w:footer="0" w:header="0"/>
          <w:type w:val="continuous"/>
        </w:sectPr>
      </w:pPr>
    </w:p>
    <w:bookmarkStart w:id="3" w:name="page4"/>
    <w:bookmarkEnd w:id="3"/>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Before You Vote —</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109855</wp:posOffset>
            </wp:positionV>
            <wp:extent cx="6789420" cy="258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89420" cy="258000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9"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6"/>
          <w:szCs w:val="16"/>
          <w:color w:val="auto"/>
        </w:rPr>
        <w:t>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200150"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0" cy="128905"/>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visit: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4"/>
              </w:rPr>
              <w:t>1)</w:t>
            </w:r>
          </w:p>
        </w:tc>
        <w:tc>
          <w:tcPr>
            <w:tcW w:w="1760" w:type="dxa"/>
            <w:vAlign w:val="bottom"/>
          </w:tcPr>
          <w:p>
            <w:pPr>
              <w:ind w:left="4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540" w:type="dxa"/>
            <w:vAlign w:val="bottom"/>
          </w:tcPr>
          <w:p>
            <w:pPr>
              <w:ind w:left="420"/>
              <w:spacing w:after="0"/>
              <w:rPr>
                <w:sz w:val="20"/>
                <w:szCs w:val="20"/>
                <w:color w:val="auto"/>
              </w:rPr>
            </w:pPr>
            <w:r>
              <w:rPr>
                <w:rFonts w:ascii="Arial" w:cs="Arial" w:eastAsia="Arial" w:hAnsi="Arial"/>
                <w:sz w:val="18"/>
                <w:szCs w:val="18"/>
                <w:color w:val="auto"/>
              </w:rPr>
              <w:t>www.proxyvote.com</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760" w:type="dxa"/>
            <w:vAlign w:val="bottom"/>
          </w:tcPr>
          <w:p>
            <w:pPr>
              <w:ind w:left="4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540" w:type="dxa"/>
            <w:vAlign w:val="bottom"/>
          </w:tcPr>
          <w:p>
            <w:pPr>
              <w:ind w:left="420"/>
              <w:spacing w:after="0"/>
              <w:rPr>
                <w:sz w:val="20"/>
                <w:szCs w:val="20"/>
                <w:color w:val="auto"/>
              </w:rPr>
            </w:pPr>
            <w:r>
              <w:rPr>
                <w:rFonts w:ascii="Arial" w:cs="Arial" w:eastAsia="Arial" w:hAnsi="Arial"/>
                <w:sz w:val="18"/>
                <w:szCs w:val="18"/>
                <w:color w:val="auto"/>
              </w:rPr>
              <w:t>1-800-579-1639</w:t>
            </w:r>
          </w:p>
        </w:tc>
      </w:tr>
      <w:tr>
        <w:trPr>
          <w:trHeight w:val="222"/>
        </w:trPr>
        <w:tc>
          <w:tcPr>
            <w:tcW w:w="180" w:type="dxa"/>
            <w:vAlign w:val="bottom"/>
          </w:tcPr>
          <w:p>
            <w:pPr>
              <w:jc w:val="right"/>
              <w:spacing w:after="0"/>
              <w:rPr>
                <w:sz w:val="20"/>
                <w:szCs w:val="20"/>
                <w:color w:val="auto"/>
              </w:rPr>
            </w:pPr>
            <w:r>
              <w:rPr>
                <w:rFonts w:ascii="Arial" w:cs="Arial" w:eastAsia="Arial" w:hAnsi="Arial"/>
                <w:sz w:val="18"/>
                <w:szCs w:val="18"/>
                <w:color w:val="auto"/>
                <w:w w:val="74"/>
              </w:rPr>
              <w:t>3)</w:t>
            </w:r>
          </w:p>
        </w:tc>
        <w:tc>
          <w:tcPr>
            <w:tcW w:w="1760" w:type="dxa"/>
            <w:vAlign w:val="bottom"/>
          </w:tcPr>
          <w:p>
            <w:pPr>
              <w:ind w:left="4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540" w:type="dxa"/>
            <w:vAlign w:val="bottom"/>
          </w:tcPr>
          <w:p>
            <w:pPr>
              <w:ind w:left="420"/>
              <w:spacing w:after="0"/>
              <w:rPr>
                <w:sz w:val="20"/>
                <w:szCs w:val="20"/>
                <w:color w:val="auto"/>
              </w:rPr>
            </w:pPr>
            <w:r>
              <w:rPr>
                <w:rFonts w:ascii="Arial" w:cs="Arial" w:eastAsia="Arial" w:hAnsi="Arial"/>
                <w:sz w:val="18"/>
                <w:szCs w:val="18"/>
                <w:color w:val="auto"/>
                <w:w w:val="88"/>
              </w:rPr>
              <w:t>sendmaterial@proxyvote.com</w:t>
            </w:r>
          </w:p>
        </w:tc>
      </w:tr>
    </w:tbl>
    <w:p>
      <w:pPr>
        <w:spacing w:after="0" w:line="75" w:lineRule="exact"/>
        <w:rPr>
          <w:sz w:val="20"/>
          <w:szCs w:val="20"/>
          <w:color w:val="auto"/>
        </w:rPr>
      </w:pPr>
    </w:p>
    <w:p>
      <w:pPr>
        <w:ind w:left="220" w:hanging="211"/>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requesting materials by e-mail, please send a blank e-mail with the information that is printed in the box marked by the arrow</w:t>
      </w:r>
    </w:p>
    <w:p>
      <w:pPr>
        <w:spacing w:after="0" w:line="40"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200150"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0"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September 2, 2020 to facilitate timely delivery.</w:t>
      </w:r>
    </w:p>
    <w:p>
      <w:pPr>
        <w:spacing w:after="0" w:line="13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 How To Vote —</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109855</wp:posOffset>
            </wp:positionV>
            <wp:extent cx="7140575" cy="130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1303020"/>
                    </a:xfrm>
                    <a:prstGeom prst="rect">
                      <a:avLst/>
                    </a:prstGeom>
                    <a:noFill/>
                  </pic:spPr>
                </pic:pic>
              </a:graphicData>
            </a:graphic>
          </wp:anchor>
        </w:drawing>
      </w:r>
    </w:p>
    <w:p>
      <w:pPr>
        <w:spacing w:after="0" w:line="30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color w:val="auto"/>
        </w:rPr>
        <w:t xml:space="preserve">Vote In Person: </w:t>
      </w:r>
      <w:r>
        <w:rPr>
          <w:rFonts w:ascii="Arial" w:cs="Arial" w:eastAsia="Arial" w:hAnsi="Arial"/>
          <w:sz w:val="16"/>
          <w:szCs w:val="16"/>
          <w:color w:val="auto"/>
        </w:rPr>
        <w:t>If you choose to vote these shares in person at the meeting, you must request a “</w:t>
      </w:r>
      <w:r>
        <w:rPr>
          <w:rFonts w:ascii="Arial" w:cs="Arial" w:eastAsia="Arial" w:hAnsi="Arial"/>
          <w:sz w:val="16"/>
          <w:szCs w:val="16"/>
          <w:i w:val="1"/>
          <w:iCs w:val="1"/>
          <w:color w:val="auto"/>
        </w:rPr>
        <w:t>legal proxy.</w:t>
      </w:r>
      <w:r>
        <w:rPr>
          <w:rFonts w:ascii="Arial" w:cs="Arial" w:eastAsia="Arial" w:hAnsi="Arial"/>
          <w:sz w:val="16"/>
          <w:szCs w:val="16"/>
          <w:color w:val="auto"/>
        </w:rPr>
        <w:t>” To do so, please follow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instructions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90" w:lineRule="exact"/>
        <w:rPr>
          <w:sz w:val="20"/>
          <w:szCs w:val="20"/>
          <w:color w:val="auto"/>
        </w:rPr>
      </w:pPr>
    </w:p>
    <w:p>
      <w:pPr>
        <w:ind w:right="420"/>
        <w:spacing w:after="0" w:line="279"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285875" cy="1371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5875"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voting instruction form.</w:t>
      </w:r>
    </w:p>
    <w:p>
      <w:pPr>
        <w:sectPr>
          <w:pgSz w:w="11900" w:h="16838" w:orient="portrait"/>
          <w:cols w:equalWidth="0" w:num="1">
            <w:col w:w="10200"/>
          </w:cols>
          <w:pgMar w:left="980" w:top="274" w:right="719" w:bottom="1440" w:gutter="0" w:footer="0" w:header="0"/>
        </w:sectPr>
      </w:pPr>
    </w:p>
    <w:bookmarkStart w:id="4" w:name="page5"/>
    <w:bookmarkEnd w:id="4"/>
    <w:p>
      <w:pPr>
        <w:ind w:left="1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-130175</wp:posOffset>
            </wp:positionV>
            <wp:extent cx="244284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42845"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vote FOR the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2940" w:type="dxa"/>
            <w:vAlign w:val="bottom"/>
          </w:tcPr>
          <w:p>
            <w:pPr>
              <w:ind w:left="160"/>
              <w:spacing w:after="0"/>
              <w:rPr>
                <w:sz w:val="20"/>
                <w:szCs w:val="20"/>
                <w:color w:val="auto"/>
              </w:rPr>
            </w:pPr>
            <w:r>
              <w:rPr>
                <w:rFonts w:ascii="Arial" w:cs="Arial" w:eastAsia="Arial" w:hAnsi="Arial"/>
                <w:sz w:val="18"/>
                <w:szCs w:val="18"/>
                <w:color w:val="auto"/>
              </w:rPr>
              <w:t>Election of Directors</w:t>
            </w: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3700" w:type="dxa"/>
            <w:vAlign w:val="bottom"/>
          </w:tcPr>
          <w:p>
            <w:pPr>
              <w:ind w:left="180"/>
              <w:spacing w:after="0"/>
              <w:rPr>
                <w:sz w:val="20"/>
                <w:szCs w:val="20"/>
                <w:color w:val="auto"/>
              </w:rPr>
            </w:pPr>
            <w:r>
              <w:rPr>
                <w:rFonts w:ascii="Arial" w:cs="Arial" w:eastAsia="Arial" w:hAnsi="Arial"/>
                <w:sz w:val="18"/>
                <w:szCs w:val="18"/>
                <w:color w:val="auto"/>
                <w:w w:val="89"/>
              </w:rPr>
              <w:t>Approval, on a non-binding advisory basis, of the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Nominees:</w:t>
            </w:r>
          </w:p>
        </w:tc>
        <w:tc>
          <w:tcPr>
            <w:tcW w:w="168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compensation of the Company’s “named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executive officers” as disclosed in the Proxy</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1a.</w:t>
            </w:r>
          </w:p>
        </w:tc>
        <w:tc>
          <w:tcPr>
            <w:tcW w:w="2940" w:type="dxa"/>
            <w:vAlign w:val="bottom"/>
          </w:tcPr>
          <w:p>
            <w:pPr>
              <w:ind w:left="160"/>
              <w:spacing w:after="0"/>
              <w:rPr>
                <w:sz w:val="20"/>
                <w:szCs w:val="20"/>
                <w:color w:val="auto"/>
              </w:rPr>
            </w:pPr>
            <w:r>
              <w:rPr>
                <w:rFonts w:ascii="Arial" w:cs="Arial" w:eastAsia="Arial" w:hAnsi="Arial"/>
                <w:sz w:val="18"/>
                <w:szCs w:val="18"/>
                <w:color w:val="auto"/>
              </w:rPr>
              <w:t>Strauss Zelnick</w:t>
            </w: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3700" w:type="dxa"/>
            <w:vAlign w:val="bottom"/>
          </w:tcPr>
          <w:p>
            <w:pPr>
              <w:ind w:left="180"/>
              <w:spacing w:after="0"/>
              <w:rPr>
                <w:sz w:val="20"/>
                <w:szCs w:val="20"/>
                <w:color w:val="auto"/>
              </w:rPr>
            </w:pPr>
            <w:r>
              <w:rPr>
                <w:rFonts w:ascii="Arial" w:cs="Arial" w:eastAsia="Arial" w:hAnsi="Arial"/>
                <w:sz w:val="18"/>
                <w:szCs w:val="18"/>
                <w:color w:val="auto"/>
                <w:w w:val="87"/>
              </w:rPr>
              <w:t>Approval of the Amended and Restated Take-Two</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w w:val="94"/>
              </w:rPr>
              <w:t>Interactive Software, Inc. 2017 Stock Incentive</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20"/>
                <w:szCs w:val="20"/>
                <w:color w:val="auto"/>
              </w:rPr>
            </w:pPr>
            <w:r>
              <w:rPr>
                <w:rFonts w:ascii="Arial" w:cs="Arial" w:eastAsia="Arial" w:hAnsi="Arial"/>
                <w:sz w:val="18"/>
                <w:szCs w:val="18"/>
                <w:color w:val="auto"/>
              </w:rPr>
              <w:t>1b.</w:t>
            </w:r>
          </w:p>
        </w:tc>
        <w:tc>
          <w:tcPr>
            <w:tcW w:w="2940" w:type="dxa"/>
            <w:vAlign w:val="bottom"/>
          </w:tcPr>
          <w:p>
            <w:pPr>
              <w:ind w:left="160"/>
              <w:spacing w:after="0"/>
              <w:rPr>
                <w:sz w:val="20"/>
                <w:szCs w:val="20"/>
                <w:color w:val="auto"/>
              </w:rPr>
            </w:pPr>
            <w:r>
              <w:rPr>
                <w:rFonts w:ascii="Arial" w:cs="Arial" w:eastAsia="Arial" w:hAnsi="Arial"/>
                <w:sz w:val="18"/>
                <w:szCs w:val="18"/>
                <w:color w:val="auto"/>
              </w:rPr>
              <w:t>Michael Dornemann</w:t>
            </w:r>
          </w:p>
        </w:tc>
        <w:tc>
          <w:tcPr>
            <w:tcW w:w="1680" w:type="dxa"/>
            <w:vAlign w:val="bottom"/>
          </w:tcPr>
          <w:p>
            <w:pPr>
              <w:spacing w:after="0"/>
              <w:rPr>
                <w:sz w:val="19"/>
                <w:szCs w:val="19"/>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318"/>
        </w:trPr>
        <w:tc>
          <w:tcPr>
            <w:tcW w:w="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4.</w:t>
            </w:r>
          </w:p>
        </w:tc>
        <w:tc>
          <w:tcPr>
            <w:tcW w:w="3700" w:type="dxa"/>
            <w:vAlign w:val="bottom"/>
          </w:tcPr>
          <w:p>
            <w:pPr>
              <w:ind w:left="180"/>
              <w:spacing w:after="0"/>
              <w:rPr>
                <w:sz w:val="20"/>
                <w:szCs w:val="20"/>
                <w:color w:val="auto"/>
              </w:rPr>
            </w:pPr>
            <w:r>
              <w:rPr>
                <w:rFonts w:ascii="Arial" w:cs="Arial" w:eastAsia="Arial" w:hAnsi="Arial"/>
                <w:sz w:val="18"/>
                <w:szCs w:val="18"/>
                <w:color w:val="auto"/>
                <w:w w:val="91"/>
              </w:rPr>
              <w:t>Ratification of the appointment of Ernst &amp; Young</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1c.</w:t>
            </w:r>
          </w:p>
        </w:tc>
        <w:tc>
          <w:tcPr>
            <w:tcW w:w="2940" w:type="dxa"/>
            <w:vAlign w:val="bottom"/>
          </w:tcPr>
          <w:p>
            <w:pPr>
              <w:ind w:left="160"/>
              <w:spacing w:after="0"/>
              <w:rPr>
                <w:sz w:val="20"/>
                <w:szCs w:val="20"/>
                <w:color w:val="auto"/>
              </w:rPr>
            </w:pPr>
            <w:r>
              <w:rPr>
                <w:rFonts w:ascii="Arial" w:cs="Arial" w:eastAsia="Arial" w:hAnsi="Arial"/>
                <w:sz w:val="18"/>
                <w:szCs w:val="18"/>
                <w:color w:val="auto"/>
              </w:rPr>
              <w:t>J. Moses</w:t>
            </w:r>
          </w:p>
        </w:tc>
        <w:tc>
          <w:tcPr>
            <w:tcW w:w="168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LLP as our independent registered public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accounting firm for the fiscal year ending</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20"/>
                <w:szCs w:val="20"/>
                <w:color w:val="auto"/>
              </w:rPr>
            </w:pPr>
            <w:r>
              <w:rPr>
                <w:rFonts w:ascii="Arial" w:cs="Arial" w:eastAsia="Arial" w:hAnsi="Arial"/>
                <w:sz w:val="18"/>
                <w:szCs w:val="18"/>
                <w:color w:val="auto"/>
              </w:rPr>
              <w:t>1d.</w:t>
            </w:r>
          </w:p>
        </w:tc>
        <w:tc>
          <w:tcPr>
            <w:tcW w:w="2940" w:type="dxa"/>
            <w:vAlign w:val="bottom"/>
          </w:tcPr>
          <w:p>
            <w:pPr>
              <w:ind w:left="160"/>
              <w:spacing w:after="0"/>
              <w:rPr>
                <w:sz w:val="20"/>
                <w:szCs w:val="20"/>
                <w:color w:val="auto"/>
              </w:rPr>
            </w:pPr>
            <w:r>
              <w:rPr>
                <w:rFonts w:ascii="Arial" w:cs="Arial" w:eastAsia="Arial" w:hAnsi="Arial"/>
                <w:sz w:val="18"/>
                <w:szCs w:val="18"/>
                <w:color w:val="auto"/>
              </w:rPr>
              <w:t>Michael Sheresky</w:t>
            </w:r>
          </w:p>
        </w:tc>
        <w:tc>
          <w:tcPr>
            <w:tcW w:w="1680" w:type="dxa"/>
            <w:vAlign w:val="bottom"/>
          </w:tcPr>
          <w:p>
            <w:pPr>
              <w:spacing w:after="0"/>
              <w:rPr>
                <w:sz w:val="19"/>
                <w:szCs w:val="19"/>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March 31, 2021.</w:t>
            </w:r>
          </w:p>
        </w:tc>
        <w:tc>
          <w:tcPr>
            <w:tcW w:w="0" w:type="dxa"/>
            <w:vAlign w:val="bottom"/>
          </w:tcPr>
          <w:p>
            <w:pPr>
              <w:spacing w:after="0"/>
              <w:rPr>
                <w:sz w:val="1"/>
                <w:szCs w:val="1"/>
                <w:color w:val="auto"/>
              </w:rPr>
            </w:pPr>
          </w:p>
        </w:tc>
      </w:tr>
      <w:tr>
        <w:trPr>
          <w:trHeight w:val="318"/>
        </w:trPr>
        <w:tc>
          <w:tcPr>
            <w:tcW w:w="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380" w:type="dxa"/>
            <w:vAlign w:val="bottom"/>
            <w:gridSpan w:val="2"/>
          </w:tcPr>
          <w:p>
            <w:pPr>
              <w:ind w:left="1300"/>
              <w:spacing w:after="0"/>
              <w:rPr>
                <w:sz w:val="20"/>
                <w:szCs w:val="20"/>
                <w:color w:val="auto"/>
              </w:rPr>
            </w:pPr>
            <w:r>
              <w:rPr>
                <w:rFonts w:ascii="Arial" w:cs="Arial" w:eastAsia="Arial" w:hAnsi="Arial"/>
                <w:sz w:val="18"/>
                <w:szCs w:val="18"/>
                <w:b w:val="1"/>
                <w:bCs w:val="1"/>
                <w:color w:val="auto"/>
                <w:w w:val="99"/>
              </w:rPr>
              <w:t xml:space="preserve">NOTE: </w:t>
            </w:r>
            <w:r>
              <w:rPr>
                <w:rFonts w:ascii="Arial" w:cs="Arial" w:eastAsia="Arial" w:hAnsi="Arial"/>
                <w:sz w:val="18"/>
                <w:szCs w:val="18"/>
                <w:color w:val="auto"/>
                <w:w w:val="99"/>
              </w:rPr>
              <w:t>Such other business as may properly come</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20"/>
                <w:szCs w:val="20"/>
                <w:color w:val="auto"/>
              </w:rPr>
            </w:pPr>
            <w:r>
              <w:rPr>
                <w:rFonts w:ascii="Arial" w:cs="Arial" w:eastAsia="Arial" w:hAnsi="Arial"/>
                <w:sz w:val="18"/>
                <w:szCs w:val="18"/>
                <w:color w:val="auto"/>
              </w:rPr>
              <w:t>1e.</w:t>
            </w:r>
          </w:p>
        </w:tc>
        <w:tc>
          <w:tcPr>
            <w:tcW w:w="2940" w:type="dxa"/>
            <w:vAlign w:val="bottom"/>
          </w:tcPr>
          <w:p>
            <w:pPr>
              <w:ind w:left="160"/>
              <w:spacing w:after="0"/>
              <w:rPr>
                <w:sz w:val="20"/>
                <w:szCs w:val="20"/>
                <w:color w:val="auto"/>
              </w:rPr>
            </w:pPr>
            <w:r>
              <w:rPr>
                <w:rFonts w:ascii="Arial" w:cs="Arial" w:eastAsia="Arial" w:hAnsi="Arial"/>
                <w:sz w:val="18"/>
                <w:szCs w:val="18"/>
                <w:color w:val="auto"/>
              </w:rPr>
              <w:t>LaVerne Srinivasan</w:t>
            </w:r>
          </w:p>
        </w:tc>
        <w:tc>
          <w:tcPr>
            <w:tcW w:w="5380" w:type="dxa"/>
            <w:vAlign w:val="bottom"/>
            <w:gridSpan w:val="2"/>
          </w:tcPr>
          <w:p>
            <w:pPr>
              <w:ind w:left="1300"/>
              <w:spacing w:after="0"/>
              <w:rPr>
                <w:sz w:val="20"/>
                <w:szCs w:val="20"/>
                <w:color w:val="auto"/>
              </w:rPr>
            </w:pPr>
            <w:r>
              <w:rPr>
                <w:rFonts w:ascii="Arial" w:cs="Arial" w:eastAsia="Arial" w:hAnsi="Arial"/>
                <w:sz w:val="18"/>
                <w:szCs w:val="18"/>
                <w:color w:val="auto"/>
              </w:rPr>
              <w:t>before the meeting or any adjournment thereof.</w:t>
            </w:r>
          </w:p>
        </w:tc>
        <w:tc>
          <w:tcPr>
            <w:tcW w:w="0" w:type="dxa"/>
            <w:vAlign w:val="bottom"/>
          </w:tcPr>
          <w:p>
            <w:pPr>
              <w:spacing w:after="0"/>
              <w:rPr>
                <w:sz w:val="1"/>
                <w:szCs w:val="1"/>
                <w:color w:val="auto"/>
              </w:rPr>
            </w:pPr>
          </w:p>
        </w:tc>
      </w:tr>
      <w:tr>
        <w:trPr>
          <w:trHeight w:val="392"/>
        </w:trPr>
        <w:tc>
          <w:tcPr>
            <w:tcW w:w="360" w:type="dxa"/>
            <w:vAlign w:val="bottom"/>
          </w:tcPr>
          <w:p>
            <w:pPr>
              <w:spacing w:after="0"/>
              <w:rPr>
                <w:sz w:val="20"/>
                <w:szCs w:val="20"/>
                <w:color w:val="auto"/>
              </w:rPr>
            </w:pPr>
            <w:r>
              <w:rPr>
                <w:rFonts w:ascii="Arial" w:cs="Arial" w:eastAsia="Arial" w:hAnsi="Arial"/>
                <w:sz w:val="18"/>
                <w:szCs w:val="18"/>
                <w:color w:val="auto"/>
              </w:rPr>
              <w:t>1f.</w:t>
            </w:r>
          </w:p>
        </w:tc>
        <w:tc>
          <w:tcPr>
            <w:tcW w:w="2940" w:type="dxa"/>
            <w:vAlign w:val="bottom"/>
          </w:tcPr>
          <w:p>
            <w:pPr>
              <w:ind w:left="160"/>
              <w:spacing w:after="0"/>
              <w:rPr>
                <w:sz w:val="20"/>
                <w:szCs w:val="20"/>
                <w:color w:val="auto"/>
              </w:rPr>
            </w:pPr>
            <w:r>
              <w:rPr>
                <w:rFonts w:ascii="Arial" w:cs="Arial" w:eastAsia="Arial" w:hAnsi="Arial"/>
                <w:sz w:val="18"/>
                <w:szCs w:val="18"/>
                <w:color w:val="auto"/>
              </w:rPr>
              <w:t>Susan Tolson</w:t>
            </w:r>
          </w:p>
        </w:tc>
        <w:tc>
          <w:tcPr>
            <w:tcW w:w="1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60" w:type="dxa"/>
            <w:vAlign w:val="bottom"/>
          </w:tcPr>
          <w:p>
            <w:pPr>
              <w:spacing w:after="0"/>
              <w:rPr>
                <w:sz w:val="20"/>
                <w:szCs w:val="20"/>
                <w:color w:val="auto"/>
              </w:rPr>
            </w:pPr>
            <w:r>
              <w:rPr>
                <w:rFonts w:ascii="Arial" w:cs="Arial" w:eastAsia="Arial" w:hAnsi="Arial"/>
                <w:sz w:val="18"/>
                <w:szCs w:val="18"/>
                <w:color w:val="auto"/>
              </w:rPr>
              <w:t>1g.</w:t>
            </w:r>
          </w:p>
        </w:tc>
        <w:tc>
          <w:tcPr>
            <w:tcW w:w="2940" w:type="dxa"/>
            <w:vAlign w:val="bottom"/>
          </w:tcPr>
          <w:p>
            <w:pPr>
              <w:ind w:left="160"/>
              <w:spacing w:after="0"/>
              <w:rPr>
                <w:sz w:val="20"/>
                <w:szCs w:val="20"/>
                <w:color w:val="auto"/>
              </w:rPr>
            </w:pPr>
            <w:r>
              <w:rPr>
                <w:rFonts w:ascii="Arial" w:cs="Arial" w:eastAsia="Arial" w:hAnsi="Arial"/>
                <w:sz w:val="18"/>
                <w:szCs w:val="18"/>
                <w:color w:val="auto"/>
              </w:rPr>
              <w:t>Paul Viera</w:t>
            </w:r>
          </w:p>
        </w:tc>
        <w:tc>
          <w:tcPr>
            <w:tcW w:w="1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0" w:type="dxa"/>
            <w:vAlign w:val="bottom"/>
          </w:tcPr>
          <w:p>
            <w:pPr>
              <w:spacing w:after="0"/>
              <w:rPr>
                <w:sz w:val="20"/>
                <w:szCs w:val="20"/>
                <w:color w:val="auto"/>
              </w:rPr>
            </w:pPr>
            <w:r>
              <w:rPr>
                <w:rFonts w:ascii="Arial" w:cs="Arial" w:eastAsia="Arial" w:hAnsi="Arial"/>
                <w:sz w:val="18"/>
                <w:szCs w:val="18"/>
                <w:color w:val="auto"/>
              </w:rPr>
              <w:t>1h.</w:t>
            </w:r>
          </w:p>
        </w:tc>
        <w:tc>
          <w:tcPr>
            <w:tcW w:w="2940" w:type="dxa"/>
            <w:vAlign w:val="bottom"/>
          </w:tcPr>
          <w:p>
            <w:pPr>
              <w:ind w:left="160"/>
              <w:spacing w:after="0"/>
              <w:rPr>
                <w:sz w:val="20"/>
                <w:szCs w:val="20"/>
                <w:color w:val="auto"/>
              </w:rPr>
            </w:pPr>
            <w:r>
              <w:rPr>
                <w:rFonts w:ascii="Arial" w:cs="Arial" w:eastAsia="Arial" w:hAnsi="Arial"/>
                <w:sz w:val="18"/>
                <w:szCs w:val="18"/>
                <w:color w:val="auto"/>
              </w:rPr>
              <w:t>Roland Hernandez</w:t>
            </w:r>
          </w:p>
        </w:tc>
        <w:tc>
          <w:tcPr>
            <w:tcW w:w="1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610235</wp:posOffset>
            </wp:positionV>
            <wp:extent cx="111125" cy="608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608330"/>
                    </a:xfrm>
                    <a:prstGeom prst="rect">
                      <a:avLst/>
                    </a:prstGeom>
                    <a:noFill/>
                  </pic:spPr>
                </pic:pic>
              </a:graphicData>
            </a:graphic>
          </wp:anchor>
        </w:drawing>
      </w:r>
    </w:p>
    <w:p>
      <w:pPr>
        <w:sectPr>
          <w:pgSz w:w="11900" w:h="16838" w:orient="portrait"/>
          <w:cols w:equalWidth="0" w:num="1">
            <w:col w:w="9559"/>
          </w:cols>
          <w:pgMar w:left="900" w:top="287"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-108585</wp:posOffset>
            </wp:positionV>
            <wp:extent cx="244284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42845" cy="15430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791210</wp:posOffset>
            </wp:positionV>
            <wp:extent cx="128270" cy="600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270" cy="60007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2020-07-30T18:32:11Z</dcterms:created>
  <dcterms:modified xsi:type="dcterms:W3CDTF">2020-07-30T18:32:11Z</dcterms:modified>
</cp:coreProperties>
</file>