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3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right="555"/>
        <w:spacing w:after="0" w:line="275" w:lineRule="auto"/>
        <w:rPr>
          <w:rFonts w:ascii="Arial" w:cs="Arial" w:eastAsia="Arial" w:hAnsi="Arial"/>
          <w:sz w:val="20"/>
          <w:szCs w:val="20"/>
          <w:color w:val="0000EE"/>
        </w:rPr>
      </w:pPr>
      <w:hyperlink r:id="rId13">
        <w:r>
          <w:rPr>
            <w:rFonts w:ascii="Arial" w:cs="Arial" w:eastAsia="Arial" w:hAnsi="Arial"/>
            <w:sz w:val="20"/>
            <w:szCs w:val="20"/>
            <w:u w:val="single" w:color="auto"/>
            <w:color w:val="0000EE"/>
          </w:rPr>
          <w:t>TAKE TWO INTERACTIVE</w:t>
        </w:r>
      </w:hyperlink>
      <w:r>
        <w:rPr>
          <w:rFonts w:ascii="Arial" w:cs="Arial" w:eastAsia="Arial" w:hAnsi="Arial"/>
          <w:sz w:val="20"/>
          <w:szCs w:val="20"/>
          <w:u w:val="single" w:color="auto"/>
          <w:color w:val="0000EE"/>
        </w:rPr>
        <w:t xml:space="preserve"> </w:t>
      </w:r>
      <w:hyperlink r:id="rId13">
        <w:r>
          <w:rPr>
            <w:rFonts w:ascii="Arial" w:cs="Arial" w:eastAsia="Arial" w:hAnsi="Arial"/>
            <w:sz w:val="20"/>
            <w:szCs w:val="20"/>
            <w:u w:val="single" w:color="auto"/>
            <w:color w:val="0000EE"/>
          </w:rPr>
          <w:t>SOFTWARE INC</w:t>
        </w:r>
        <w:r>
          <w:rPr>
            <w:rFonts w:ascii="Arial" w:cs="Arial" w:eastAsia="Arial" w:hAnsi="Arial"/>
            <w:sz w:val="20"/>
            <w:szCs w:val="20"/>
            <w:color w:val="0000EE"/>
          </w:rPr>
          <w:t xml:space="preserve">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TTWO</w:t>
        </w:r>
        <w:r>
          <w:rPr>
            <w:rFonts w:ascii="Arial" w:cs="Arial" w:eastAsia="Arial" w:hAnsi="Arial"/>
            <w:sz w:val="20"/>
            <w:szCs w:val="20"/>
            <w:color w:val="0000EE"/>
          </w:rPr>
          <w:t xml:space="preserve"> </w:t>
        </w:r>
        <w:r>
          <w:rPr>
            <w:rFonts w:ascii="Arial" w:cs="Arial" w:eastAsia="Arial" w:hAnsi="Arial"/>
            <w:sz w:val="20"/>
            <w:szCs w:val="20"/>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296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80" w:type="dxa"/>
            <w:vAlign w:val="bottom"/>
            <w:gridSpan w:val="3"/>
          </w:tcPr>
          <w:p>
            <w:pPr>
              <w:ind w:left="140"/>
              <w:spacing w:after="0"/>
              <w:rPr>
                <w:sz w:val="20"/>
                <w:szCs w:val="20"/>
                <w:color w:val="auto"/>
              </w:rPr>
            </w:pPr>
            <w:r>
              <w:rPr>
                <w:rFonts w:ascii="Arial" w:cs="Arial" w:eastAsia="Arial" w:hAnsi="Arial"/>
                <w:sz w:val="17"/>
                <w:szCs w:val="17"/>
                <w:color w:val="0000FF"/>
              </w:rPr>
              <w:t>Chairman, CEO</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7"/>
            <w:vMerge w:val="continue"/>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7"/>
                <w:szCs w:val="17"/>
                <w:color w:val="0000FF"/>
              </w:rPr>
              <w:t>04/19/2022</w:t>
            </w: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90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jc w:val="center"/>
              <w:ind w:righ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00" w:type="dxa"/>
            <w:vAlign w:val="bottom"/>
            <w:gridSpan w:val="12"/>
            <w:vMerge w:val="continue"/>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80"/>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ind w:left="400"/>
              <w:spacing w:after="0" w:line="101" w:lineRule="exact"/>
              <w:rPr>
                <w:sz w:val="20"/>
                <w:szCs w:val="20"/>
                <w:color w:val="auto"/>
              </w:rPr>
            </w:pPr>
            <w:r>
              <w:rPr>
                <w:rFonts w:ascii="Arial" w:cs="Arial" w:eastAsia="Arial" w:hAnsi="Arial"/>
                <w:sz w:val="11"/>
                <w:szCs w:val="11"/>
                <w:color w:val="auto"/>
              </w:rPr>
              <w:t>Person</w:t>
            </w: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60" w:type="dxa"/>
            <w:vAlign w:val="bottom"/>
            <w:gridSpan w:val="6"/>
          </w:tcPr>
          <w:p>
            <w:pPr>
              <w:ind w:left="260"/>
              <w:spacing w:after="0"/>
              <w:rPr>
                <w:sz w:val="20"/>
                <w:szCs w:val="20"/>
                <w:color w:val="auto"/>
              </w:rPr>
            </w:pPr>
            <w:r>
              <w:rPr>
                <w:rFonts w:ascii="Arial" w:cs="Arial" w:eastAsia="Arial" w:hAnsi="Arial"/>
                <w:sz w:val="12"/>
                <w:szCs w:val="12"/>
                <w:b w:val="1"/>
                <w:bCs w:val="1"/>
                <w:color w:val="auto"/>
              </w:rPr>
              <w:t>6. Ownership   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w w:val="98"/>
              </w:rPr>
              <w:t>Form: Direct</w:t>
            </w:r>
          </w:p>
        </w:tc>
        <w:tc>
          <w:tcPr>
            <w:tcW w:w="1480" w:type="dxa"/>
            <w:vAlign w:val="bottom"/>
            <w:gridSpan w:val="4"/>
          </w:tcPr>
          <w:p>
            <w:pPr>
              <w:ind w:left="18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jc w:val="center"/>
              <w:ind w:left="3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360" w:type="dxa"/>
            <w:vAlign w:val="bottom"/>
          </w:tcPr>
          <w:p>
            <w:pPr>
              <w:spacing w:after="0"/>
              <w:rPr>
                <w:sz w:val="11"/>
                <w:szCs w:val="11"/>
                <w:color w:val="auto"/>
              </w:rPr>
            </w:pPr>
          </w:p>
        </w:tc>
        <w:tc>
          <w:tcPr>
            <w:tcW w:w="14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3"/>
            <w:vMerge w:val="continue"/>
          </w:tcPr>
          <w:p>
            <w:pPr>
              <w:spacing w:after="0"/>
              <w:rPr>
                <w:sz w:val="10"/>
                <w:szCs w:val="10"/>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4"/>
          </w:tcPr>
          <w:p>
            <w:pPr>
              <w:ind w:left="18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line="213" w:lineRule="exact"/>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jc w:val="center"/>
              <w:ind w:left="427"/>
              <w:spacing w:after="0"/>
              <w:rPr>
                <w:sz w:val="20"/>
                <w:szCs w:val="20"/>
                <w:color w:val="auto"/>
              </w:rPr>
            </w:pPr>
            <w:r>
              <w:rPr>
                <w:rFonts w:ascii="Arial" w:cs="Arial" w:eastAsia="Arial" w:hAnsi="Arial"/>
                <w:sz w:val="17"/>
                <w:szCs w:val="17"/>
                <w:color w:val="0000FF"/>
                <w:w w:val="93"/>
              </w:rPr>
              <w:t>04/19/2022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(2)</w:t>
            </w:r>
          </w:p>
        </w:tc>
        <w:tc>
          <w:tcPr>
            <w:tcW w:w="4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Arial" w:cs="Arial" w:eastAsia="Arial" w:hAnsi="Arial"/>
                <w:sz w:val="17"/>
                <w:szCs w:val="17"/>
                <w:color w:val="0000FF"/>
                <w:w w:val="97"/>
              </w:rPr>
              <w:t>65,053</w:t>
            </w:r>
            <w:r>
              <w:rPr>
                <w:rFonts w:ascii="Arial" w:cs="Arial" w:eastAsia="Arial" w:hAnsi="Arial"/>
                <w:sz w:val="22"/>
                <w:szCs w:val="22"/>
                <w:color w:val="008000"/>
                <w:w w:val="97"/>
                <w:vertAlign w:val="superscript"/>
              </w:rPr>
              <w:t>(2)</w:t>
            </w:r>
          </w:p>
        </w:tc>
        <w:tc>
          <w:tcPr>
            <w:tcW w:w="1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right="417"/>
              <w:spacing w:after="0" w:line="213" w:lineRule="exact"/>
              <w:rPr>
                <w:sz w:val="20"/>
                <w:szCs w:val="20"/>
                <w:color w:val="auto"/>
              </w:rPr>
            </w:pPr>
            <w:r>
              <w:rPr>
                <w:rFonts w:ascii="Arial" w:cs="Arial" w:eastAsia="Arial" w:hAnsi="Arial"/>
                <w:sz w:val="17"/>
                <w:szCs w:val="17"/>
                <w:color w:val="0000FF"/>
                <w:w w:val="84"/>
              </w:rPr>
              <w:t>372,014</w:t>
            </w:r>
            <w:r>
              <w:rPr>
                <w:rFonts w:ascii="Arial" w:cs="Arial" w:eastAsia="Arial" w:hAnsi="Arial"/>
                <w:sz w:val="22"/>
                <w:szCs w:val="22"/>
                <w:color w:val="008000"/>
                <w:w w:val="84"/>
                <w:vertAlign w:val="superscript"/>
              </w:rPr>
              <w:t>(2)(3)</w:t>
            </w:r>
          </w:p>
        </w:tc>
        <w:tc>
          <w:tcPr>
            <w:tcW w:w="360" w:type="dxa"/>
            <w:vAlign w:val="bottom"/>
          </w:tcPr>
          <w:p>
            <w:pPr>
              <w:jc w:val="center"/>
              <w:ind w:right="213"/>
              <w:spacing w:after="0"/>
              <w:rPr>
                <w:sz w:val="20"/>
                <w:szCs w:val="20"/>
                <w:color w:val="auto"/>
              </w:rPr>
            </w:pPr>
            <w:r>
              <w:rPr>
                <w:rFonts w:ascii="Arial" w:cs="Arial" w:eastAsia="Arial" w:hAnsi="Arial"/>
                <w:sz w:val="17"/>
                <w:szCs w:val="17"/>
                <w:color w:val="0000FF"/>
              </w:rPr>
              <w:t>I</w:t>
            </w:r>
          </w:p>
        </w:tc>
        <w:tc>
          <w:tcPr>
            <w:tcW w:w="700" w:type="dxa"/>
            <w:vAlign w:val="bottom"/>
          </w:tcPr>
          <w:p>
            <w:pPr>
              <w:ind w:left="180"/>
              <w:spacing w:after="0"/>
              <w:rPr>
                <w:sz w:val="20"/>
                <w:szCs w:val="20"/>
                <w:color w:val="auto"/>
              </w:rPr>
            </w:pPr>
            <w:r>
              <w:rPr>
                <w:rFonts w:ascii="Arial" w:cs="Arial" w:eastAsia="Arial" w:hAnsi="Arial"/>
                <w:sz w:val="17"/>
                <w:szCs w:val="17"/>
                <w:color w:val="0000FF"/>
              </w:rPr>
              <w:t>Media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4"/>
          </w:tcPr>
          <w:p>
            <w:pPr>
              <w:ind w:left="18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jc w:val="center"/>
              <w:ind w:left="427"/>
              <w:spacing w:after="0"/>
              <w:rPr>
                <w:sz w:val="20"/>
                <w:szCs w:val="20"/>
                <w:color w:val="auto"/>
              </w:rPr>
            </w:pPr>
            <w:r>
              <w:rPr>
                <w:rFonts w:ascii="Arial" w:cs="Arial" w:eastAsia="Arial" w:hAnsi="Arial"/>
                <w:sz w:val="17"/>
                <w:szCs w:val="17"/>
                <w:color w:val="0000FF"/>
                <w:w w:val="93"/>
              </w:rPr>
              <w:t>04/19/2022</w:t>
            </w: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3"/>
                <w:szCs w:val="13"/>
                <w:color w:val="0000FF"/>
              </w:rPr>
              <w:t>G</w:t>
            </w:r>
          </w:p>
        </w:tc>
        <w:tc>
          <w:tcPr>
            <w:tcW w:w="42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3"/>
                <w:szCs w:val="13"/>
                <w:color w:val="0000FF"/>
              </w:rPr>
              <w:t>V</w:t>
            </w:r>
          </w:p>
        </w:tc>
        <w:tc>
          <w:tcPr>
            <w:tcW w:w="800" w:type="dxa"/>
            <w:vAlign w:val="bottom"/>
            <w:tcBorders>
              <w:top w:val="single" w:sz="8" w:color="2C2C2C"/>
              <w:bottom w:val="single" w:sz="8" w:color="2C2C2C"/>
            </w:tcBorders>
          </w:tcPr>
          <w:p>
            <w:pPr>
              <w:ind w:left="100"/>
              <w:spacing w:after="0"/>
              <w:rPr>
                <w:sz w:val="20"/>
                <w:szCs w:val="20"/>
                <w:color w:val="auto"/>
              </w:rPr>
            </w:pPr>
            <w:r>
              <w:rPr>
                <w:rFonts w:ascii="Arial" w:cs="Arial" w:eastAsia="Arial" w:hAnsi="Arial"/>
                <w:sz w:val="17"/>
                <w:szCs w:val="17"/>
                <w:color w:val="0000FF"/>
                <w:w w:val="97"/>
              </w:rPr>
              <w:t>40,103</w:t>
            </w:r>
            <w:r>
              <w:rPr>
                <w:rFonts w:ascii="Arial" w:cs="Arial" w:eastAsia="Arial" w:hAnsi="Arial"/>
                <w:sz w:val="22"/>
                <w:szCs w:val="22"/>
                <w:color w:val="008000"/>
                <w:w w:val="97"/>
                <w:vertAlign w:val="superscript"/>
              </w:rPr>
              <w:t>(4)</w:t>
            </w:r>
          </w:p>
        </w:tc>
        <w:tc>
          <w:tcPr>
            <w:tcW w:w="18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gridSpan w:val="2"/>
          </w:tcPr>
          <w:p>
            <w:pPr>
              <w:jc w:val="center"/>
              <w:ind w:left="75"/>
              <w:spacing w:after="0" w:line="320"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(4)</w:t>
            </w:r>
          </w:p>
        </w:tc>
        <w:tc>
          <w:tcPr>
            <w:tcW w:w="980" w:type="dxa"/>
            <w:vAlign w:val="bottom"/>
            <w:tcBorders>
              <w:top w:val="single" w:sz="8" w:color="2C2C2C"/>
              <w:bottom w:val="single" w:sz="8" w:color="2C2C2C"/>
            </w:tcBorders>
            <w:gridSpan w:val="2"/>
          </w:tcPr>
          <w:p>
            <w:pPr>
              <w:jc w:val="center"/>
              <w:ind w:left="257"/>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4"/>
          </w:tcPr>
          <w:p>
            <w:pPr>
              <w:ind w:left="18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jc w:val="center"/>
              <w:ind w:left="427"/>
              <w:spacing w:after="0"/>
              <w:rPr>
                <w:sz w:val="20"/>
                <w:szCs w:val="20"/>
                <w:color w:val="auto"/>
              </w:rPr>
            </w:pPr>
            <w:r>
              <w:rPr>
                <w:rFonts w:ascii="Arial" w:cs="Arial" w:eastAsia="Arial" w:hAnsi="Arial"/>
                <w:sz w:val="17"/>
                <w:szCs w:val="17"/>
                <w:color w:val="0000FF"/>
                <w:w w:val="93"/>
              </w:rPr>
              <w:t>04/19/2022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G</w:t>
            </w:r>
          </w:p>
        </w:tc>
        <w:tc>
          <w:tcPr>
            <w:tcW w:w="420" w:type="dxa"/>
            <w:vAlign w:val="bottom"/>
          </w:tcPr>
          <w:p>
            <w:pPr>
              <w:ind w:left="200"/>
              <w:spacing w:after="0"/>
              <w:rPr>
                <w:sz w:val="20"/>
                <w:szCs w:val="20"/>
                <w:color w:val="auto"/>
              </w:rPr>
            </w:pPr>
            <w:r>
              <w:rPr>
                <w:rFonts w:ascii="Arial" w:cs="Arial" w:eastAsia="Arial" w:hAnsi="Arial"/>
                <w:sz w:val="13"/>
                <w:szCs w:val="13"/>
                <w:color w:val="0000FF"/>
              </w:rPr>
              <w:t>V</w:t>
            </w:r>
          </w:p>
        </w:tc>
        <w:tc>
          <w:tcPr>
            <w:tcW w:w="800" w:type="dxa"/>
            <w:vAlign w:val="bottom"/>
          </w:tcPr>
          <w:p>
            <w:pPr>
              <w:ind w:left="100"/>
              <w:spacing w:after="0" w:line="213" w:lineRule="exact"/>
              <w:rPr>
                <w:sz w:val="20"/>
                <w:szCs w:val="20"/>
                <w:color w:val="auto"/>
              </w:rPr>
            </w:pPr>
            <w:r>
              <w:rPr>
                <w:rFonts w:ascii="Arial" w:cs="Arial" w:eastAsia="Arial" w:hAnsi="Arial"/>
                <w:sz w:val="17"/>
                <w:szCs w:val="17"/>
                <w:color w:val="0000FF"/>
                <w:w w:val="97"/>
              </w:rPr>
              <w:t>40,103</w:t>
            </w:r>
            <w:r>
              <w:rPr>
                <w:rFonts w:ascii="Arial" w:cs="Arial" w:eastAsia="Arial" w:hAnsi="Arial"/>
                <w:sz w:val="22"/>
                <w:szCs w:val="22"/>
                <w:color w:val="008000"/>
                <w:w w:val="97"/>
                <w:vertAlign w:val="superscript"/>
              </w:rPr>
              <w:t>(4)</w:t>
            </w:r>
          </w:p>
        </w:tc>
        <w:tc>
          <w:tcPr>
            <w:tcW w:w="1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18"/>
                <w:szCs w:val="18"/>
                <w:color w:val="auto"/>
              </w:rPr>
            </w:pPr>
          </w:p>
        </w:tc>
        <w:tc>
          <w:tcPr>
            <w:tcW w:w="560" w:type="dxa"/>
            <w:vAlign w:val="bottom"/>
          </w:tcPr>
          <w:p>
            <w:pPr>
              <w:jc w:val="center"/>
              <w:spacing w:after="0" w:line="213"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w:t>
            </w:r>
            <w:r>
              <w:rPr>
                <w:rFonts w:ascii="Arial" w:cs="Arial" w:eastAsia="Arial" w:hAnsi="Arial"/>
                <w:sz w:val="10"/>
                <w:szCs w:val="10"/>
                <w:color w:val="008000"/>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95"/>
              <w:spacing w:after="0" w:line="213" w:lineRule="exact"/>
              <w:rPr>
                <w:sz w:val="20"/>
                <w:szCs w:val="20"/>
                <w:color w:val="auto"/>
              </w:rPr>
            </w:pPr>
            <w:r>
              <w:rPr>
                <w:rFonts w:ascii="Arial" w:cs="Arial" w:eastAsia="Arial" w:hAnsi="Arial"/>
                <w:sz w:val="17"/>
                <w:szCs w:val="17"/>
                <w:color w:val="0000FF"/>
                <w:w w:val="85"/>
              </w:rPr>
              <w:t>110,052</w:t>
            </w:r>
            <w:r>
              <w:rPr>
                <w:rFonts w:ascii="Arial" w:cs="Arial" w:eastAsia="Arial" w:hAnsi="Arial"/>
                <w:sz w:val="22"/>
                <w:szCs w:val="22"/>
                <w:color w:val="008000"/>
                <w:w w:val="85"/>
                <w:vertAlign w:val="superscript"/>
              </w:rPr>
              <w:t>(5)</w:t>
            </w:r>
          </w:p>
        </w:tc>
        <w:tc>
          <w:tcPr>
            <w:tcW w:w="620" w:type="dxa"/>
            <w:vAlign w:val="bottom"/>
          </w:tcPr>
          <w:p>
            <w:pPr>
              <w:spacing w:after="0"/>
              <w:rPr>
                <w:sz w:val="18"/>
                <w:szCs w:val="18"/>
                <w:color w:val="auto"/>
              </w:rPr>
            </w:pPr>
          </w:p>
        </w:tc>
        <w:tc>
          <w:tcPr>
            <w:tcW w:w="360" w:type="dxa"/>
            <w:vAlign w:val="bottom"/>
          </w:tcPr>
          <w:p>
            <w:pPr>
              <w:jc w:val="center"/>
              <w:ind w:right="213"/>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80"/>
              <w:spacing w:after="0"/>
              <w:rPr>
                <w:sz w:val="20"/>
                <w:szCs w:val="20"/>
                <w:color w:val="auto"/>
              </w:rPr>
            </w:pPr>
            <w:r>
              <w:rPr>
                <w:rFonts w:ascii="Arial" w:cs="Arial" w:eastAsia="Arial" w:hAnsi="Arial"/>
                <w:sz w:val="17"/>
                <w:szCs w:val="17"/>
                <w:color w:val="0000FF"/>
              </w:rPr>
              <w:t>Belzberg</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Living Trust</w:t>
            </w:r>
            <w:r>
              <w:rPr>
                <w:rFonts w:ascii="Arial" w:cs="Arial" w:eastAsia="Arial" w:hAnsi="Arial"/>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4"/>
          </w:tcPr>
          <w:p>
            <w:pPr>
              <w:ind w:left="180"/>
              <w:spacing w:after="0"/>
              <w:rPr>
                <w:sz w:val="20"/>
                <w:szCs w:val="20"/>
                <w:color w:val="auto"/>
              </w:rPr>
            </w:pPr>
            <w:r>
              <w:rPr>
                <w:rFonts w:ascii="Arial" w:cs="Arial" w:eastAsia="Arial" w:hAnsi="Arial"/>
                <w:sz w:val="17"/>
                <w:szCs w:val="17"/>
                <w:color w:val="0000FF"/>
              </w:rPr>
              <w:t>By Wendy 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95"/>
              <w:spacing w:after="0" w:line="213" w:lineRule="exact"/>
              <w:rPr>
                <w:sz w:val="20"/>
                <w:szCs w:val="20"/>
                <w:color w:val="auto"/>
              </w:rPr>
            </w:pPr>
            <w:r>
              <w:rPr>
                <w:rFonts w:ascii="Arial" w:cs="Arial" w:eastAsia="Arial" w:hAnsi="Arial"/>
                <w:sz w:val="17"/>
                <w:szCs w:val="17"/>
                <w:color w:val="0000FF"/>
                <w:w w:val="85"/>
              </w:rPr>
              <w:t>71,551</w:t>
            </w:r>
            <w:r>
              <w:rPr>
                <w:rFonts w:ascii="Arial" w:cs="Arial" w:eastAsia="Arial" w:hAnsi="Arial"/>
                <w:sz w:val="22"/>
                <w:szCs w:val="22"/>
                <w:color w:val="008000"/>
                <w:w w:val="85"/>
                <w:vertAlign w:val="superscript"/>
              </w:rPr>
              <w:t>(6)</w:t>
            </w:r>
          </w:p>
        </w:tc>
        <w:tc>
          <w:tcPr>
            <w:tcW w:w="620" w:type="dxa"/>
            <w:vAlign w:val="bottom"/>
          </w:tcPr>
          <w:p>
            <w:pPr>
              <w:spacing w:after="0"/>
              <w:rPr>
                <w:sz w:val="18"/>
                <w:szCs w:val="18"/>
                <w:color w:val="auto"/>
              </w:rPr>
            </w:pPr>
          </w:p>
        </w:tc>
        <w:tc>
          <w:tcPr>
            <w:tcW w:w="360" w:type="dxa"/>
            <w:vAlign w:val="bottom"/>
          </w:tcPr>
          <w:p>
            <w:pPr>
              <w:jc w:val="center"/>
              <w:ind w:right="213"/>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80"/>
              <w:spacing w:after="0"/>
              <w:rPr>
                <w:sz w:val="20"/>
                <w:szCs w:val="20"/>
                <w:color w:val="auto"/>
              </w:rPr>
            </w:pPr>
            <w:r>
              <w:rPr>
                <w:rFonts w:ascii="Arial" w:cs="Arial" w:eastAsia="Arial" w:hAnsi="Arial"/>
                <w:sz w:val="17"/>
                <w:szCs w:val="17"/>
                <w:color w:val="0000FF"/>
              </w:rPr>
              <w:t>Belzberg 2012</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0000FF"/>
              </w:rPr>
              <w:t>Family 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2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EXPLANATORY NOTE: The Reporting Person filed a Form 4 on April 15, 2022 to report the annual grant and vesting of restricted units to ZelnickMedia Corporation ("ZelnickMedia") under the terms of the Management Agreement, dated as of November 17, 2017, and effective January 1, 2018 (the "Management Agreement"), between the issuer and ZelnickMedia. This Form 4 reports the distribution by ZelnickMedia to certain of its employees of 65,053 shares of Common Stock received by ZelnickMedia upon such vesting in accordance with the customary historical practices of ZelnickMedia. Such distributed Common Stock remains subject to the voting obligations and transfer restrictions of the Voting Agreement that ZelnickMedia entered into with the issuer and Zynga Inc. on January 9, 2022 in connection with the issuer's pending merger transaction with Zynga Inc.</w:t>
      </w:r>
    </w:p>
    <w:p>
      <w:pPr>
        <w:spacing w:after="0" w:line="29"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previously reported, on April 13, 2022, 217,426 restricted units previously granted to ZelnickMedia vested. On April 19, 2022, ZelnickMedia distributed a total of 65,053 shares received upon such vesting to certain of its employees, including 40,103 shares to Mr. Zelnick, which shares Mr. Zelnick had previously indirectly beneficially owned through ZelnickMedia.</w:t>
      </w:r>
    </w:p>
    <w:p>
      <w:pPr>
        <w:spacing w:after="0" w:line="15"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372,014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Zelnick received 40,103 shares pursuant to a distribution, as further described in Footnote (2) above, which receipt was exempt from Section 16 as such shares were previously held by Mr. Zelnick indirectly through ZelnickMedia. Mr. Zelnick then contributed such securities to the Zelnick/Belzberg Living Trust in exchange for no consideration.</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110,052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15" w:lineRule="exact"/>
        <w:rPr>
          <w:rFonts w:ascii="Arial" w:cs="Arial" w:eastAsia="Arial" w:hAnsi="Arial"/>
          <w:sz w:val="13"/>
          <w:szCs w:val="13"/>
          <w:color w:val="008000"/>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71,551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Strauss Zelnick</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04/21/2022</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3489"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2022-04-21T15:19:19Z</dcterms:created>
  <dcterms:modified xsi:type="dcterms:W3CDTF">2022-04-21T15:19:19Z</dcterms:modified>
</cp:coreProperties>
</file>