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Arial" w:cs="Arial" w:eastAsia="Arial" w:hAnsi="Arial"/>
                <w:sz w:val="21"/>
                <w:szCs w:val="21"/>
                <w:u w:val="single" w:color="auto"/>
                <w:color w:val="0000EE"/>
                <w:w w:val="92"/>
              </w:rPr>
            </w:pPr>
            <w:hyperlink r:id="rId13">
              <w:r>
                <w:rPr>
                  <w:rFonts w:ascii="Arial" w:cs="Arial" w:eastAsia="Arial" w:hAnsi="Arial"/>
                  <w:sz w:val="21"/>
                  <w:szCs w:val="21"/>
                  <w:u w:val="single" w:color="auto"/>
                  <w:color w:val="0000EE"/>
                  <w:w w:val="92"/>
                </w:rPr>
                <w:t>Srinivasan LaVerne Evans</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8"/>
          </w:tcPr>
          <w:p>
            <w:pPr>
              <w:spacing w:after="0" w:line="107" w:lineRule="exact"/>
              <w:rPr>
                <w:rFonts w:ascii="Arial" w:cs="Arial" w:eastAsia="Arial" w:hAnsi="Arial"/>
                <w:sz w:val="12"/>
                <w:szCs w:val="12"/>
                <w:color w:val="0000EE"/>
              </w:rPr>
            </w:pPr>
            <w:hyperlink r:id="rId14">
              <w:r>
                <w:rPr>
                  <w:rFonts w:ascii="Arial" w:cs="Arial" w:eastAsia="Arial" w:hAnsi="Arial"/>
                  <w:sz w:val="12"/>
                  <w:szCs w:val="12"/>
                  <w:color w:val="0000EE"/>
                </w:rPr>
                <w:t>TAKE TWO INTERACTIVE</w:t>
              </w:r>
            </w:hyperlink>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4"/>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4"/>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5"/>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continue"/>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8"/>
            <w:vMerge w:val="restart"/>
          </w:tcPr>
          <w:p>
            <w:pPr>
              <w:spacing w:after="0" w:line="220" w:lineRule="exact"/>
              <w:rPr>
                <w:rFonts w:ascii="Arial" w:cs="Arial" w:eastAsia="Arial" w:hAnsi="Arial"/>
                <w:sz w:val="21"/>
                <w:szCs w:val="21"/>
                <w:color w:val="0000EE"/>
              </w:rPr>
            </w:pPr>
            <w:hyperlink r:id="rId14">
              <w:r>
                <w:rPr>
                  <w:rFonts w:ascii="Arial" w:cs="Arial" w:eastAsia="Arial" w:hAnsi="Arial"/>
                  <w:sz w:val="21"/>
                  <w:szCs w:val="21"/>
                  <w:color w:val="0000EE"/>
                </w:rPr>
                <w:t xml:space="preserve">SOFTWARE INC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TTWO</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76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960" w:type="dxa"/>
            <w:vAlign w:val="bottom"/>
            <w:gridSpan w:val="8"/>
            <w:vMerge w:val="continue"/>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vMerge w:val="continue"/>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76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960" w:type="dxa"/>
            <w:vAlign w:val="bottom"/>
            <w:gridSpan w:val="8"/>
            <w:vMerge w:val="continue"/>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5"/>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9A9A9A"/>
            </w:tcBorders>
          </w:tcPr>
          <w:p>
            <w:pPr>
              <w:spacing w:after="0" w:line="20" w:lineRule="exact"/>
              <w:rPr>
                <w:sz w:val="1"/>
                <w:szCs w:val="1"/>
                <w:color w:val="auto"/>
              </w:rPr>
            </w:pPr>
          </w:p>
        </w:tc>
        <w:tc>
          <w:tcPr>
            <w:tcW w:w="560" w:type="dxa"/>
            <w:vAlign w:val="bottom"/>
            <w:tcBorders>
              <w:bottom w:val="single" w:sz="8" w:color="9A9A9A"/>
            </w:tcBorders>
          </w:tcPr>
          <w:p>
            <w:pPr>
              <w:spacing w:after="0" w:line="20" w:lineRule="exact"/>
              <w:rPr>
                <w:sz w:val="1"/>
                <w:szCs w:val="1"/>
                <w:color w:val="auto"/>
              </w:rPr>
            </w:pPr>
          </w:p>
        </w:tc>
        <w:tc>
          <w:tcPr>
            <w:tcW w:w="300" w:type="dxa"/>
            <w:vAlign w:val="bottom"/>
            <w:tcBorders>
              <w:bottom w:val="single" w:sz="8" w:color="9A9A9A"/>
            </w:tcBorders>
          </w:tcPr>
          <w:p>
            <w:pPr>
              <w:spacing w:after="0" w:line="20" w:lineRule="exact"/>
              <w:rPr>
                <w:sz w:val="1"/>
                <w:szCs w:val="1"/>
                <w:color w:val="auto"/>
              </w:rPr>
            </w:pPr>
          </w:p>
        </w:tc>
        <w:tc>
          <w:tcPr>
            <w:tcW w:w="820" w:type="dxa"/>
            <w:vAlign w:val="bottom"/>
            <w:tcBorders>
              <w:bottom w:val="single" w:sz="8" w:color="9A9A9A"/>
            </w:tcBorders>
          </w:tcPr>
          <w:p>
            <w:pPr>
              <w:spacing w:after="0" w:line="20" w:lineRule="exact"/>
              <w:rPr>
                <w:sz w:val="1"/>
                <w:szCs w:val="1"/>
                <w:color w:val="auto"/>
              </w:rPr>
            </w:pPr>
          </w:p>
        </w:tc>
        <w:tc>
          <w:tcPr>
            <w:tcW w:w="1340" w:type="dxa"/>
            <w:vAlign w:val="bottom"/>
            <w:tcBorders>
              <w:bottom w:val="single" w:sz="8" w:color="9A9A9A"/>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line="141" w:lineRule="exact"/>
              <w:rPr>
                <w:sz w:val="20"/>
                <w:szCs w:val="20"/>
                <w:color w:val="auto"/>
              </w:rPr>
            </w:pPr>
            <w:r>
              <w:rPr>
                <w:rFonts w:ascii="Arial" w:cs="Arial" w:eastAsia="Arial" w:hAnsi="Arial"/>
                <w:sz w:val="13"/>
                <w:szCs w:val="13"/>
                <w:color w:val="auto"/>
              </w:rPr>
              <w:t>(Last)</w:t>
            </w:r>
          </w:p>
        </w:tc>
        <w:tc>
          <w:tcPr>
            <w:tcW w:w="560" w:type="dxa"/>
            <w:vAlign w:val="bottom"/>
          </w:tcPr>
          <w:p>
            <w:pPr>
              <w:spacing w:after="0"/>
              <w:rPr>
                <w:sz w:val="14"/>
                <w:szCs w:val="14"/>
                <w:color w:val="auto"/>
              </w:rPr>
            </w:pPr>
          </w:p>
        </w:tc>
        <w:tc>
          <w:tcPr>
            <w:tcW w:w="1120" w:type="dxa"/>
            <w:vAlign w:val="bottom"/>
            <w:gridSpan w:val="2"/>
          </w:tcPr>
          <w:p>
            <w:pPr>
              <w:ind w:left="40"/>
              <w:spacing w:after="0" w:line="141" w:lineRule="exact"/>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line="141" w:lineRule="exact"/>
              <w:rPr>
                <w:sz w:val="20"/>
                <w:szCs w:val="20"/>
                <w:color w:val="auto"/>
              </w:rPr>
            </w:pPr>
            <w:r>
              <w:rPr>
                <w:rFonts w:ascii="Arial" w:cs="Arial" w:eastAsia="Arial" w:hAnsi="Arial"/>
                <w:sz w:val="13"/>
                <w:szCs w:val="13"/>
                <w:color w:val="auto"/>
              </w:rPr>
              <w:t>(Middle)</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ind w:left="140"/>
              <w:spacing w:after="0" w:line="141" w:lineRule="exact"/>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line="141"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40" w:type="dxa"/>
            <w:vAlign w:val="bottom"/>
            <w:gridSpan w:val="5"/>
          </w:tcPr>
          <w:p>
            <w:pPr>
              <w:spacing w:after="0"/>
              <w:rPr>
                <w:sz w:val="20"/>
                <w:szCs w:val="20"/>
                <w:color w:val="auto"/>
              </w:rPr>
            </w:pPr>
            <w:r>
              <w:rPr>
                <w:rFonts w:ascii="Arial" w:cs="Arial" w:eastAsia="Arial" w:hAnsi="Arial"/>
                <w:sz w:val="17"/>
                <w:szCs w:val="17"/>
                <w:color w:val="0000FF"/>
              </w:rPr>
              <w:t>C/O TAKE-TWO INTERACTIVE SOFTWARE,</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960" w:type="dxa"/>
            <w:vAlign w:val="bottom"/>
            <w:gridSpan w:val="8"/>
          </w:tcPr>
          <w:p>
            <w:pPr>
              <w:spacing w:after="0"/>
              <w:rPr>
                <w:sz w:val="20"/>
                <w:szCs w:val="20"/>
                <w:color w:val="auto"/>
              </w:rPr>
            </w:pPr>
            <w:r>
              <w:rPr>
                <w:rFonts w:ascii="Arial" w:cs="Arial" w:eastAsia="Arial" w:hAnsi="Arial"/>
                <w:sz w:val="13"/>
                <w:szCs w:val="13"/>
                <w:color w:val="auto"/>
              </w:rPr>
              <w:t>3. Date of Earliest Transaction (Month/Day/Year)</w:t>
            </w: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INC.</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20" w:type="dxa"/>
            <w:vAlign w:val="bottom"/>
            <w:gridSpan w:val="6"/>
          </w:tcPr>
          <w:p>
            <w:pPr>
              <w:ind w:left="160"/>
              <w:spacing w:after="0"/>
              <w:rPr>
                <w:sz w:val="20"/>
                <w:szCs w:val="20"/>
                <w:color w:val="auto"/>
              </w:rPr>
            </w:pPr>
            <w:r>
              <w:rPr>
                <w:rFonts w:ascii="Arial" w:cs="Arial" w:eastAsia="Arial" w:hAnsi="Arial"/>
                <w:sz w:val="17"/>
                <w:szCs w:val="17"/>
                <w:color w:val="0000FF"/>
              </w:rPr>
              <w:t>11/13/2020</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sz w:val="20"/>
                <w:szCs w:val="20"/>
                <w:color w:val="auto"/>
              </w:rPr>
            </w:pPr>
            <w:r>
              <w:rPr>
                <w:rFonts w:ascii="Arial" w:cs="Arial" w:eastAsia="Arial" w:hAnsi="Arial"/>
                <w:sz w:val="17"/>
                <w:szCs w:val="17"/>
                <w:color w:val="0000FF"/>
              </w:rPr>
              <w:t>110 WEST 44TH STREET</w:t>
            </w: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4"/>
            <w:vMerge w:val="continue"/>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2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2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20" w:type="dxa"/>
            <w:vAlign w:val="bottom"/>
            <w:gridSpan w:val="9"/>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20" w:type="dxa"/>
            <w:vAlign w:val="bottom"/>
            <w:gridSpan w:val="10"/>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vMerge w:val="restart"/>
          </w:tcPr>
          <w:p>
            <w:pPr>
              <w:spacing w:after="0"/>
              <w:rPr>
                <w:sz w:val="8"/>
                <w:szCs w:val="8"/>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560" w:type="dxa"/>
            <w:vAlign w:val="bottom"/>
            <w:tcBorders>
              <w:top w:val="single" w:sz="8" w:color="EEEEEE"/>
            </w:tcBorders>
          </w:tcPr>
          <w:p>
            <w:pPr>
              <w:spacing w:after="0"/>
              <w:rPr>
                <w:sz w:val="3"/>
                <w:szCs w:val="3"/>
                <w:color w:val="auto"/>
              </w:rPr>
            </w:pPr>
          </w:p>
        </w:tc>
        <w:tc>
          <w:tcPr>
            <w:tcW w:w="300" w:type="dxa"/>
            <w:vAlign w:val="bottom"/>
            <w:tcBorders>
              <w:top w:val="single" w:sz="8" w:color="EEEEEE"/>
            </w:tcBorders>
          </w:tcPr>
          <w:p>
            <w:pPr>
              <w:spacing w:after="0"/>
              <w:rPr>
                <w:sz w:val="3"/>
                <w:szCs w:val="3"/>
                <w:color w:val="auto"/>
              </w:rPr>
            </w:pPr>
          </w:p>
        </w:tc>
        <w:tc>
          <w:tcPr>
            <w:tcW w:w="820" w:type="dxa"/>
            <w:vAlign w:val="bottom"/>
            <w:tcBorders>
              <w:top w:val="single" w:sz="8" w:color="EEEEEE"/>
            </w:tcBorders>
          </w:tcPr>
          <w:p>
            <w:pPr>
              <w:spacing w:after="0"/>
              <w:rPr>
                <w:sz w:val="3"/>
                <w:szCs w:val="3"/>
                <w:color w:val="auto"/>
              </w:rPr>
            </w:pPr>
          </w:p>
        </w:tc>
        <w:tc>
          <w:tcPr>
            <w:tcW w:w="1340" w:type="dxa"/>
            <w:vAlign w:val="bottom"/>
            <w:tcBorders>
              <w:top w:val="single" w:sz="8" w:color="EEEEEE"/>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460" w:type="dxa"/>
            <w:vAlign w:val="bottom"/>
            <w:gridSpan w:val="3"/>
            <w:vMerge w:val="continue"/>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40" w:type="dxa"/>
            <w:vAlign w:val="bottom"/>
            <w:gridSpan w:val="8"/>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300" w:type="dxa"/>
            <w:vAlign w:val="bottom"/>
          </w:tcPr>
          <w:p>
            <w:pPr>
              <w:ind w:left="40"/>
              <w:spacing w:after="0"/>
              <w:rPr>
                <w:sz w:val="20"/>
                <w:szCs w:val="20"/>
                <w:color w:val="auto"/>
              </w:rPr>
            </w:pPr>
            <w:r>
              <w:rPr>
                <w:rFonts w:ascii="Arial" w:cs="Arial" w:eastAsia="Arial" w:hAnsi="Arial"/>
                <w:sz w:val="17"/>
                <w:szCs w:val="17"/>
                <w:color w:val="0000FF"/>
              </w:rPr>
              <w:t>NY</w:t>
            </w:r>
          </w:p>
        </w:tc>
        <w:tc>
          <w:tcPr>
            <w:tcW w:w="820" w:type="dxa"/>
            <w:vAlign w:val="bottom"/>
          </w:tcPr>
          <w:p>
            <w:pPr>
              <w:spacing w:after="0"/>
              <w:rPr>
                <w:sz w:val="18"/>
                <w:szCs w:val="18"/>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10036</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00" w:type="dxa"/>
            <w:vAlign w:val="bottom"/>
            <w:tcBorders>
              <w:bottom w:val="single" w:sz="8" w:color="2C2C2C"/>
            </w:tcBorders>
            <w:gridSpan w:val="4"/>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100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4"/>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20" w:type="dxa"/>
            <w:vAlign w:val="bottom"/>
            <w:tcBorders>
              <w:top w:val="single" w:sz="8" w:color="2C2C2C"/>
            </w:tcBorders>
            <w:gridSpan w:val="21"/>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5"/>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3"/>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7"/>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10"/>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4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2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0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5"/>
          </w:tcPr>
          <w:p>
            <w:pPr>
              <w:ind w:left="920"/>
              <w:spacing w:after="0"/>
              <w:rPr>
                <w:sz w:val="20"/>
                <w:szCs w:val="20"/>
                <w:color w:val="auto"/>
              </w:rPr>
            </w:pPr>
            <w:r>
              <w:rPr>
                <w:rFonts w:ascii="Arial" w:cs="Arial" w:eastAsia="Arial" w:hAnsi="Arial"/>
                <w:sz w:val="17"/>
                <w:szCs w:val="17"/>
                <w:color w:val="0000FF"/>
              </w:rPr>
              <w:t>11/13/2020</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40"/>
              <w:spacing w:after="0"/>
              <w:rPr>
                <w:sz w:val="20"/>
                <w:szCs w:val="20"/>
                <w:color w:val="auto"/>
              </w:rPr>
            </w:pPr>
            <w:r>
              <w:rPr>
                <w:rFonts w:ascii="Arial" w:cs="Arial" w:eastAsia="Arial" w:hAnsi="Arial"/>
                <w:sz w:val="13"/>
                <w:szCs w:val="13"/>
                <w:color w:val="0000FF"/>
              </w:rPr>
              <w:t>A</w:t>
            </w:r>
          </w:p>
        </w:tc>
        <w:tc>
          <w:tcPr>
            <w:tcW w:w="700" w:type="dxa"/>
            <w:vAlign w:val="bottom"/>
            <w:tcBorders>
              <w:bottom w:val="single" w:sz="8" w:color="2C2C2C"/>
            </w:tcBorders>
            <w:gridSpan w:val="2"/>
          </w:tcPr>
          <w:p>
            <w:pPr>
              <w:ind w:left="240"/>
              <w:spacing w:after="0"/>
              <w:rPr>
                <w:sz w:val="20"/>
                <w:szCs w:val="20"/>
                <w:color w:val="auto"/>
              </w:rPr>
            </w:pPr>
            <w:r>
              <w:rPr>
                <w:rFonts w:ascii="Arial" w:cs="Arial" w:eastAsia="Arial" w:hAnsi="Arial"/>
                <w:sz w:val="17"/>
                <w:szCs w:val="17"/>
                <w:color w:val="0000FF"/>
                <w:w w:val="94"/>
              </w:rPr>
              <w:t>333</w:t>
            </w:r>
            <w:r>
              <w:rPr>
                <w:rFonts w:ascii="Arial" w:cs="Arial" w:eastAsia="Arial" w:hAnsi="Arial"/>
                <w:sz w:val="22"/>
                <w:szCs w:val="22"/>
                <w:color w:val="008000"/>
                <w:w w:val="94"/>
                <w:vertAlign w:val="superscript"/>
              </w:rPr>
              <w:t>(1)</w:t>
            </w:r>
          </w:p>
        </w:tc>
        <w:tc>
          <w:tcPr>
            <w:tcW w:w="46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80"/>
              <w:spacing w:after="0"/>
              <w:rPr>
                <w:sz w:val="20"/>
                <w:szCs w:val="20"/>
                <w:color w:val="auto"/>
              </w:rPr>
            </w:pPr>
            <w:r>
              <w:rPr>
                <w:rFonts w:ascii="Arial" w:cs="Arial" w:eastAsia="Arial" w:hAnsi="Arial"/>
                <w:sz w:val="17"/>
                <w:szCs w:val="17"/>
                <w:color w:val="0000FF"/>
              </w:rPr>
              <w:t>7,074</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2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7"/>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-2874010</wp:posOffset>
            </wp:positionV>
            <wp:extent cx="7031355" cy="29190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2919095"/>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500" w:firstLine="7"/>
        <w:spacing w:after="0" w:line="245"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the acquisition of shares pursuant to a grant of restricted common stock pursuant to the Director compensation program (the "Program") and the Issuer's 2017 Stock Incentive Plan (the "Stock Plan"). The shares of restricted stock vest on the first anniversary of the Pricing Date (as defined below). As provided by the terms of the Program and the Stock Plan, (i) the grant date was November 13, 2020; and (ii) the number of shares were determined based on the dollar value of the award and the average of the closing prices of the common stock on the ten trading days prior to November 13, 2020 (the "Pricing Date"), the fifth trading day following the filing of the Issuer's Quarterly Report on Form 10-Q.</w:t>
      </w:r>
    </w:p>
    <w:p>
      <w:pPr>
        <w:spacing w:after="0" w:line="56"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Aaron Diamond,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2954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95400" cy="8255"/>
                    </a:xfrm>
                    <a:prstGeom prst="rect">
                      <a:avLst/>
                    </a:prstGeom>
                    <a:noFill/>
                  </pic:spPr>
                </pic:pic>
              </a:graphicData>
            </a:graphic>
          </wp:anchor>
        </w:drawing>
      </w:r>
    </w:p>
    <w:p>
      <w:pPr>
        <w:spacing w:after="0" w:line="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in-fact for Ms. LaVerne E.</w:t>
      </w:r>
      <w:r>
        <w:rPr>
          <w:sz w:val="20"/>
          <w:szCs w:val="20"/>
          <w:color w:val="auto"/>
        </w:rPr>
        <w:tab/>
      </w:r>
      <w:r>
        <w:rPr>
          <w:rFonts w:ascii="Arial" w:cs="Arial" w:eastAsia="Arial" w:hAnsi="Arial"/>
          <w:sz w:val="15"/>
          <w:szCs w:val="15"/>
          <w:color w:val="0000FF"/>
        </w:rPr>
        <w:t>11/17/2020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9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Srinivasan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641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64185" cy="8255"/>
                    </a:xfrm>
                    <a:prstGeom prst="rect">
                      <a:avLst/>
                    </a:prstGeom>
                    <a:noFill/>
                  </pic:spPr>
                </pic:pic>
              </a:graphicData>
            </a:graphic>
          </wp:anchor>
        </w:drawing>
      </w:r>
    </w:p>
    <w:p>
      <w:pPr>
        <w:spacing w:after="0" w:line="5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01630" TargetMode="External"/><Relationship Id="rId14" Type="http://schemas.openxmlformats.org/officeDocument/2006/relationships/hyperlink" Target="http://www.sec.gov/cgi-bin/browse-edgar?action=getcompany&amp;CIK=0000946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2020-11-17T16:04:57Z</dcterms:created>
  <dcterms:modified xsi:type="dcterms:W3CDTF">2020-11-17T16:04:57Z</dcterms:modified>
</cp:coreProperties>
</file>