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ZELNICK STRAUSS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20"/>
        <w:spacing w:after="0" w:line="292" w:lineRule="auto"/>
        <w:rPr>
          <w:sz w:val="20"/>
          <w:szCs w:val="20"/>
          <w:color w:val="auto"/>
        </w:rPr>
      </w:pPr>
      <w:r>
        <w:rPr>
          <w:rFonts w:ascii="Arial" w:cs="Arial" w:eastAsia="Arial" w:hAnsi="Arial"/>
          <w:sz w:val="17"/>
          <w:szCs w:val="17"/>
          <w:color w:val="0000FF"/>
        </w:rPr>
        <w:t>C/O TAKE-TWO INTERACTIVE SOFTWARE,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110 WEST 44TH STREET</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TAKE TWO INTERACTIVE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540" w:type="dxa"/>
            <w:vAlign w:val="bottom"/>
            <w:tcBorders>
              <w:top w:val="single" w:sz="8" w:color="0000EE"/>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3740" w:type="dxa"/>
            <w:vAlign w:val="bottom"/>
            <w:gridSpan w:val="3"/>
            <w:vMerge w:val="continue"/>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gridSpan w:val="2"/>
          </w:tcPr>
          <w:p>
            <w:pPr>
              <w:ind w:left="80"/>
              <w:spacing w:after="0"/>
              <w:rPr>
                <w:sz w:val="20"/>
                <w:szCs w:val="20"/>
                <w:color w:val="auto"/>
              </w:rPr>
            </w:pPr>
            <w:r>
              <w:rPr>
                <w:rFonts w:ascii="Arial" w:cs="Arial" w:eastAsia="Arial" w:hAnsi="Arial"/>
                <w:sz w:val="17"/>
                <w:szCs w:val="17"/>
                <w:color w:val="0000FF"/>
              </w:rPr>
              <w:t>04/13/2023</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600"/>
              <w:spacing w:after="0"/>
              <w:rPr>
                <w:sz w:val="20"/>
                <w:szCs w:val="20"/>
                <w:color w:val="auto"/>
              </w:rPr>
            </w:pPr>
            <w:r>
              <w:rPr>
                <w:rFonts w:ascii="Arial" w:cs="Arial" w:eastAsia="Arial" w:hAnsi="Arial"/>
                <w:sz w:val="17"/>
                <w:szCs w:val="17"/>
                <w:color w:val="0000FF"/>
              </w:rPr>
              <w:t>Chairman,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3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Of (D) (Instr. 3, 4 and 5)</w:t>
            </w:r>
          </w:p>
        </w:tc>
        <w:tc>
          <w:tcPr>
            <w:tcW w:w="940" w:type="dxa"/>
            <w:vAlign w:val="bottom"/>
          </w:tcPr>
          <w:p>
            <w:pPr>
              <w:spacing w:after="0"/>
              <w:rPr>
                <w:sz w:val="11"/>
                <w:szCs w:val="11"/>
                <w:color w:val="auto"/>
              </w:rPr>
            </w:pPr>
          </w:p>
        </w:tc>
        <w:tc>
          <w:tcPr>
            <w:tcW w:w="10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00" w:type="dxa"/>
            <w:vAlign w:val="bottom"/>
          </w:tcPr>
          <w:p>
            <w:pPr>
              <w:jc w:val="center"/>
              <w:ind w:left="3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6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9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6"/>
                <w:szCs w:val="6"/>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Zelnick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ind w:left="60"/>
              <w:spacing w:after="0" w:line="213" w:lineRule="exact"/>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500" w:type="dxa"/>
            <w:vAlign w:val="bottom"/>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5"/>
              </w:rPr>
              <w:t>40,985</w:t>
            </w:r>
            <w:r>
              <w:rPr>
                <w:rFonts w:ascii="Arial" w:cs="Arial" w:eastAsia="Arial" w:hAnsi="Arial"/>
                <w:sz w:val="22"/>
                <w:szCs w:val="22"/>
                <w:color w:val="008000"/>
                <w:w w:val="85"/>
                <w:vertAlign w:val="superscript"/>
              </w:rPr>
              <w:t>(2)</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60" w:type="dxa"/>
            <w:vAlign w:val="bottom"/>
          </w:tcPr>
          <w:p>
            <w:pPr>
              <w:jc w:val="center"/>
              <w:spacing w:after="0" w:line="213" w:lineRule="exact"/>
              <w:rPr>
                <w:sz w:val="20"/>
                <w:szCs w:val="20"/>
                <w:color w:val="auto"/>
              </w:rPr>
            </w:pPr>
            <w:r>
              <w:rPr>
                <w:rFonts w:ascii="Arial" w:cs="Arial" w:eastAsia="Arial" w:hAnsi="Arial"/>
                <w:sz w:val="17"/>
                <w:szCs w:val="17"/>
                <w:color w:val="0000FF"/>
                <w:w w:val="85"/>
              </w:rPr>
              <w:t>331,029</w:t>
            </w:r>
            <w:r>
              <w:rPr>
                <w:rFonts w:ascii="Arial" w:cs="Arial" w:eastAsia="Arial" w:hAnsi="Arial"/>
                <w:sz w:val="22"/>
                <w:szCs w:val="22"/>
                <w:color w:val="008000"/>
                <w:w w:val="85"/>
                <w:vertAlign w:val="superscript"/>
              </w:rPr>
              <w:t>(3)</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w w:val="99"/>
              </w:rPr>
              <w:t>Corporation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Zelnick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Pr>
          <w:p>
            <w:pPr>
              <w:spacing w:after="0"/>
              <w:rPr>
                <w:sz w:val="18"/>
                <w:szCs w:val="18"/>
                <w:color w:val="auto"/>
              </w:rPr>
            </w:pPr>
          </w:p>
        </w:tc>
        <w:tc>
          <w:tcPr>
            <w:tcW w:w="440" w:type="dxa"/>
            <w:vAlign w:val="bottom"/>
          </w:tcPr>
          <w:p>
            <w:pPr>
              <w:jc w:val="center"/>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(4)</w:t>
            </w:r>
          </w:p>
        </w:tc>
        <w:tc>
          <w:tcPr>
            <w:tcW w:w="36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24"/>
                <w:szCs w:val="24"/>
                <w:color w:val="0000FF"/>
                <w:w w:val="99"/>
                <w:vertAlign w:val="subscript"/>
              </w:rPr>
              <w:t>3,059</w:t>
            </w:r>
            <w:r>
              <w:rPr>
                <w:rFonts w:ascii="Arial" w:cs="Arial" w:eastAsia="Arial" w:hAnsi="Arial"/>
                <w:sz w:val="10"/>
                <w:szCs w:val="10"/>
                <w:color w:val="008000"/>
                <w:w w:val="99"/>
              </w:rPr>
              <w:t>(5)(6)</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121.132</w:t>
            </w:r>
            <w:r>
              <w:rPr>
                <w:rFonts w:ascii="Arial" w:cs="Arial" w:eastAsia="Arial" w:hAnsi="Arial"/>
                <w:sz w:val="22"/>
                <w:szCs w:val="22"/>
                <w:color w:val="008000"/>
                <w:w w:val="90"/>
                <w:vertAlign w:val="superscript"/>
              </w:rPr>
              <w:t>(7)</w:t>
            </w:r>
          </w:p>
        </w:tc>
        <w:tc>
          <w:tcPr>
            <w:tcW w:w="1060" w:type="dxa"/>
            <w:vAlign w:val="bottom"/>
          </w:tcPr>
          <w:p>
            <w:pPr>
              <w:jc w:val="center"/>
              <w:spacing w:after="0"/>
              <w:rPr>
                <w:sz w:val="20"/>
                <w:szCs w:val="20"/>
                <w:color w:val="auto"/>
              </w:rPr>
            </w:pPr>
            <w:r>
              <w:rPr>
                <w:rFonts w:ascii="Arial" w:cs="Arial" w:eastAsia="Arial" w:hAnsi="Arial"/>
                <w:sz w:val="17"/>
                <w:szCs w:val="17"/>
                <w:color w:val="0000FF"/>
                <w:w w:val="91"/>
              </w:rPr>
              <w:t>327,970</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w w:val="99"/>
              </w:rPr>
              <w:t>Corporation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Zelnick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Pr>
          <w:p>
            <w:pPr>
              <w:spacing w:after="0"/>
              <w:rPr>
                <w:sz w:val="18"/>
                <w:szCs w:val="18"/>
                <w:color w:val="auto"/>
              </w:rPr>
            </w:pPr>
          </w:p>
        </w:tc>
        <w:tc>
          <w:tcPr>
            <w:tcW w:w="440" w:type="dxa"/>
            <w:vAlign w:val="bottom"/>
          </w:tcPr>
          <w:p>
            <w:pPr>
              <w:jc w:val="center"/>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(4)</w:t>
            </w:r>
          </w:p>
        </w:tc>
        <w:tc>
          <w:tcPr>
            <w:tcW w:w="36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61,392</w:t>
            </w:r>
            <w:r>
              <w:rPr>
                <w:rFonts w:ascii="Arial" w:cs="Arial" w:eastAsia="Arial" w:hAnsi="Arial"/>
                <w:sz w:val="22"/>
                <w:szCs w:val="22"/>
                <w:color w:val="008000"/>
                <w:w w:val="84"/>
                <w:vertAlign w:val="superscript"/>
              </w:rPr>
              <w:t>(5)(6)</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122.1238</w:t>
            </w:r>
            <w:r>
              <w:rPr>
                <w:rFonts w:ascii="Arial" w:cs="Arial" w:eastAsia="Arial" w:hAnsi="Arial"/>
                <w:sz w:val="22"/>
                <w:szCs w:val="22"/>
                <w:color w:val="008000"/>
                <w:w w:val="89"/>
                <w:vertAlign w:val="superscript"/>
              </w:rPr>
              <w:t>(8)</w:t>
            </w:r>
          </w:p>
        </w:tc>
        <w:tc>
          <w:tcPr>
            <w:tcW w:w="1060" w:type="dxa"/>
            <w:vAlign w:val="bottom"/>
          </w:tcPr>
          <w:p>
            <w:pPr>
              <w:jc w:val="center"/>
              <w:spacing w:after="0"/>
              <w:rPr>
                <w:sz w:val="20"/>
                <w:szCs w:val="20"/>
                <w:color w:val="auto"/>
              </w:rPr>
            </w:pPr>
            <w:r>
              <w:rPr>
                <w:rFonts w:ascii="Arial" w:cs="Arial" w:eastAsia="Arial" w:hAnsi="Arial"/>
                <w:sz w:val="17"/>
                <w:szCs w:val="17"/>
                <w:color w:val="0000FF"/>
                <w:w w:val="91"/>
              </w:rPr>
              <w:t>266,578</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w w:val="99"/>
              </w:rPr>
              <w:t>Corporation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Zelnick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Pr>
          <w:p>
            <w:pPr>
              <w:spacing w:after="0"/>
              <w:rPr>
                <w:sz w:val="18"/>
                <w:szCs w:val="18"/>
                <w:color w:val="auto"/>
              </w:rPr>
            </w:pPr>
          </w:p>
        </w:tc>
        <w:tc>
          <w:tcPr>
            <w:tcW w:w="440" w:type="dxa"/>
            <w:vAlign w:val="bottom"/>
          </w:tcPr>
          <w:p>
            <w:pPr>
              <w:jc w:val="center"/>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(4)</w:t>
            </w:r>
          </w:p>
        </w:tc>
        <w:tc>
          <w:tcPr>
            <w:tcW w:w="36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24"/>
                <w:szCs w:val="24"/>
                <w:color w:val="0000FF"/>
                <w:w w:val="99"/>
                <w:vertAlign w:val="subscript"/>
              </w:rPr>
              <w:t>3,900</w:t>
            </w:r>
            <w:r>
              <w:rPr>
                <w:rFonts w:ascii="Arial" w:cs="Arial" w:eastAsia="Arial" w:hAnsi="Arial"/>
                <w:sz w:val="10"/>
                <w:szCs w:val="10"/>
                <w:color w:val="008000"/>
                <w:w w:val="99"/>
              </w:rPr>
              <w:t>(5)(6)</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122.8685</w:t>
            </w:r>
            <w:r>
              <w:rPr>
                <w:rFonts w:ascii="Arial" w:cs="Arial" w:eastAsia="Arial" w:hAnsi="Arial"/>
                <w:sz w:val="22"/>
                <w:szCs w:val="22"/>
                <w:color w:val="008000"/>
                <w:w w:val="89"/>
                <w:vertAlign w:val="superscript"/>
              </w:rPr>
              <w:t>(9)</w:t>
            </w:r>
          </w:p>
        </w:tc>
        <w:tc>
          <w:tcPr>
            <w:tcW w:w="1060" w:type="dxa"/>
            <w:vAlign w:val="bottom"/>
          </w:tcPr>
          <w:p>
            <w:pPr>
              <w:jc w:val="center"/>
              <w:spacing w:after="0"/>
              <w:rPr>
                <w:sz w:val="20"/>
                <w:szCs w:val="20"/>
                <w:color w:val="auto"/>
              </w:rPr>
            </w:pPr>
            <w:r>
              <w:rPr>
                <w:rFonts w:ascii="Arial" w:cs="Arial" w:eastAsia="Arial" w:hAnsi="Arial"/>
                <w:sz w:val="17"/>
                <w:szCs w:val="17"/>
                <w:color w:val="0000FF"/>
                <w:w w:val="91"/>
              </w:rPr>
              <w:t>262,678</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w w:val="99"/>
              </w:rPr>
              <w:t>Corporation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Zelnick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Pr>
          <w:p>
            <w:pPr>
              <w:spacing w:after="0"/>
              <w:rPr>
                <w:sz w:val="18"/>
                <w:szCs w:val="18"/>
                <w:color w:val="auto"/>
              </w:rPr>
            </w:pPr>
          </w:p>
        </w:tc>
        <w:tc>
          <w:tcPr>
            <w:tcW w:w="440" w:type="dxa"/>
            <w:vAlign w:val="bottom"/>
          </w:tcPr>
          <w:p>
            <w:pPr>
              <w:jc w:val="center"/>
              <w:spacing w:after="0" w:line="213" w:lineRule="exact"/>
              <w:rPr>
                <w:sz w:val="20"/>
                <w:szCs w:val="20"/>
                <w:color w:val="auto"/>
              </w:rPr>
            </w:pPr>
            <w:r>
              <w:rPr>
                <w:rFonts w:ascii="Arial" w:cs="Arial" w:eastAsia="Arial" w:hAnsi="Arial"/>
                <w:sz w:val="24"/>
                <w:szCs w:val="24"/>
                <w:color w:val="0000FF"/>
                <w:w w:val="79"/>
                <w:vertAlign w:val="subscript"/>
              </w:rPr>
              <w:t>J</w:t>
            </w:r>
            <w:r>
              <w:rPr>
                <w:rFonts w:ascii="Arial" w:cs="Arial" w:eastAsia="Arial" w:hAnsi="Arial"/>
                <w:sz w:val="11"/>
                <w:szCs w:val="11"/>
                <w:color w:val="008000"/>
                <w:w w:val="79"/>
              </w:rPr>
              <w:t>(10)</w:t>
            </w:r>
          </w:p>
        </w:tc>
        <w:tc>
          <w:tcPr>
            <w:tcW w:w="36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65,665</w:t>
            </w:r>
            <w:r>
              <w:rPr>
                <w:rFonts w:ascii="Arial" w:cs="Arial" w:eastAsia="Arial" w:hAnsi="Arial"/>
                <w:sz w:val="22"/>
                <w:szCs w:val="22"/>
                <w:color w:val="008000"/>
                <w:w w:val="84"/>
                <w:vertAlign w:val="superscript"/>
              </w:rPr>
              <w:t>(10)</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60" w:type="dxa"/>
            <w:vAlign w:val="bottom"/>
          </w:tcPr>
          <w:p>
            <w:pPr>
              <w:jc w:val="center"/>
              <w:spacing w:after="0" w:line="213" w:lineRule="exact"/>
              <w:rPr>
                <w:sz w:val="20"/>
                <w:szCs w:val="20"/>
                <w:color w:val="auto"/>
              </w:rPr>
            </w:pPr>
            <w:r>
              <w:rPr>
                <w:rFonts w:ascii="Arial" w:cs="Arial" w:eastAsia="Arial" w:hAnsi="Arial"/>
                <w:sz w:val="17"/>
                <w:szCs w:val="17"/>
                <w:color w:val="0000FF"/>
                <w:w w:val="86"/>
              </w:rPr>
              <w:t>197,013</w:t>
            </w:r>
            <w:r>
              <w:rPr>
                <w:rFonts w:ascii="Arial" w:cs="Arial" w:eastAsia="Arial" w:hAnsi="Arial"/>
                <w:sz w:val="22"/>
                <w:szCs w:val="22"/>
                <w:color w:val="008000"/>
                <w:w w:val="86"/>
                <w:vertAlign w:val="superscript"/>
              </w:rPr>
              <w:t>(11)</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w w:val="99"/>
              </w:rPr>
              <w:t>Corporation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Borders>
              <w:bottom w:val="single" w:sz="8" w:color="2C2C2C"/>
            </w:tcBorders>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26,923</w:t>
            </w:r>
            <w:r>
              <w:rPr>
                <w:rFonts w:ascii="Arial" w:cs="Arial" w:eastAsia="Arial" w:hAnsi="Arial"/>
                <w:sz w:val="22"/>
                <w:szCs w:val="22"/>
                <w:color w:val="008000"/>
                <w:w w:val="84"/>
                <w:vertAlign w:val="superscript"/>
              </w:rPr>
              <w:t>(12)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Zelnick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vMerge w:val="restart"/>
          </w:tcPr>
          <w:p>
            <w:pPr>
              <w:jc w:val="center"/>
              <w:ind w:left="321"/>
              <w:spacing w:after="0"/>
              <w:rPr>
                <w:sz w:val="20"/>
                <w:szCs w:val="20"/>
                <w:color w:val="auto"/>
              </w:rPr>
            </w:pPr>
            <w:r>
              <w:rPr>
                <w:rFonts w:ascii="Arial" w:cs="Arial" w:eastAsia="Arial" w:hAnsi="Arial"/>
                <w:sz w:val="17"/>
                <w:szCs w:val="17"/>
                <w:color w:val="0000FF"/>
                <w:w w:val="91"/>
              </w:rPr>
              <w:t>04/13/2023</w:t>
            </w:r>
          </w:p>
        </w:tc>
        <w:tc>
          <w:tcPr>
            <w:tcW w:w="1120" w:type="dxa"/>
            <w:vAlign w:val="bottom"/>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4"/>
              </w:rPr>
              <w:t>26,923</w:t>
            </w:r>
            <w:r>
              <w:rPr>
                <w:rFonts w:ascii="Arial" w:cs="Arial" w:eastAsia="Arial" w:hAnsi="Arial"/>
                <w:sz w:val="22"/>
                <w:szCs w:val="22"/>
                <w:color w:val="008000"/>
                <w:w w:val="84"/>
                <w:vertAlign w:val="superscript"/>
              </w:rPr>
              <w:t>(12)</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0000FF"/>
                <w:w w:val="86"/>
              </w:rPr>
              <w:t>136,975</w:t>
            </w:r>
            <w:r>
              <w:rPr>
                <w:rFonts w:ascii="Arial" w:cs="Arial" w:eastAsia="Arial" w:hAnsi="Arial"/>
                <w:sz w:val="22"/>
                <w:szCs w:val="22"/>
                <w:color w:val="008000"/>
                <w:w w:val="86"/>
                <w:vertAlign w:val="superscript"/>
              </w:rPr>
              <w:t>(13)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Belzberg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rPr>
              <w:t>Living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Wendy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Jay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vMerge w:val="restart"/>
          </w:tcPr>
          <w:p>
            <w:pPr>
              <w:jc w:val="center"/>
              <w:ind w:left="7"/>
              <w:spacing w:after="0"/>
              <w:rPr>
                <w:sz w:val="20"/>
                <w:szCs w:val="20"/>
                <w:color w:val="auto"/>
              </w:rPr>
            </w:pPr>
            <w:r>
              <w:rPr>
                <w:rFonts w:ascii="Arial" w:cs="Arial" w:eastAsia="Arial" w:hAnsi="Arial"/>
                <w:sz w:val="17"/>
                <w:szCs w:val="17"/>
                <w:color w:val="0000FF"/>
                <w:w w:val="84"/>
              </w:rPr>
              <w:t>71,551</w:t>
            </w:r>
            <w:r>
              <w:rPr>
                <w:rFonts w:ascii="Arial" w:cs="Arial" w:eastAsia="Arial" w:hAnsi="Arial"/>
                <w:sz w:val="22"/>
                <w:szCs w:val="22"/>
                <w:color w:val="008000"/>
                <w:w w:val="84"/>
                <w:vertAlign w:val="superscript"/>
              </w:rPr>
              <w:t>(14)</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Belzberg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ZMC</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center"/>
              <w:spacing w:after="0" w:line="213" w:lineRule="exact"/>
              <w:rPr>
                <w:sz w:val="20"/>
                <w:szCs w:val="20"/>
                <w:color w:val="auto"/>
              </w:rPr>
            </w:pPr>
            <w:r>
              <w:rPr>
                <w:rFonts w:ascii="Arial" w:cs="Arial" w:eastAsia="Arial" w:hAnsi="Arial"/>
                <w:sz w:val="17"/>
                <w:szCs w:val="17"/>
                <w:color w:val="0000FF"/>
                <w:w w:val="86"/>
              </w:rPr>
              <w:t>675,684</w:t>
            </w:r>
            <w:r>
              <w:rPr>
                <w:rFonts w:ascii="Arial" w:cs="Arial" w:eastAsia="Arial" w:hAnsi="Arial"/>
                <w:sz w:val="22"/>
                <w:szCs w:val="22"/>
                <w:color w:val="008000"/>
                <w:w w:val="86"/>
                <w:vertAlign w:val="superscript"/>
              </w:rPr>
              <w:t>(15)</w:t>
            </w:r>
          </w:p>
        </w:tc>
        <w:tc>
          <w:tcPr>
            <w:tcW w:w="94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L.P.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00" w:type="dxa"/>
            <w:vAlign w:val="bottom"/>
            <w:tcBorders>
              <w:top w:val="single" w:sz="8" w:color="808080"/>
            </w:tcBorders>
            <w:shd w:val="clear" w:color="auto" w:fill="2C2C2C"/>
          </w:tcPr>
          <w:p>
            <w:pPr>
              <w:spacing w:after="0" w:line="20" w:lineRule="exact"/>
              <w:rPr>
                <w:sz w:val="1"/>
                <w:szCs w:val="1"/>
                <w:color w:val="auto"/>
              </w:rPr>
            </w:pPr>
          </w:p>
        </w:tc>
        <w:tc>
          <w:tcPr>
            <w:tcW w:w="15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5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21151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EXPLANATORY NOTE: This Form 4 relates to (i) the vesting of 134,016 restricted units previously granted to ZelnickMedia Corporation ("ZelnickMedia") on April 13, 2021 under the Management</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Agreement, dated effective January 1, 2018, between the issuer and ZelnickMedia (the "Management Agreement"), and the sale of shares of Common Stock by ZelnickMedia, including in order to satisfy</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93"/>
        </w:trPr>
        <w:tc>
          <w:tcPr>
            <w:tcW w:w="11080" w:type="dxa"/>
            <w:vAlign w:val="bottom"/>
            <w:gridSpan w:val="13"/>
          </w:tcPr>
          <w:p>
            <w:pPr>
              <w:ind w:left="40"/>
              <w:spacing w:after="0" w:line="93" w:lineRule="exact"/>
              <w:rPr>
                <w:sz w:val="20"/>
                <w:szCs w:val="20"/>
                <w:color w:val="auto"/>
              </w:rPr>
            </w:pPr>
            <w:r>
              <w:rPr>
                <w:rFonts w:ascii="Arial" w:cs="Arial" w:eastAsia="Arial" w:hAnsi="Arial"/>
                <w:sz w:val="10"/>
                <w:szCs w:val="10"/>
                <w:color w:val="008000"/>
              </w:rPr>
              <w:t>the tax obligations arising from such vesting, pursuant to a Rule 10b5-1 trading plan adopted on December 7, 2022 by ZelnickMedia, (ii) the forfeiture of 40,985 performance-based restricted units</w:t>
            </w:r>
          </w:p>
        </w:tc>
      </w:tr>
      <w:tr>
        <w:trPr>
          <w:trHeight w:val="40"/>
        </w:trPr>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Disposed</w:t>
            </w: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ind w:left="60"/>
              <w:spacing w:after="0" w:line="40" w:lineRule="exact"/>
              <w:rPr>
                <w:sz w:val="20"/>
                <w:szCs w:val="20"/>
                <w:color w:val="auto"/>
              </w:rPr>
            </w:pPr>
            <w:r>
              <w:rPr>
                <w:rFonts w:ascii="Arial" w:cs="Arial" w:eastAsia="Arial" w:hAnsi="Arial"/>
                <w:sz w:val="4"/>
                <w:szCs w:val="4"/>
                <w:b w:val="1"/>
                <w:bCs w:val="1"/>
                <w:color w:val="auto"/>
              </w:rPr>
              <w:t>3 and 4)</w:t>
            </w:r>
          </w:p>
        </w:tc>
        <w:tc>
          <w:tcPr>
            <w:tcW w:w="640" w:type="dxa"/>
            <w:vAlign w:val="bottom"/>
          </w:tcPr>
          <w:p>
            <w:pPr>
              <w:spacing w:after="0"/>
              <w:rPr>
                <w:sz w:val="3"/>
                <w:szCs w:val="3"/>
                <w:color w:val="auto"/>
              </w:rPr>
            </w:pPr>
          </w:p>
        </w:tc>
        <w:tc>
          <w:tcPr>
            <w:tcW w:w="96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Reported</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07"/>
        </w:trPr>
        <w:tc>
          <w:tcPr>
            <w:tcW w:w="11080" w:type="dxa"/>
            <w:vAlign w:val="bottom"/>
            <w:gridSpan w:val="13"/>
          </w:tcPr>
          <w:p>
            <w:pPr>
              <w:ind w:left="40"/>
              <w:spacing w:after="0" w:line="107" w:lineRule="exact"/>
              <w:rPr>
                <w:sz w:val="20"/>
                <w:szCs w:val="20"/>
                <w:color w:val="auto"/>
              </w:rPr>
            </w:pPr>
            <w:r>
              <w:rPr>
                <w:rFonts w:ascii="Arial" w:cs="Arial" w:eastAsia="Arial" w:hAnsi="Arial"/>
                <w:sz w:val="12"/>
                <w:szCs w:val="12"/>
                <w:color w:val="008000"/>
              </w:rPr>
              <w:t>previously granted to ZelnickMedia on April 13, 2021 under the Management Agreement due to the failure to meet certain performance conditions, and (iii) the distribution by ZelnickMedia to certain of</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of (D)</w:t>
            </w: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Transaction(s)</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0"/>
        <w:spacing w:after="0"/>
        <w:rPr>
          <w:sz w:val="20"/>
          <w:szCs w:val="20"/>
          <w:color w:val="auto"/>
        </w:rPr>
      </w:pPr>
      <w:r>
        <w:rPr>
          <w:rFonts w:ascii="Arial" w:cs="Arial" w:eastAsia="Arial" w:hAnsi="Arial"/>
          <w:sz w:val="11"/>
          <w:szCs w:val="11"/>
          <w:color w:val="008000"/>
        </w:rPr>
        <w:t>its employees of 65,665 shares of Common Stock received by ZelnickMedia upon such</w:t>
      </w:r>
      <w:r>
        <w:rPr>
          <w:rFonts w:ascii="Arial" w:cs="Arial" w:eastAsia="Arial" w:hAnsi="Arial"/>
          <w:sz w:val="9"/>
          <w:szCs w:val="9"/>
          <w:b w:val="1"/>
          <w:bCs w:val="1"/>
          <w:color w:val="000000"/>
        </w:rPr>
        <w:t>(Instr</w:t>
      </w:r>
      <w:r>
        <w:rPr>
          <w:rFonts w:ascii="Arial" w:cs="Arial" w:eastAsia="Arial" w:hAnsi="Arial"/>
          <w:sz w:val="11"/>
          <w:szCs w:val="11"/>
          <w:color w:val="008000"/>
        </w:rPr>
        <w:t>vesting</w:t>
      </w:r>
      <w:r>
        <w:rPr>
          <w:rFonts w:ascii="Arial" w:cs="Arial" w:eastAsia="Arial" w:hAnsi="Arial"/>
          <w:sz w:val="9"/>
          <w:szCs w:val="9"/>
          <w:b w:val="1"/>
          <w:bCs w:val="1"/>
          <w:color w:val="000000"/>
        </w:rPr>
        <w:t>.3,</w:t>
      </w:r>
      <w:r>
        <w:rPr>
          <w:rFonts w:ascii="Arial" w:cs="Arial" w:eastAsia="Arial" w:hAnsi="Arial"/>
          <w:sz w:val="11"/>
          <w:szCs w:val="11"/>
          <w:color w:val="008000"/>
        </w:rPr>
        <w:t xml:space="preserve"> in</w:t>
      </w:r>
      <w:r>
        <w:rPr>
          <w:rFonts w:ascii="Arial" w:cs="Arial" w:eastAsia="Arial" w:hAnsi="Arial"/>
          <w:sz w:val="9"/>
          <w:szCs w:val="9"/>
          <w:b w:val="1"/>
          <w:bCs w:val="1"/>
          <w:color w:val="000000"/>
        </w:rPr>
        <w:t>4</w:t>
      </w:r>
      <w:r>
        <w:rPr>
          <w:rFonts w:ascii="Arial" w:cs="Arial" w:eastAsia="Arial" w:hAnsi="Arial"/>
          <w:sz w:val="11"/>
          <w:szCs w:val="11"/>
          <w:color w:val="008000"/>
        </w:rPr>
        <w:t xml:space="preserve"> accordance with the customary historical practices of ZelnickMedia,</w:t>
      </w:r>
      <w:r>
        <w:rPr>
          <w:rFonts w:ascii="Arial" w:cs="Arial" w:eastAsia="Arial" w:hAnsi="Arial"/>
          <w:sz w:val="9"/>
          <w:szCs w:val="9"/>
          <w:b w:val="1"/>
          <w:bCs w:val="1"/>
          <w:color w:val="000000"/>
        </w:rPr>
        <w:t>(Instr.</w:t>
      </w:r>
      <w:r>
        <w:rPr>
          <w:rFonts w:ascii="Arial" w:cs="Arial" w:eastAsia="Arial" w:hAnsi="Arial"/>
          <w:sz w:val="11"/>
          <w:szCs w:val="11"/>
          <w:color w:val="008000"/>
        </w:rPr>
        <w:t>in</w:t>
      </w:r>
      <w:r>
        <w:rPr>
          <w:rFonts w:ascii="Arial" w:cs="Arial" w:eastAsia="Arial" w:hAnsi="Arial"/>
          <w:sz w:val="9"/>
          <w:szCs w:val="9"/>
          <w:b w:val="1"/>
          <w:bCs w:val="1"/>
          <w:color w:val="000000"/>
        </w:rPr>
        <w:t>4)</w:t>
      </w:r>
      <w:r>
        <w:rPr>
          <w:rFonts w:ascii="Arial" w:cs="Arial" w:eastAsia="Arial" w:hAnsi="Arial"/>
          <w:sz w:val="11"/>
          <w:szCs w:val="11"/>
          <w:color w:val="008000"/>
        </w:rPr>
        <w:t>each case as further described</w:t>
      </w:r>
    </w:p>
    <w:p>
      <w:pPr>
        <w:spacing w:after="0" w:line="20"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3"/>
          <w:szCs w:val="13"/>
          <w:color w:val="008000"/>
        </w:rPr>
        <w:t>below.</w:t>
      </w:r>
      <w:r>
        <w:rPr>
          <w:sz w:val="20"/>
          <w:szCs w:val="20"/>
          <w:color w:val="auto"/>
        </w:rPr>
        <w:tab/>
      </w:r>
      <w:r>
        <w:rPr>
          <w:rFonts w:ascii="Arial" w:cs="Arial" w:eastAsia="Arial" w:hAnsi="Arial"/>
          <w:sz w:val="12"/>
          <w:szCs w:val="12"/>
          <w:b w:val="1"/>
          <w:bCs w:val="1"/>
          <w:color w:val="auto"/>
        </w:rPr>
        <w:t>and 5)</w:t>
      </w:r>
    </w:p>
    <w:p>
      <w:pPr>
        <w:spacing w:after="0" w:line="40"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forfeiture of 40,985 performance-based restricted units previously granted to ZelnickMedia on April 13, 2021 due to the failure to meet certain performance conditions.</w:t>
      </w:r>
    </w:p>
    <w:p>
      <w:pPr>
        <w:spacing w:after="0" w:line="50" w:lineRule="exact"/>
        <w:rPr>
          <w:rFonts w:ascii="Arial" w:cs="Arial" w:eastAsia="Arial" w:hAnsi="Arial"/>
          <w:sz w:val="13"/>
          <w:szCs w:val="13"/>
          <w:color w:val="008000"/>
        </w:rPr>
      </w:pPr>
    </w:p>
    <w:p>
      <w:pPr>
        <w:ind w:left="40" w:right="160" w:firstLine="7"/>
        <w:spacing w:after="0" w:line="263"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197,013 restricted units and 134,016 shares of Common Stock held directly by ZelnickMedia (in each case after giving effect to the forfeiture and vesting described in footnote (2) above and footnote (6) below), of which Mr. Zelnick is a partner (and such securities are not held individually by Mr. Zelnick). Mr. Zelnick disclaims beneficial ownership of the securities held by ZelnickMedia</w:t>
      </w:r>
    </w:p>
    <w:tbl>
      <w:tblPr>
        <w:tblLayout w:type="fixed"/>
        <w:tblInd w:w="40" w:type="dxa"/>
        <w:tblCellMar>
          <w:top w:w="0" w:type="dxa"/>
          <w:left w:w="0" w:type="dxa"/>
          <w:bottom w:w="0" w:type="dxa"/>
          <w:right w:w="0" w:type="dxa"/>
        </w:tblCellMar>
      </w:tblPr>
      <w:tr>
        <w:trPr>
          <w:trHeight w:val="130"/>
        </w:trPr>
        <w:tc>
          <w:tcPr>
            <w:tcW w:w="4480" w:type="dxa"/>
            <w:vAlign w:val="bottom"/>
          </w:tcPr>
          <w:p>
            <w:pPr>
              <w:spacing w:after="0" w:line="130" w:lineRule="exact"/>
              <w:rPr>
                <w:sz w:val="20"/>
                <w:szCs w:val="20"/>
                <w:color w:val="auto"/>
              </w:rPr>
            </w:pPr>
            <w:r>
              <w:rPr>
                <w:rFonts w:ascii="Arial" w:cs="Arial" w:eastAsia="Arial" w:hAnsi="Arial"/>
                <w:sz w:val="13"/>
                <w:szCs w:val="13"/>
                <w:color w:val="008000"/>
              </w:rPr>
              <w:t>except to the extent of his pecuniary interest therein.</w:t>
            </w: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23"/>
        </w:trPr>
        <w:tc>
          <w:tcPr>
            <w:tcW w:w="4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67"/>
        </w:trPr>
        <w:tc>
          <w:tcPr>
            <w:tcW w:w="10860" w:type="dxa"/>
            <w:vAlign w:val="bottom"/>
            <w:gridSpan w:val="5"/>
          </w:tcPr>
          <w:p>
            <w:pPr>
              <w:spacing w:after="0" w:line="67" w:lineRule="exact"/>
              <w:rPr>
                <w:sz w:val="20"/>
                <w:szCs w:val="20"/>
                <w:color w:val="auto"/>
              </w:rPr>
            </w:pPr>
            <w:r>
              <w:rPr>
                <w:rFonts w:ascii="Arial" w:cs="Arial" w:eastAsia="Arial" w:hAnsi="Arial"/>
                <w:sz w:val="7"/>
                <w:szCs w:val="7"/>
                <w:color w:val="008000"/>
              </w:rPr>
              <w:t>4. All of the sales reported in this Form 4 were made pursuant to a Rule 10b5-1 trading plan adopted on December 7, 2022 by ZelnickMedia in relation to the vesting of restricted units granted pursuant to</w:t>
            </w:r>
          </w:p>
        </w:tc>
        <w:tc>
          <w:tcPr>
            <w:tcW w:w="0" w:type="dxa"/>
            <w:vAlign w:val="bottom"/>
          </w:tcPr>
          <w:p>
            <w:pPr>
              <w:spacing w:after="0"/>
              <w:rPr>
                <w:sz w:val="1"/>
                <w:szCs w:val="1"/>
                <w:color w:val="auto"/>
              </w:rPr>
            </w:pPr>
          </w:p>
        </w:tc>
      </w:tr>
      <w:tr>
        <w:trPr>
          <w:trHeight w:val="67"/>
        </w:trPr>
        <w:tc>
          <w:tcPr>
            <w:tcW w:w="44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Number</w:t>
            </w:r>
          </w:p>
        </w:tc>
        <w:tc>
          <w:tcPr>
            <w:tcW w:w="0" w:type="dxa"/>
            <w:vAlign w:val="bottom"/>
          </w:tcPr>
          <w:p>
            <w:pPr>
              <w:spacing w:after="0"/>
              <w:rPr>
                <w:sz w:val="1"/>
                <w:szCs w:val="1"/>
                <w:color w:val="auto"/>
              </w:rPr>
            </w:pPr>
          </w:p>
        </w:tc>
      </w:tr>
      <w:tr>
        <w:trPr>
          <w:trHeight w:val="80"/>
        </w:trPr>
        <w:tc>
          <w:tcPr>
            <w:tcW w:w="10860" w:type="dxa"/>
            <w:vAlign w:val="bottom"/>
            <w:gridSpan w:val="5"/>
          </w:tcPr>
          <w:p>
            <w:pPr>
              <w:spacing w:after="0" w:line="80" w:lineRule="exact"/>
              <w:rPr>
                <w:sz w:val="20"/>
                <w:szCs w:val="20"/>
                <w:color w:val="auto"/>
              </w:rPr>
            </w:pPr>
            <w:r>
              <w:rPr>
                <w:rFonts w:ascii="Arial" w:cs="Arial" w:eastAsia="Arial" w:hAnsi="Arial"/>
                <w:sz w:val="9"/>
                <w:szCs w:val="9"/>
                <w:color w:val="008000"/>
              </w:rPr>
              <w:t>the Management Agreement. Such plan was entered into prior to the effectiveness of the revised requirements of Rule 10b5-1(c). In compliance with SEC guidance, the Reporting Person has not checked</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ind w:left="880"/>
              <w:spacing w:after="0" w:line="54" w:lineRule="exact"/>
              <w:rPr>
                <w:sz w:val="20"/>
                <w:szCs w:val="20"/>
                <w:color w:val="auto"/>
              </w:rPr>
            </w:pPr>
            <w:r>
              <w:rPr>
                <w:rFonts w:ascii="Arial" w:cs="Arial" w:eastAsia="Arial" w:hAnsi="Arial"/>
                <w:sz w:val="6"/>
                <w:szCs w:val="6"/>
                <w:b w:val="1"/>
                <w:bCs w:val="1"/>
                <w:color w:val="auto"/>
              </w:rPr>
              <w:t>Date</w:t>
            </w: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Expiration</w:t>
            </w:r>
          </w:p>
        </w:tc>
        <w:tc>
          <w:tcPr>
            <w:tcW w:w="380" w:type="dxa"/>
            <w:vAlign w:val="bottom"/>
          </w:tcPr>
          <w:p>
            <w:pPr>
              <w:spacing w:after="0"/>
              <w:rPr>
                <w:sz w:val="4"/>
                <w:szCs w:val="4"/>
                <w:color w:val="auto"/>
              </w:rPr>
            </w:pPr>
          </w:p>
        </w:tc>
        <w:tc>
          <w:tcPr>
            <w:tcW w:w="36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of</w:t>
            </w:r>
          </w:p>
        </w:tc>
        <w:tc>
          <w:tcPr>
            <w:tcW w:w="0" w:type="dxa"/>
            <w:vAlign w:val="bottom"/>
          </w:tcPr>
          <w:p>
            <w:pPr>
              <w:spacing w:after="0"/>
              <w:rPr>
                <w:sz w:val="1"/>
                <w:szCs w:val="1"/>
                <w:color w:val="auto"/>
              </w:rPr>
            </w:pPr>
          </w:p>
        </w:tc>
      </w:tr>
      <w:tr>
        <w:trPr>
          <w:trHeight w:val="93"/>
        </w:trPr>
        <w:tc>
          <w:tcPr>
            <w:tcW w:w="7220" w:type="dxa"/>
            <w:vAlign w:val="bottom"/>
            <w:gridSpan w:val="4"/>
          </w:tcPr>
          <w:p>
            <w:pPr>
              <w:spacing w:after="0" w:line="93" w:lineRule="exact"/>
              <w:rPr>
                <w:sz w:val="20"/>
                <w:szCs w:val="20"/>
                <w:color w:val="auto"/>
              </w:rPr>
            </w:pPr>
            <w:r>
              <w:rPr>
                <w:rFonts w:ascii="Arial" w:cs="Arial" w:eastAsia="Arial" w:hAnsi="Arial"/>
                <w:sz w:val="10"/>
                <w:szCs w:val="10"/>
                <w:color w:val="008000"/>
              </w:rPr>
              <w:t>the box above but states that the Rule 10b5-1 trading plan is intended to satisfy the affirmative defense conditions of Rule 10b5-1(c).</w:t>
            </w:r>
          </w:p>
        </w:tc>
        <w:tc>
          <w:tcPr>
            <w:tcW w:w="3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81"/>
        </w:trPr>
        <w:tc>
          <w:tcPr>
            <w:tcW w:w="4480" w:type="dxa"/>
            <w:vAlign w:val="bottom"/>
          </w:tcPr>
          <w:p>
            <w:pPr>
              <w:ind w:left="3800"/>
              <w:spacing w:after="0" w:line="81" w:lineRule="exact"/>
              <w:rPr>
                <w:sz w:val="20"/>
                <w:szCs w:val="20"/>
                <w:color w:val="auto"/>
              </w:rPr>
            </w:pPr>
            <w:r>
              <w:rPr>
                <w:rFonts w:ascii="Arial" w:cs="Arial" w:eastAsia="Arial" w:hAnsi="Arial"/>
                <w:sz w:val="8"/>
                <w:szCs w:val="8"/>
                <w:b w:val="1"/>
                <w:bCs w:val="1"/>
                <w:color w:val="auto"/>
              </w:rPr>
              <w:t>Code  V</w:t>
            </w:r>
          </w:p>
        </w:tc>
        <w:tc>
          <w:tcPr>
            <w:tcW w:w="1620" w:type="dxa"/>
            <w:vAlign w:val="bottom"/>
          </w:tcPr>
          <w:p>
            <w:pPr>
              <w:ind w:left="160"/>
              <w:spacing w:after="0" w:line="81" w:lineRule="exact"/>
              <w:rPr>
                <w:sz w:val="20"/>
                <w:szCs w:val="20"/>
                <w:color w:val="auto"/>
              </w:rPr>
            </w:pPr>
            <w:r>
              <w:rPr>
                <w:rFonts w:ascii="Arial" w:cs="Arial" w:eastAsia="Arial" w:hAnsi="Arial"/>
                <w:sz w:val="8"/>
                <w:szCs w:val="8"/>
                <w:b w:val="1"/>
                <w:bCs w:val="1"/>
                <w:color w:val="auto"/>
              </w:rPr>
              <w:t>(A)   (D)   Exercisable</w:t>
            </w: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Date</w:t>
            </w:r>
          </w:p>
        </w:tc>
        <w:tc>
          <w:tcPr>
            <w:tcW w:w="38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Title</w:t>
            </w: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prices.</w:t>
      </w:r>
    </w:p>
    <w:p>
      <w:pPr>
        <w:spacing w:after="0" w:line="40"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13, 2023, 134,016 restricted units previously granted to ZelnickMedia vested. The reported sale transactions were effected pursuant to a Rule 10b5-1 trading plan adopted on December 7, 2022 by ZelnickMedia, including to satisfy the tax obligations of the partners of ZelnickMedia upon the vesting of such restricted units.</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$120.70 to $121.51,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$121.75 to $122.74,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$122.76 to $122.98,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left="40" w:right="2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13, 2023, 134,016 restricted units previously granted to ZelnickMedia vested. Following such vest, ZelnickMedia distributed a total of 65,665 shares received upon vesting to its employees, including 26,923 shares to Mr. Zelnick, which shares Mr. Zelnick had previously indirectly beneficially owned through ZelnickMedia.</w:t>
      </w:r>
    </w:p>
    <w:p>
      <w:pPr>
        <w:spacing w:after="0" w:line="15" w:lineRule="exact"/>
        <w:rPr>
          <w:rFonts w:ascii="Arial" w:cs="Arial" w:eastAsia="Arial" w:hAnsi="Arial"/>
          <w:sz w:val="13"/>
          <w:szCs w:val="13"/>
          <w:color w:val="008000"/>
        </w:rPr>
      </w:pPr>
    </w:p>
    <w:p>
      <w:pPr>
        <w:ind w:left="40" w:right="620" w:firstLine="7"/>
        <w:spacing w:after="0" w:line="266"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197,013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left="40" w:right="5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Zelnick received 26,923 shares pursuant to a distribution, as further described in Footnote (10) above, which receipt was exempt from Section 16 as such shares were previously held by Mr. Zelnick indirectly through ZelnickMedia. Mr. Zelnick then contributed such securities to the Zelnick/Belzberg Living Trust in exchange for no consideration.</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136,975 shares of Common Stock held by the Zelnick/Belzberg Living Trust (such securities are indirectly held by Mr. Zelnick), including 26,923 shares received by Mr. Zelnick pursuant to the distribution referred to in Footnote (10) above, which were then contributed to the Zelnick/Belzberg Living Trust. Mr. Zelnick disclaims beneficial ownership of the securities held by the Zelnick/Belzberg Living Trust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71,551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15" w:lineRule="exact"/>
        <w:rPr>
          <w:rFonts w:ascii="Arial" w:cs="Arial" w:eastAsia="Arial" w:hAnsi="Arial"/>
          <w:sz w:val="13"/>
          <w:szCs w:val="13"/>
          <w:color w:val="008000"/>
        </w:rPr>
      </w:pPr>
    </w:p>
    <w:p>
      <w:pPr>
        <w:ind w:left="40" w:right="30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675,684 restricted units held directly by ZMC Advisors, L.P., of which Mr. Zelnick is a partner (such securities are not held individually by Mr. Zelnick). Mr. Zelnick disclaims beneficial ownership of the securities held by ZMC Advisors, L.P. except to the extent of his pecuniary interest therein.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Strauss Zelnick</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04/17/2023</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3489"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2023-04-17T16:31:05Z</dcterms:created>
  <dcterms:modified xsi:type="dcterms:W3CDTF">2023-04-17T16:31:05Z</dcterms:modified>
</cp:coreProperties>
</file>