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91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911465"/>
                    </a:xfrm>
                    <a:prstGeom prst="rect">
                      <a:avLst/>
                    </a:prstGeom>
                    <a:noFill/>
                  </pic:spPr>
                </pic:pic>
              </a:graphicData>
            </a:graphic>
          </wp:anchor>
        </w:drawing>
      </w:r>
    </w:p>
    <w:p>
      <w:pPr>
        <w:spacing w:after="0" w:line="38" w:lineRule="exact"/>
        <w:rPr>
          <w:sz w:val="24"/>
          <w:szCs w:val="24"/>
          <w:color w:val="auto"/>
        </w:rPr>
      </w:pPr>
    </w:p>
    <w:p>
      <w:pPr>
        <w:sectPr>
          <w:pgSz w:w="11900" w:h="16935"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20" w:type="dxa"/>
            <w:vAlign w:val="bottom"/>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Slatoff Karl</w:t>
              </w:r>
            </w:hyperlink>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TAKE TWO INTERACTIVE</w:t>
              </w:r>
            </w:hyperlink>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80" w:type="dxa"/>
            <w:vAlign w:val="bottom"/>
            <w:gridSpan w:val="2"/>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020" w:type="dxa"/>
            <w:vAlign w:val="bottom"/>
            <w:tcBorders>
              <w:bottom w:val="single" w:sz="8" w:color="0000EE"/>
            </w:tcBorders>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4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top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20" w:type="dxa"/>
            <w:vAlign w:val="bottom"/>
            <w:tcBorders>
              <w:top w:val="single" w:sz="8" w:color="EEEEEE"/>
            </w:tcBorders>
          </w:tcPr>
          <w:p>
            <w:pPr>
              <w:spacing w:after="0"/>
              <w:rPr>
                <w:sz w:val="10"/>
                <w:szCs w:val="10"/>
                <w:color w:val="auto"/>
              </w:rPr>
            </w:pPr>
          </w:p>
        </w:tc>
        <w:tc>
          <w:tcPr>
            <w:tcW w:w="100" w:type="dxa"/>
            <w:vAlign w:val="bottom"/>
            <w:tcBorders>
              <w:top w:val="single" w:sz="8" w:color="EEEEEE"/>
            </w:tcBorders>
          </w:tcPr>
          <w:p>
            <w:pPr>
              <w:spacing w:after="0"/>
              <w:rPr>
                <w:sz w:val="10"/>
                <w:szCs w:val="10"/>
                <w:color w:val="auto"/>
              </w:rPr>
            </w:pPr>
          </w:p>
        </w:tc>
        <w:tc>
          <w:tcPr>
            <w:tcW w:w="1060" w:type="dxa"/>
            <w:vAlign w:val="bottom"/>
            <w:tcBorders>
              <w:top w:val="single" w:sz="8" w:color="EEEEEE"/>
            </w:tcBorders>
          </w:tcPr>
          <w:p>
            <w:pPr>
              <w:spacing w:after="0"/>
              <w:rPr>
                <w:sz w:val="10"/>
                <w:szCs w:val="10"/>
                <w:color w:val="auto"/>
              </w:rPr>
            </w:pPr>
          </w:p>
        </w:tc>
        <w:tc>
          <w:tcPr>
            <w:tcW w:w="146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20" w:type="dxa"/>
            <w:vAlign w:val="bottom"/>
            <w:gridSpan w:val="2"/>
            <w:vMerge w:val="restart"/>
          </w:tcPr>
          <w:p>
            <w:pPr>
              <w:spacing w:after="0" w:line="102" w:lineRule="exact"/>
              <w:rPr>
                <w:sz w:val="20"/>
                <w:szCs w:val="20"/>
                <w:color w:val="auto"/>
              </w:rPr>
            </w:pPr>
            <w:r>
              <w:rPr>
                <w:rFonts w:ascii="Arial" w:cs="Arial" w:eastAsia="Arial" w:hAnsi="Arial"/>
                <w:sz w:val="11"/>
                <w:szCs w:val="11"/>
                <w:color w:val="auto"/>
              </w:rPr>
              <w:t>(Last)</w:t>
            </w:r>
          </w:p>
        </w:tc>
        <w:tc>
          <w:tcPr>
            <w:tcW w:w="1060" w:type="dxa"/>
            <w:vAlign w:val="bottom"/>
            <w:vMerge w:val="restart"/>
          </w:tcPr>
          <w:p>
            <w:pPr>
              <w:ind w:left="100"/>
              <w:spacing w:after="0" w:line="102" w:lineRule="exact"/>
              <w:rPr>
                <w:sz w:val="20"/>
                <w:szCs w:val="20"/>
                <w:color w:val="auto"/>
              </w:rPr>
            </w:pPr>
            <w:r>
              <w:rPr>
                <w:rFonts w:ascii="Arial" w:cs="Arial" w:eastAsia="Arial" w:hAnsi="Arial"/>
                <w:sz w:val="11"/>
                <w:szCs w:val="11"/>
                <w:color w:val="auto"/>
              </w:rPr>
              <w:t>(First)</w:t>
            </w:r>
          </w:p>
        </w:tc>
        <w:tc>
          <w:tcPr>
            <w:tcW w:w="1460" w:type="dxa"/>
            <w:vAlign w:val="bottom"/>
            <w:vMerge w:val="restart"/>
          </w:tcPr>
          <w:p>
            <w:pPr>
              <w:ind w:left="26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1580" w:type="dxa"/>
            <w:vAlign w:val="bottom"/>
            <w:vMerge w:val="restart"/>
          </w:tcPr>
          <w:p>
            <w:pPr>
              <w:ind w:left="840"/>
              <w:spacing w:after="0"/>
              <w:rPr>
                <w:sz w:val="20"/>
                <w:szCs w:val="20"/>
                <w:color w:val="auto"/>
              </w:rPr>
            </w:pPr>
            <w:r>
              <w:rPr>
                <w:rFonts w:ascii="Arial" w:cs="Arial" w:eastAsia="Arial" w:hAnsi="Arial"/>
                <w:sz w:val="17"/>
                <w:szCs w:val="17"/>
                <w:color w:val="0000FF"/>
              </w:rPr>
              <w:t>President</w:t>
            </w: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TAKE-TWO INTERACTIVE SOFTWARE,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7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04/13/2023</w:t>
            </w: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gridSpan w:val="2"/>
            <w:vMerge w:val="restart"/>
          </w:tcPr>
          <w:p>
            <w:pPr>
              <w:spacing w:after="0"/>
              <w:rPr>
                <w:sz w:val="20"/>
                <w:szCs w:val="20"/>
                <w:color w:val="auto"/>
              </w:rPr>
            </w:pPr>
            <w:r>
              <w:rPr>
                <w:rFonts w:ascii="Arial" w:cs="Arial" w:eastAsia="Arial" w:hAnsi="Arial"/>
                <w:sz w:val="17"/>
                <w:szCs w:val="17"/>
                <w:color w:val="0000FF"/>
              </w:rPr>
              <w:t>INC.</w:t>
            </w:r>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Arial" w:cs="Arial" w:eastAsia="Arial" w:hAnsi="Arial"/>
                <w:sz w:val="17"/>
                <w:szCs w:val="17"/>
                <w:color w:val="0000FF"/>
              </w:rPr>
              <w:t>110 WEST 44TH STREET</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35" w:orient="portrait"/>
          <w:cols w:equalWidth="0" w:num="1">
            <w:col w:w="11080"/>
          </w:cols>
          <w:pgMar w:left="460" w:top="225" w:right="359" w:bottom="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935" w:orient="portrait"/>
          <w:cols w:equalWidth="0" w:num="2">
            <w:col w:w="7213" w:space="720"/>
            <w:col w:w="3147"/>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2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(D) (Instr. 3, 4 and 5)</w:t>
            </w:r>
          </w:p>
        </w:tc>
        <w:tc>
          <w:tcPr>
            <w:tcW w:w="4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50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660" w:type="dxa"/>
            <w:vAlign w:val="bottom"/>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0"/>
                <w:szCs w:val="10"/>
                <w:color w:val="auto"/>
              </w:rPr>
            </w:pPr>
          </w:p>
        </w:tc>
        <w:tc>
          <w:tcPr>
            <w:tcW w:w="116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10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line="213" w:lineRule="exact"/>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04/13/2023</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center"/>
              <w:ind w:right="2"/>
              <w:spacing w:after="0"/>
              <w:rPr>
                <w:sz w:val="20"/>
                <w:szCs w:val="20"/>
                <w:color w:val="auto"/>
              </w:rPr>
            </w:pPr>
            <w:r>
              <w:rPr>
                <w:rFonts w:ascii="Arial" w:cs="Arial" w:eastAsia="Arial" w:hAnsi="Arial"/>
                <w:sz w:val="13"/>
                <w:szCs w:val="13"/>
                <w:color w:val="0000FF"/>
              </w:rPr>
              <w:t>D</w:t>
            </w:r>
          </w:p>
        </w:tc>
        <w:tc>
          <w:tcPr>
            <w:tcW w:w="360" w:type="dxa"/>
            <w:vAlign w:val="bottom"/>
          </w:tcPr>
          <w:p>
            <w:pPr>
              <w:spacing w:after="0"/>
              <w:rPr>
                <w:sz w:val="18"/>
                <w:szCs w:val="18"/>
                <w:color w:val="auto"/>
              </w:rPr>
            </w:pPr>
          </w:p>
        </w:tc>
        <w:tc>
          <w:tcPr>
            <w:tcW w:w="860" w:type="dxa"/>
            <w:vAlign w:val="bottom"/>
          </w:tcPr>
          <w:p>
            <w:pPr>
              <w:jc w:val="center"/>
              <w:spacing w:after="0" w:line="213" w:lineRule="exact"/>
              <w:rPr>
                <w:sz w:val="20"/>
                <w:szCs w:val="20"/>
                <w:color w:val="auto"/>
              </w:rPr>
            </w:pPr>
            <w:r>
              <w:rPr>
                <w:rFonts w:ascii="Arial" w:cs="Arial" w:eastAsia="Arial" w:hAnsi="Arial"/>
                <w:sz w:val="17"/>
                <w:szCs w:val="17"/>
                <w:color w:val="0000FF"/>
                <w:w w:val="85"/>
              </w:rPr>
              <w:t>40,985</w:t>
            </w:r>
            <w:r>
              <w:rPr>
                <w:rFonts w:ascii="Arial" w:cs="Arial" w:eastAsia="Arial" w:hAnsi="Arial"/>
                <w:sz w:val="22"/>
                <w:szCs w:val="22"/>
                <w:color w:val="008000"/>
                <w:w w:val="85"/>
                <w:vertAlign w:val="superscript"/>
              </w:rPr>
              <w:t>(2)</w:t>
            </w:r>
          </w:p>
        </w:tc>
        <w:tc>
          <w:tcPr>
            <w:tcW w:w="38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ind w:left="13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Pr>
          <w:p>
            <w:pPr>
              <w:spacing w:after="0"/>
              <w:rPr>
                <w:sz w:val="18"/>
                <w:szCs w:val="18"/>
                <w:color w:val="auto"/>
              </w:rPr>
            </w:pPr>
          </w:p>
        </w:tc>
        <w:tc>
          <w:tcPr>
            <w:tcW w:w="1200" w:type="dxa"/>
            <w:vAlign w:val="bottom"/>
            <w:gridSpan w:val="3"/>
          </w:tcPr>
          <w:p>
            <w:pPr>
              <w:jc w:val="center"/>
              <w:spacing w:after="0" w:line="213" w:lineRule="exact"/>
              <w:rPr>
                <w:sz w:val="20"/>
                <w:szCs w:val="20"/>
                <w:color w:val="auto"/>
              </w:rPr>
            </w:pPr>
            <w:r>
              <w:rPr>
                <w:rFonts w:ascii="Arial" w:cs="Arial" w:eastAsia="Arial" w:hAnsi="Arial"/>
                <w:sz w:val="17"/>
                <w:szCs w:val="17"/>
                <w:color w:val="0000FF"/>
                <w:w w:val="85"/>
              </w:rPr>
              <w:t>331,029</w:t>
            </w:r>
            <w:r>
              <w:rPr>
                <w:rFonts w:ascii="Arial" w:cs="Arial" w:eastAsia="Arial" w:hAnsi="Arial"/>
                <w:sz w:val="22"/>
                <w:szCs w:val="22"/>
                <w:color w:val="008000"/>
                <w:w w:val="85"/>
                <w:vertAlign w:val="superscript"/>
              </w:rPr>
              <w:t>(3)</w:t>
            </w:r>
          </w:p>
        </w:tc>
        <w:tc>
          <w:tcPr>
            <w:tcW w:w="340" w:type="dxa"/>
            <w:vAlign w:val="bottom"/>
          </w:tcPr>
          <w:p>
            <w:pPr>
              <w:spacing w:after="0"/>
              <w:rPr>
                <w:sz w:val="18"/>
                <w:szCs w:val="18"/>
                <w:color w:val="auto"/>
              </w:rPr>
            </w:pPr>
          </w:p>
        </w:tc>
        <w:tc>
          <w:tcPr>
            <w:tcW w:w="520" w:type="dxa"/>
            <w:vAlign w:val="bottom"/>
          </w:tcPr>
          <w:p>
            <w:pPr>
              <w:jc w:val="center"/>
              <w:ind w:right="326"/>
              <w:spacing w:after="0"/>
              <w:rPr>
                <w:sz w:val="20"/>
                <w:szCs w:val="20"/>
                <w:color w:val="auto"/>
              </w:rPr>
            </w:pPr>
            <w:r>
              <w:rPr>
                <w:rFonts w:ascii="Arial" w:cs="Arial" w:eastAsia="Arial" w:hAnsi="Arial"/>
                <w:sz w:val="17"/>
                <w:szCs w:val="17"/>
                <w:color w:val="0000FF"/>
                <w:w w:val="83"/>
              </w:rPr>
              <w:t>I</w:t>
            </w: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Media</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Corporation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04/13/2023</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center"/>
              <w:ind w:right="2"/>
              <w:spacing w:after="0" w:line="213" w:lineRule="exact"/>
              <w:rPr>
                <w:sz w:val="20"/>
                <w:szCs w:val="20"/>
                <w:color w:val="auto"/>
              </w:rPr>
            </w:pPr>
            <w:r>
              <w:rPr>
                <w:rFonts w:ascii="Arial" w:cs="Arial" w:eastAsia="Arial" w:hAnsi="Arial"/>
                <w:sz w:val="24"/>
                <w:szCs w:val="24"/>
                <w:color w:val="0000FF"/>
                <w:w w:val="91"/>
                <w:vertAlign w:val="subscript"/>
              </w:rPr>
              <w:t>S</w:t>
            </w:r>
            <w:r>
              <w:rPr>
                <w:rFonts w:ascii="Arial" w:cs="Arial" w:eastAsia="Arial" w:hAnsi="Arial"/>
                <w:sz w:val="11"/>
                <w:szCs w:val="11"/>
                <w:color w:val="008000"/>
                <w:w w:val="91"/>
              </w:rPr>
              <w:t>(4)</w:t>
            </w:r>
          </w:p>
        </w:tc>
        <w:tc>
          <w:tcPr>
            <w:tcW w:w="360" w:type="dxa"/>
            <w:vAlign w:val="bottom"/>
          </w:tcPr>
          <w:p>
            <w:pPr>
              <w:spacing w:after="0"/>
              <w:rPr>
                <w:sz w:val="18"/>
                <w:szCs w:val="18"/>
                <w:color w:val="auto"/>
              </w:rPr>
            </w:pPr>
          </w:p>
        </w:tc>
        <w:tc>
          <w:tcPr>
            <w:tcW w:w="860" w:type="dxa"/>
            <w:vAlign w:val="bottom"/>
          </w:tcPr>
          <w:p>
            <w:pPr>
              <w:jc w:val="center"/>
              <w:spacing w:after="0" w:line="213" w:lineRule="exact"/>
              <w:rPr>
                <w:sz w:val="20"/>
                <w:szCs w:val="20"/>
                <w:color w:val="auto"/>
              </w:rPr>
            </w:pPr>
            <w:r>
              <w:rPr>
                <w:rFonts w:ascii="Arial" w:cs="Arial" w:eastAsia="Arial" w:hAnsi="Arial"/>
                <w:sz w:val="24"/>
                <w:szCs w:val="24"/>
                <w:color w:val="0000FF"/>
                <w:w w:val="99"/>
                <w:vertAlign w:val="subscript"/>
              </w:rPr>
              <w:t>3,059</w:t>
            </w:r>
            <w:r>
              <w:rPr>
                <w:rFonts w:ascii="Arial" w:cs="Arial" w:eastAsia="Arial" w:hAnsi="Arial"/>
                <w:sz w:val="10"/>
                <w:szCs w:val="10"/>
                <w:color w:val="008000"/>
                <w:w w:val="99"/>
              </w:rPr>
              <w:t>(5)(6)</w:t>
            </w:r>
          </w:p>
        </w:tc>
        <w:tc>
          <w:tcPr>
            <w:tcW w:w="380" w:type="dxa"/>
            <w:vAlign w:val="bottom"/>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gridSpan w:val="2"/>
          </w:tcPr>
          <w:p>
            <w:pPr>
              <w:jc w:val="center"/>
              <w:ind w:left="32"/>
              <w:spacing w:after="0" w:line="213" w:lineRule="exact"/>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121.132</w:t>
            </w:r>
            <w:r>
              <w:rPr>
                <w:rFonts w:ascii="Arial" w:cs="Arial" w:eastAsia="Arial" w:hAnsi="Arial"/>
                <w:sz w:val="22"/>
                <w:szCs w:val="22"/>
                <w:color w:val="008000"/>
                <w:w w:val="90"/>
                <w:vertAlign w:val="superscript"/>
              </w:rPr>
              <w:t>(7)</w:t>
            </w:r>
          </w:p>
        </w:tc>
        <w:tc>
          <w:tcPr>
            <w:tcW w:w="1200" w:type="dxa"/>
            <w:vAlign w:val="bottom"/>
            <w:gridSpan w:val="3"/>
          </w:tcPr>
          <w:p>
            <w:pPr>
              <w:jc w:val="center"/>
              <w:spacing w:after="0"/>
              <w:rPr>
                <w:sz w:val="20"/>
                <w:szCs w:val="20"/>
                <w:color w:val="auto"/>
              </w:rPr>
            </w:pPr>
            <w:r>
              <w:rPr>
                <w:rFonts w:ascii="Arial" w:cs="Arial" w:eastAsia="Arial" w:hAnsi="Arial"/>
                <w:sz w:val="17"/>
                <w:szCs w:val="17"/>
                <w:color w:val="0000FF"/>
                <w:w w:val="91"/>
              </w:rPr>
              <w:t>327,970</w:t>
            </w:r>
          </w:p>
        </w:tc>
        <w:tc>
          <w:tcPr>
            <w:tcW w:w="340" w:type="dxa"/>
            <w:vAlign w:val="bottom"/>
          </w:tcPr>
          <w:p>
            <w:pPr>
              <w:spacing w:after="0"/>
              <w:rPr>
                <w:sz w:val="18"/>
                <w:szCs w:val="18"/>
                <w:color w:val="auto"/>
              </w:rPr>
            </w:pPr>
          </w:p>
        </w:tc>
        <w:tc>
          <w:tcPr>
            <w:tcW w:w="520" w:type="dxa"/>
            <w:vAlign w:val="bottom"/>
          </w:tcPr>
          <w:p>
            <w:pPr>
              <w:jc w:val="center"/>
              <w:ind w:right="326"/>
              <w:spacing w:after="0"/>
              <w:rPr>
                <w:sz w:val="20"/>
                <w:szCs w:val="20"/>
                <w:color w:val="auto"/>
              </w:rPr>
            </w:pPr>
            <w:r>
              <w:rPr>
                <w:rFonts w:ascii="Arial" w:cs="Arial" w:eastAsia="Arial" w:hAnsi="Arial"/>
                <w:sz w:val="17"/>
                <w:szCs w:val="17"/>
                <w:color w:val="0000FF"/>
                <w:w w:val="83"/>
              </w:rPr>
              <w:t>I</w:t>
            </w: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Media</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Corporation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04/13/2023</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center"/>
              <w:ind w:right="2"/>
              <w:spacing w:after="0" w:line="213" w:lineRule="exact"/>
              <w:rPr>
                <w:sz w:val="20"/>
                <w:szCs w:val="20"/>
                <w:color w:val="auto"/>
              </w:rPr>
            </w:pPr>
            <w:r>
              <w:rPr>
                <w:rFonts w:ascii="Arial" w:cs="Arial" w:eastAsia="Arial" w:hAnsi="Arial"/>
                <w:sz w:val="24"/>
                <w:szCs w:val="24"/>
                <w:color w:val="0000FF"/>
                <w:w w:val="91"/>
                <w:vertAlign w:val="subscript"/>
              </w:rPr>
              <w:t>S</w:t>
            </w:r>
            <w:r>
              <w:rPr>
                <w:rFonts w:ascii="Arial" w:cs="Arial" w:eastAsia="Arial" w:hAnsi="Arial"/>
                <w:sz w:val="11"/>
                <w:szCs w:val="11"/>
                <w:color w:val="008000"/>
                <w:w w:val="91"/>
              </w:rPr>
              <w:t>(4)</w:t>
            </w:r>
          </w:p>
        </w:tc>
        <w:tc>
          <w:tcPr>
            <w:tcW w:w="360" w:type="dxa"/>
            <w:vAlign w:val="bottom"/>
          </w:tcPr>
          <w:p>
            <w:pPr>
              <w:spacing w:after="0"/>
              <w:rPr>
                <w:sz w:val="18"/>
                <w:szCs w:val="18"/>
                <w:color w:val="auto"/>
              </w:rPr>
            </w:pPr>
          </w:p>
        </w:tc>
        <w:tc>
          <w:tcPr>
            <w:tcW w:w="860" w:type="dxa"/>
            <w:vAlign w:val="bottom"/>
          </w:tcPr>
          <w:p>
            <w:pPr>
              <w:jc w:val="center"/>
              <w:spacing w:after="0" w:line="213" w:lineRule="exact"/>
              <w:rPr>
                <w:sz w:val="20"/>
                <w:szCs w:val="20"/>
                <w:color w:val="auto"/>
              </w:rPr>
            </w:pPr>
            <w:r>
              <w:rPr>
                <w:rFonts w:ascii="Arial" w:cs="Arial" w:eastAsia="Arial" w:hAnsi="Arial"/>
                <w:sz w:val="24"/>
                <w:szCs w:val="24"/>
                <w:color w:val="0000FF"/>
                <w:vertAlign w:val="subscript"/>
              </w:rPr>
              <w:t>61,392</w:t>
            </w:r>
            <w:r>
              <w:rPr>
                <w:rFonts w:ascii="Arial" w:cs="Arial" w:eastAsia="Arial" w:hAnsi="Arial"/>
                <w:sz w:val="10"/>
                <w:szCs w:val="10"/>
                <w:color w:val="008000"/>
              </w:rPr>
              <w:t>(5)(6)</w:t>
            </w:r>
          </w:p>
        </w:tc>
        <w:tc>
          <w:tcPr>
            <w:tcW w:w="380" w:type="dxa"/>
            <w:vAlign w:val="bottom"/>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gridSpan w:val="2"/>
          </w:tcPr>
          <w:p>
            <w:pPr>
              <w:jc w:val="center"/>
              <w:ind w:left="32"/>
              <w:spacing w:after="0" w:line="213" w:lineRule="exact"/>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122.1238</w:t>
            </w:r>
            <w:r>
              <w:rPr>
                <w:rFonts w:ascii="Arial" w:cs="Arial" w:eastAsia="Arial" w:hAnsi="Arial"/>
                <w:sz w:val="22"/>
                <w:szCs w:val="22"/>
                <w:color w:val="008000"/>
                <w:w w:val="89"/>
                <w:vertAlign w:val="superscript"/>
              </w:rPr>
              <w:t>(8)</w:t>
            </w:r>
          </w:p>
        </w:tc>
        <w:tc>
          <w:tcPr>
            <w:tcW w:w="1200" w:type="dxa"/>
            <w:vAlign w:val="bottom"/>
            <w:gridSpan w:val="3"/>
          </w:tcPr>
          <w:p>
            <w:pPr>
              <w:jc w:val="center"/>
              <w:spacing w:after="0"/>
              <w:rPr>
                <w:sz w:val="20"/>
                <w:szCs w:val="20"/>
                <w:color w:val="auto"/>
              </w:rPr>
            </w:pPr>
            <w:r>
              <w:rPr>
                <w:rFonts w:ascii="Arial" w:cs="Arial" w:eastAsia="Arial" w:hAnsi="Arial"/>
                <w:sz w:val="17"/>
                <w:szCs w:val="17"/>
                <w:color w:val="0000FF"/>
                <w:w w:val="91"/>
              </w:rPr>
              <w:t>266,578</w:t>
            </w:r>
          </w:p>
        </w:tc>
        <w:tc>
          <w:tcPr>
            <w:tcW w:w="340" w:type="dxa"/>
            <w:vAlign w:val="bottom"/>
          </w:tcPr>
          <w:p>
            <w:pPr>
              <w:spacing w:after="0"/>
              <w:rPr>
                <w:sz w:val="18"/>
                <w:szCs w:val="18"/>
                <w:color w:val="auto"/>
              </w:rPr>
            </w:pPr>
          </w:p>
        </w:tc>
        <w:tc>
          <w:tcPr>
            <w:tcW w:w="520" w:type="dxa"/>
            <w:vAlign w:val="bottom"/>
          </w:tcPr>
          <w:p>
            <w:pPr>
              <w:jc w:val="center"/>
              <w:ind w:right="326"/>
              <w:spacing w:after="0"/>
              <w:rPr>
                <w:sz w:val="20"/>
                <w:szCs w:val="20"/>
                <w:color w:val="auto"/>
              </w:rPr>
            </w:pPr>
            <w:r>
              <w:rPr>
                <w:rFonts w:ascii="Arial" w:cs="Arial" w:eastAsia="Arial" w:hAnsi="Arial"/>
                <w:sz w:val="17"/>
                <w:szCs w:val="17"/>
                <w:color w:val="0000FF"/>
                <w:w w:val="83"/>
              </w:rPr>
              <w:t>I</w:t>
            </w: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Media</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Corporation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04/13/2023</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center"/>
              <w:ind w:right="2"/>
              <w:spacing w:after="0" w:line="213" w:lineRule="exact"/>
              <w:rPr>
                <w:sz w:val="20"/>
                <w:szCs w:val="20"/>
                <w:color w:val="auto"/>
              </w:rPr>
            </w:pPr>
            <w:r>
              <w:rPr>
                <w:rFonts w:ascii="Arial" w:cs="Arial" w:eastAsia="Arial" w:hAnsi="Arial"/>
                <w:sz w:val="24"/>
                <w:szCs w:val="24"/>
                <w:color w:val="0000FF"/>
                <w:w w:val="91"/>
                <w:vertAlign w:val="subscript"/>
              </w:rPr>
              <w:t>S</w:t>
            </w:r>
            <w:r>
              <w:rPr>
                <w:rFonts w:ascii="Arial" w:cs="Arial" w:eastAsia="Arial" w:hAnsi="Arial"/>
                <w:sz w:val="11"/>
                <w:szCs w:val="11"/>
                <w:color w:val="008000"/>
                <w:w w:val="91"/>
              </w:rPr>
              <w:t>(4)</w:t>
            </w:r>
          </w:p>
        </w:tc>
        <w:tc>
          <w:tcPr>
            <w:tcW w:w="360" w:type="dxa"/>
            <w:vAlign w:val="bottom"/>
          </w:tcPr>
          <w:p>
            <w:pPr>
              <w:spacing w:after="0"/>
              <w:rPr>
                <w:sz w:val="18"/>
                <w:szCs w:val="18"/>
                <w:color w:val="auto"/>
              </w:rPr>
            </w:pPr>
          </w:p>
        </w:tc>
        <w:tc>
          <w:tcPr>
            <w:tcW w:w="860" w:type="dxa"/>
            <w:vAlign w:val="bottom"/>
          </w:tcPr>
          <w:p>
            <w:pPr>
              <w:jc w:val="center"/>
              <w:spacing w:after="0" w:line="213" w:lineRule="exact"/>
              <w:rPr>
                <w:sz w:val="20"/>
                <w:szCs w:val="20"/>
                <w:color w:val="auto"/>
              </w:rPr>
            </w:pPr>
            <w:r>
              <w:rPr>
                <w:rFonts w:ascii="Arial" w:cs="Arial" w:eastAsia="Arial" w:hAnsi="Arial"/>
                <w:sz w:val="24"/>
                <w:szCs w:val="24"/>
                <w:color w:val="0000FF"/>
                <w:w w:val="99"/>
                <w:vertAlign w:val="subscript"/>
              </w:rPr>
              <w:t>3,900</w:t>
            </w:r>
            <w:r>
              <w:rPr>
                <w:rFonts w:ascii="Arial" w:cs="Arial" w:eastAsia="Arial" w:hAnsi="Arial"/>
                <w:sz w:val="10"/>
                <w:szCs w:val="10"/>
                <w:color w:val="008000"/>
                <w:w w:val="99"/>
              </w:rPr>
              <w:t>(5)(6)</w:t>
            </w:r>
          </w:p>
        </w:tc>
        <w:tc>
          <w:tcPr>
            <w:tcW w:w="380" w:type="dxa"/>
            <w:vAlign w:val="bottom"/>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gridSpan w:val="2"/>
          </w:tcPr>
          <w:p>
            <w:pPr>
              <w:jc w:val="center"/>
              <w:ind w:left="32"/>
              <w:spacing w:after="0" w:line="213" w:lineRule="exact"/>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122.8685</w:t>
            </w:r>
            <w:r>
              <w:rPr>
                <w:rFonts w:ascii="Arial" w:cs="Arial" w:eastAsia="Arial" w:hAnsi="Arial"/>
                <w:sz w:val="22"/>
                <w:szCs w:val="22"/>
                <w:color w:val="008000"/>
                <w:w w:val="89"/>
                <w:vertAlign w:val="superscript"/>
              </w:rPr>
              <w:t>(9)</w:t>
            </w:r>
          </w:p>
        </w:tc>
        <w:tc>
          <w:tcPr>
            <w:tcW w:w="1200" w:type="dxa"/>
            <w:vAlign w:val="bottom"/>
            <w:gridSpan w:val="3"/>
          </w:tcPr>
          <w:p>
            <w:pPr>
              <w:jc w:val="center"/>
              <w:spacing w:after="0"/>
              <w:rPr>
                <w:sz w:val="20"/>
                <w:szCs w:val="20"/>
                <w:color w:val="auto"/>
              </w:rPr>
            </w:pPr>
            <w:r>
              <w:rPr>
                <w:rFonts w:ascii="Arial" w:cs="Arial" w:eastAsia="Arial" w:hAnsi="Arial"/>
                <w:sz w:val="17"/>
                <w:szCs w:val="17"/>
                <w:color w:val="0000FF"/>
                <w:w w:val="91"/>
              </w:rPr>
              <w:t>262,678</w:t>
            </w:r>
          </w:p>
        </w:tc>
        <w:tc>
          <w:tcPr>
            <w:tcW w:w="340" w:type="dxa"/>
            <w:vAlign w:val="bottom"/>
          </w:tcPr>
          <w:p>
            <w:pPr>
              <w:spacing w:after="0"/>
              <w:rPr>
                <w:sz w:val="18"/>
                <w:szCs w:val="18"/>
                <w:color w:val="auto"/>
              </w:rPr>
            </w:pPr>
          </w:p>
        </w:tc>
        <w:tc>
          <w:tcPr>
            <w:tcW w:w="520" w:type="dxa"/>
            <w:vAlign w:val="bottom"/>
          </w:tcPr>
          <w:p>
            <w:pPr>
              <w:jc w:val="center"/>
              <w:ind w:right="326"/>
              <w:spacing w:after="0"/>
              <w:rPr>
                <w:sz w:val="20"/>
                <w:szCs w:val="20"/>
                <w:color w:val="auto"/>
              </w:rPr>
            </w:pPr>
            <w:r>
              <w:rPr>
                <w:rFonts w:ascii="Arial" w:cs="Arial" w:eastAsia="Arial" w:hAnsi="Arial"/>
                <w:sz w:val="17"/>
                <w:szCs w:val="17"/>
                <w:color w:val="0000FF"/>
                <w:w w:val="83"/>
              </w:rPr>
              <w:t>I</w:t>
            </w: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Media</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Corporation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04/13/2023</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center"/>
              <w:ind w:right="2"/>
              <w:spacing w:after="0" w:line="213" w:lineRule="exact"/>
              <w:rPr>
                <w:sz w:val="20"/>
                <w:szCs w:val="20"/>
                <w:color w:val="auto"/>
              </w:rPr>
            </w:pPr>
            <w:r>
              <w:rPr>
                <w:rFonts w:ascii="Arial" w:cs="Arial" w:eastAsia="Arial" w:hAnsi="Arial"/>
                <w:sz w:val="24"/>
                <w:szCs w:val="24"/>
                <w:color w:val="0000FF"/>
                <w:w w:val="79"/>
                <w:vertAlign w:val="subscript"/>
              </w:rPr>
              <w:t>J</w:t>
            </w:r>
            <w:r>
              <w:rPr>
                <w:rFonts w:ascii="Arial" w:cs="Arial" w:eastAsia="Arial" w:hAnsi="Arial"/>
                <w:sz w:val="11"/>
                <w:szCs w:val="11"/>
                <w:color w:val="008000"/>
                <w:w w:val="79"/>
              </w:rPr>
              <w:t>(10)</w:t>
            </w:r>
          </w:p>
        </w:tc>
        <w:tc>
          <w:tcPr>
            <w:tcW w:w="360" w:type="dxa"/>
            <w:vAlign w:val="bottom"/>
          </w:tcPr>
          <w:p>
            <w:pPr>
              <w:spacing w:after="0"/>
              <w:rPr>
                <w:sz w:val="18"/>
                <w:szCs w:val="18"/>
                <w:color w:val="auto"/>
              </w:rPr>
            </w:pPr>
          </w:p>
        </w:tc>
        <w:tc>
          <w:tcPr>
            <w:tcW w:w="860" w:type="dxa"/>
            <w:vAlign w:val="bottom"/>
          </w:tcPr>
          <w:p>
            <w:pPr>
              <w:jc w:val="center"/>
              <w:spacing w:after="0" w:line="213" w:lineRule="exact"/>
              <w:rPr>
                <w:sz w:val="20"/>
                <w:szCs w:val="20"/>
                <w:color w:val="auto"/>
              </w:rPr>
            </w:pPr>
            <w:r>
              <w:rPr>
                <w:rFonts w:ascii="Arial" w:cs="Arial" w:eastAsia="Arial" w:hAnsi="Arial"/>
                <w:sz w:val="17"/>
                <w:szCs w:val="17"/>
                <w:color w:val="0000FF"/>
                <w:w w:val="84"/>
              </w:rPr>
              <w:t>65,665</w:t>
            </w:r>
            <w:r>
              <w:rPr>
                <w:rFonts w:ascii="Arial" w:cs="Arial" w:eastAsia="Arial" w:hAnsi="Arial"/>
                <w:sz w:val="22"/>
                <w:szCs w:val="22"/>
                <w:color w:val="008000"/>
                <w:w w:val="84"/>
                <w:vertAlign w:val="superscript"/>
              </w:rPr>
              <w:t>(10)</w:t>
            </w:r>
          </w:p>
        </w:tc>
        <w:tc>
          <w:tcPr>
            <w:tcW w:w="380" w:type="dxa"/>
            <w:vAlign w:val="bottom"/>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Pr>
          <w:p>
            <w:pPr>
              <w:jc w:val="center"/>
              <w:ind w:left="13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Pr>
          <w:p>
            <w:pPr>
              <w:spacing w:after="0"/>
              <w:rPr>
                <w:sz w:val="18"/>
                <w:szCs w:val="18"/>
                <w:color w:val="auto"/>
              </w:rPr>
            </w:pPr>
          </w:p>
        </w:tc>
        <w:tc>
          <w:tcPr>
            <w:tcW w:w="1200" w:type="dxa"/>
            <w:vAlign w:val="bottom"/>
            <w:gridSpan w:val="3"/>
          </w:tcPr>
          <w:p>
            <w:pPr>
              <w:jc w:val="center"/>
              <w:spacing w:after="0" w:line="213" w:lineRule="exact"/>
              <w:rPr>
                <w:sz w:val="20"/>
                <w:szCs w:val="20"/>
                <w:color w:val="auto"/>
              </w:rPr>
            </w:pPr>
            <w:r>
              <w:rPr>
                <w:rFonts w:ascii="Arial" w:cs="Arial" w:eastAsia="Arial" w:hAnsi="Arial"/>
                <w:sz w:val="17"/>
                <w:szCs w:val="17"/>
                <w:color w:val="0000FF"/>
                <w:w w:val="86"/>
              </w:rPr>
              <w:t>197,013</w:t>
            </w:r>
            <w:r>
              <w:rPr>
                <w:rFonts w:ascii="Arial" w:cs="Arial" w:eastAsia="Arial" w:hAnsi="Arial"/>
                <w:sz w:val="22"/>
                <w:szCs w:val="22"/>
                <w:color w:val="008000"/>
                <w:w w:val="86"/>
                <w:vertAlign w:val="superscript"/>
              </w:rPr>
              <w:t>(11)</w:t>
            </w:r>
          </w:p>
        </w:tc>
        <w:tc>
          <w:tcPr>
            <w:tcW w:w="340" w:type="dxa"/>
            <w:vAlign w:val="bottom"/>
          </w:tcPr>
          <w:p>
            <w:pPr>
              <w:spacing w:after="0"/>
              <w:rPr>
                <w:sz w:val="18"/>
                <w:szCs w:val="18"/>
                <w:color w:val="auto"/>
              </w:rPr>
            </w:pPr>
          </w:p>
        </w:tc>
        <w:tc>
          <w:tcPr>
            <w:tcW w:w="520" w:type="dxa"/>
            <w:vAlign w:val="bottom"/>
          </w:tcPr>
          <w:p>
            <w:pPr>
              <w:jc w:val="center"/>
              <w:ind w:right="326"/>
              <w:spacing w:after="0"/>
              <w:rPr>
                <w:sz w:val="20"/>
                <w:szCs w:val="20"/>
                <w:color w:val="auto"/>
              </w:rPr>
            </w:pPr>
            <w:r>
              <w:rPr>
                <w:rFonts w:ascii="Arial" w:cs="Arial" w:eastAsia="Arial" w:hAnsi="Arial"/>
                <w:sz w:val="17"/>
                <w:szCs w:val="17"/>
                <w:color w:val="0000FF"/>
                <w:w w:val="83"/>
              </w:rPr>
              <w:t>I</w:t>
            </w: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Media</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Corporation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04/13/2023</w:t>
            </w:r>
          </w:p>
        </w:tc>
        <w:tc>
          <w:tcPr>
            <w:tcW w:w="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2"/>
              <w:spacing w:after="0"/>
              <w:rPr>
                <w:sz w:val="20"/>
                <w:szCs w:val="20"/>
                <w:color w:val="auto"/>
              </w:rPr>
            </w:pPr>
            <w:r>
              <w:rPr>
                <w:rFonts w:ascii="Arial" w:cs="Arial" w:eastAsia="Arial" w:hAnsi="Arial"/>
                <w:sz w:val="26"/>
                <w:szCs w:val="26"/>
                <w:color w:val="0000FF"/>
                <w:w w:val="77"/>
                <w:vertAlign w:val="subscript"/>
              </w:rPr>
              <w:t>J</w:t>
            </w:r>
            <w:r>
              <w:rPr>
                <w:rFonts w:ascii="Arial" w:cs="Arial" w:eastAsia="Arial" w:hAnsi="Arial"/>
                <w:sz w:val="11"/>
                <w:szCs w:val="11"/>
                <w:color w:val="008000"/>
                <w:w w:val="77"/>
              </w:rPr>
              <w:t>(10)</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12,914</w:t>
            </w:r>
            <w:r>
              <w:rPr>
                <w:rFonts w:ascii="Arial" w:cs="Arial" w:eastAsia="Arial" w:hAnsi="Arial"/>
                <w:sz w:val="22"/>
                <w:szCs w:val="22"/>
                <w:color w:val="008000"/>
                <w:w w:val="84"/>
                <w:vertAlign w:val="superscript"/>
              </w:rPr>
              <w:t>(12)</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9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12,914</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26"/>
              <w:spacing w:after="0"/>
              <w:rPr>
                <w:sz w:val="20"/>
                <w:szCs w:val="20"/>
                <w:color w:val="auto"/>
              </w:rPr>
            </w:pPr>
            <w:r>
              <w:rPr>
                <w:rFonts w:ascii="Arial" w:cs="Arial" w:eastAsia="Arial" w:hAnsi="Arial"/>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By ZMC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spacing w:after="0" w:line="213" w:lineRule="exact"/>
              <w:rPr>
                <w:sz w:val="20"/>
                <w:szCs w:val="20"/>
                <w:color w:val="auto"/>
              </w:rPr>
            </w:pPr>
            <w:r>
              <w:rPr>
                <w:rFonts w:ascii="Arial" w:cs="Arial" w:eastAsia="Arial" w:hAnsi="Arial"/>
                <w:sz w:val="17"/>
                <w:szCs w:val="17"/>
                <w:color w:val="0000FF"/>
                <w:w w:val="86"/>
              </w:rPr>
              <w:t>675,684</w:t>
            </w:r>
            <w:r>
              <w:rPr>
                <w:rFonts w:ascii="Arial" w:cs="Arial" w:eastAsia="Arial" w:hAnsi="Arial"/>
                <w:sz w:val="22"/>
                <w:szCs w:val="22"/>
                <w:color w:val="008000"/>
                <w:w w:val="86"/>
                <w:vertAlign w:val="superscript"/>
              </w:rPr>
              <w:t>(13)</w:t>
            </w:r>
          </w:p>
        </w:tc>
        <w:tc>
          <w:tcPr>
            <w:tcW w:w="340" w:type="dxa"/>
            <w:vAlign w:val="bottom"/>
          </w:tcPr>
          <w:p>
            <w:pPr>
              <w:spacing w:after="0"/>
              <w:rPr>
                <w:sz w:val="18"/>
                <w:szCs w:val="18"/>
                <w:color w:val="auto"/>
              </w:rPr>
            </w:pPr>
          </w:p>
        </w:tc>
        <w:tc>
          <w:tcPr>
            <w:tcW w:w="520" w:type="dxa"/>
            <w:vAlign w:val="bottom"/>
          </w:tcPr>
          <w:p>
            <w:pPr>
              <w:jc w:val="center"/>
              <w:ind w:right="326"/>
              <w:spacing w:after="0"/>
              <w:rPr>
                <w:sz w:val="20"/>
                <w:szCs w:val="20"/>
                <w:color w:val="auto"/>
              </w:rPr>
            </w:pPr>
            <w:r>
              <w:rPr>
                <w:rFonts w:ascii="Arial" w:cs="Arial" w:eastAsia="Arial" w:hAnsi="Arial"/>
                <w:sz w:val="17"/>
                <w:szCs w:val="17"/>
                <w:color w:val="0000FF"/>
                <w:w w:val="83"/>
              </w:rPr>
              <w:t>I</w:t>
            </w: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7"/>
                <w:szCs w:val="17"/>
                <w:color w:val="0000FF"/>
                <w:w w:val="85"/>
              </w:rPr>
              <w:t>L.P.</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4"/>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20" w:type="dxa"/>
            <w:vAlign w:val="bottom"/>
            <w:gridSpan w:val="10"/>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24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41"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EXPLANATORY NOTE: This Form 4 relates to (i) the vesting of 134,016 restricted units previously granted to ZelnickMedia Corporation ("ZelnickMedia") on April 13, 2021 under the Management Agreement, dated effective January 1, 2018, between the issuer and ZelnickMedia (the "Management Agreement"), and the sale of shares of Common Stock by ZelnickMedia, including in order to satisfy the tax obligations arising from such vesting, pursuant to a Rule 10b5-1 trading plan adopted on December 7, 2022 by ZelnickMedia, (ii) the forfeiture of 40,985 performance-based restricted units previously granted to ZelnickMedia on April 13, 2021 under the Management Agreement due to the failure to meet certain performance conditions, and (iii) the distribution by ZelnickMedia to certain of its employees of 65,665 shares of Common Stock received by ZelnickMedia upon such vesting in accordance with the customary historical practices of ZelnickMedia, in each case as further described below.</w:t>
      </w:r>
    </w:p>
    <w:p>
      <w:pPr>
        <w:spacing w:after="0" w:line="32"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forfeiture of 40,985 performance-based restricted units previously granted to ZelnickMedia on April 13, 2021 due to the failure to meet certain performance conditions.</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197,013 restricted units and 134,016 shares of Common Stock held directly by ZelnickMedia (in each case after giving effect to the forfeiture and vesting described in footnote (2) above and footnote (6) below), of which Mr. Slatoff is a partner (and such securities are not held individually by Mr. Slatoff). Mr. Slatoff disclaims beneficial ownership of the securities held by ZelnickMedia except to the extent of his pecuniary interest therein.</w:t>
      </w:r>
    </w:p>
    <w:p>
      <w:pPr>
        <w:spacing w:after="0" w:line="25" w:lineRule="exact"/>
        <w:rPr>
          <w:rFonts w:ascii="Arial" w:cs="Arial" w:eastAsia="Arial" w:hAnsi="Arial"/>
          <w:sz w:val="13"/>
          <w:szCs w:val="13"/>
          <w:color w:val="008000"/>
        </w:rPr>
      </w:pPr>
    </w:p>
    <w:p>
      <w:pPr>
        <w:jc w:val="both"/>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of the sales reported in this Form 4 were made pursuant to a Rule 10b5-1 trading plan adopted on December 7, 2022 by ZelnickMedia in relation to the vesting of restricted units granted pursuant to the Management Agreement. Such plan was entered into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p>
      <w:pPr>
        <w:sectPr>
          <w:pgSz w:w="11900" w:h="16935" w:orient="portrait"/>
          <w:cols w:equalWidth="0" w:num="1">
            <w:col w:w="11080"/>
          </w:cols>
          <w:pgMar w:left="460" w:top="225" w:right="359" w:bottom="0" w:gutter="0" w:footer="0" w:header="0"/>
          <w:type w:val="continuous"/>
        </w:sectPr>
      </w:pPr>
    </w:p>
    <w:bookmarkStart w:id="1" w:name="page2"/>
    <w:bookmarkEnd w:id="1"/>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transactions are reported on separate lines due to the range of the sale prices.</w:t>
      </w:r>
    </w:p>
    <w:p>
      <w:pPr>
        <w:spacing w:after="0" w:line="50" w:lineRule="exact"/>
        <w:rPr>
          <w:rFonts w:ascii="Arial" w:cs="Arial" w:eastAsia="Arial" w:hAnsi="Arial"/>
          <w:sz w:val="13"/>
          <w:szCs w:val="13"/>
          <w:color w:val="008000"/>
        </w:rPr>
      </w:pPr>
    </w:p>
    <w:p>
      <w:pPr>
        <w:ind w:right="26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April 13, 2023, 134,016 restricted units previously granted to ZelnickMedia vested. The reported sale transactions were effected pursuant to a Rule 10b5-1 trading plan adopted on December 7, 2022 by ZelnickMedia, including to satisfy the tax obligations of the partners of ZelnickMedia upon the vesting of such restricted units.</w:t>
      </w:r>
    </w:p>
    <w:p>
      <w:pPr>
        <w:spacing w:after="0" w:line="15" w:lineRule="exact"/>
        <w:rPr>
          <w:rFonts w:ascii="Arial" w:cs="Arial" w:eastAsia="Arial" w:hAnsi="Arial"/>
          <w:sz w:val="13"/>
          <w:szCs w:val="13"/>
          <w:color w:val="008000"/>
        </w:rPr>
      </w:pPr>
    </w:p>
    <w:p>
      <w:pPr>
        <w:ind w:right="14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$120.70 to $121.51,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right="14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$121.75 to $122.74,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right="140"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$122.76 to $122.98,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right="60" w:firstLine="7"/>
        <w:spacing w:after="0" w:line="266"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April 13, 2023, 134,016 restricted units previously granted to ZelnickMedia vested. Following such vest, ZelnickMedia distributed a total of 65,665 shares received upon vesting to its employees, including 12,914 shares to Mr. Slatoff, which shares Mr. Slatoff had previously indirectly beneficially owned through ZelnickMedia.</w:t>
      </w:r>
    </w:p>
    <w:p>
      <w:pPr>
        <w:spacing w:after="0" w:line="15" w:lineRule="exact"/>
        <w:rPr>
          <w:rFonts w:ascii="Arial" w:cs="Arial" w:eastAsia="Arial" w:hAnsi="Arial"/>
          <w:sz w:val="13"/>
          <w:szCs w:val="13"/>
          <w:color w:val="008000"/>
        </w:rPr>
      </w:pPr>
    </w:p>
    <w:p>
      <w:pPr>
        <w:ind w:firstLine="7"/>
        <w:spacing w:after="0" w:line="266"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197,013 restricted units held directly by ZelnickMedia, of which Mr. Slatoff is a partner (such securities are not held individually by Mr. Slatoff). Mr. Slatoff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right="20" w:firstLine="7"/>
        <w:spacing w:after="0" w:line="266"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Mr. Slatoff received 12,914 shares pursuant to a distribution, as further described in Footnote (10) above, which receipt was exempt from Section 16 as such shares were previously held by Mr. Slatoff indirectly through ZelnickMedia.</w:t>
      </w:r>
    </w:p>
    <w:p>
      <w:pPr>
        <w:spacing w:after="0" w:line="15" w:lineRule="exact"/>
        <w:rPr>
          <w:rFonts w:ascii="Arial" w:cs="Arial" w:eastAsia="Arial" w:hAnsi="Arial"/>
          <w:sz w:val="13"/>
          <w:szCs w:val="13"/>
          <w:color w:val="008000"/>
        </w:rPr>
      </w:pPr>
    </w:p>
    <w:p>
      <w:pPr>
        <w:ind w:right="260" w:firstLine="7"/>
        <w:spacing w:after="0" w:line="266"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675,684 restricted units held directly by ZMC Advisors, L.P., of which Mr. Slatoff is a partner (such securities are not held individually by Mr. Slatoff). Mr. Slatoff disclaims beneficial ownership of the securities held by ZMC Advisors, L.P. except to the extent of his pecuniary interest therein.</w:t>
      </w:r>
    </w:p>
    <w:p>
      <w:pPr>
        <w:spacing w:after="0" w:line="2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Karl Slatoff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04/17/2023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8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27810"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2023-04-17T16:31:07Z</dcterms:created>
  <dcterms:modified xsi:type="dcterms:W3CDTF">2023-04-17T16:31:07Z</dcterms:modified>
</cp:coreProperties>
</file>