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HERNANDEZ ROLAND A</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SOFTWARE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118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02/14/2023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5"/>
                <w:szCs w:val="15"/>
                <w:color w:val="auto"/>
              </w:rPr>
            </w:pPr>
          </w:p>
        </w:tc>
        <w:tc>
          <w:tcPr>
            <w:tcW w:w="168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ind w:left="920"/>
              <w:spacing w:after="0"/>
              <w:rPr>
                <w:sz w:val="20"/>
                <w:szCs w:val="20"/>
                <w:color w:val="auto"/>
              </w:rPr>
            </w:pPr>
            <w:r>
              <w:rPr>
                <w:rFonts w:ascii="Times New Roman" w:cs="Times New Roman" w:eastAsia="Times New Roman" w:hAnsi="Times New Roman"/>
                <w:sz w:val="17"/>
                <w:szCs w:val="17"/>
                <w:color w:val="0000FF"/>
              </w:rPr>
              <w:t>02/14/2023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519</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6,215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gridSpan w:val="17"/>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6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February 14, 2023; and (ii) the number of shares were determined based on the dollar value of the award and the average of the closing prices of the common stock on the thirty trading days prior to February 14, 2023 (the "Pricing Date"), the fifth trading day following the filing of the Issuer's Quarterly Report on Form 10-Q.</w:t>
      </w: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5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Mr. Roland A.</w:t>
      </w:r>
      <w:r>
        <w:rPr>
          <w:sz w:val="20"/>
          <w:szCs w:val="20"/>
          <w:color w:val="auto"/>
        </w:rPr>
        <w:tab/>
      </w:r>
      <w:r>
        <w:rPr>
          <w:rFonts w:ascii="Times New Roman" w:cs="Times New Roman" w:eastAsia="Times New Roman" w:hAnsi="Times New Roman"/>
          <w:sz w:val="17"/>
          <w:szCs w:val="17"/>
          <w:color w:val="0000FF"/>
        </w:rPr>
        <w:t>02/16/2023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6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4703"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2023-02-16T15:51:20Z</dcterms:created>
  <dcterms:modified xsi:type="dcterms:W3CDTF">2023-02-16T15:51:20Z</dcterms:modified>
</cp:coreProperties>
</file>