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April 13, 2021</w:t>
      </w:r>
    </w:p>
    <w:p>
      <w:pPr>
        <w:spacing w:after="0" w:line="225" w:lineRule="exact"/>
        <w:rPr>
          <w:sz w:val="24"/>
          <w:szCs w:val="24"/>
          <w:color w:val="auto"/>
        </w:rPr>
      </w:pPr>
    </w:p>
    <w:p>
      <w:pPr>
        <w:ind w:left="92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S-3</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ACT OF 1933</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TAKE-TWO INTERACTIVE SOFTWARE, INC.</w:t>
      </w:r>
    </w:p>
    <w:p>
      <w:pPr>
        <w:spacing w:after="0" w:line="39" w:lineRule="exact"/>
        <w:rPr>
          <w:sz w:val="24"/>
          <w:szCs w:val="24"/>
          <w:color w:val="auto"/>
        </w:rPr>
      </w:pPr>
    </w:p>
    <w:tbl>
      <w:tblPr>
        <w:tblLayout w:type="fixed"/>
        <w:tblInd w:w="1740" w:type="dxa"/>
        <w:tblCellMar>
          <w:top w:w="0" w:type="dxa"/>
          <w:left w:w="0" w:type="dxa"/>
          <w:bottom w:w="0" w:type="dxa"/>
          <w:right w:w="0" w:type="dxa"/>
        </w:tblCellMar>
      </w:tblPr>
      <w:tr>
        <w:trPr>
          <w:trHeight w:val="230"/>
        </w:trPr>
        <w:tc>
          <w:tcPr>
            <w:tcW w:w="5800" w:type="dxa"/>
            <w:vAlign w:val="bottom"/>
          </w:tcPr>
          <w:p>
            <w:pPr>
              <w:ind w:left="2020"/>
              <w:spacing w:after="0"/>
              <w:rPr>
                <w:sz w:val="20"/>
                <w:szCs w:val="20"/>
                <w:color w:val="auto"/>
              </w:rPr>
            </w:pPr>
            <w:r>
              <w:rPr>
                <w:rFonts w:ascii="Arial" w:cs="Arial" w:eastAsia="Arial" w:hAnsi="Arial"/>
                <w:sz w:val="18"/>
                <w:szCs w:val="18"/>
                <w:color w:val="auto"/>
                <w:w w:val="91"/>
              </w:rPr>
              <w:t>(Exact name of registrant as specified in its charter)</w:t>
            </w:r>
          </w:p>
        </w:tc>
        <w:tc>
          <w:tcPr>
            <w:tcW w:w="1720" w:type="dxa"/>
            <w:vAlign w:val="bottom"/>
          </w:tcPr>
          <w:p>
            <w:pPr>
              <w:spacing w:after="0"/>
              <w:rPr>
                <w:sz w:val="20"/>
                <w:szCs w:val="20"/>
                <w:color w:val="auto"/>
              </w:rPr>
            </w:pPr>
          </w:p>
        </w:tc>
      </w:tr>
      <w:tr>
        <w:trPr>
          <w:trHeight w:val="402"/>
        </w:trPr>
        <w:tc>
          <w:tcPr>
            <w:tcW w:w="5800" w:type="dxa"/>
            <w:vAlign w:val="bottom"/>
          </w:tcPr>
          <w:p>
            <w:pPr>
              <w:jc w:val="center"/>
              <w:ind w:right="3550"/>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51-0350842</w:t>
            </w:r>
          </w:p>
        </w:tc>
      </w:tr>
      <w:tr>
        <w:trPr>
          <w:trHeight w:val="216"/>
        </w:trPr>
        <w:tc>
          <w:tcPr>
            <w:tcW w:w="5800" w:type="dxa"/>
            <w:vAlign w:val="bottom"/>
          </w:tcPr>
          <w:p>
            <w:pPr>
              <w:jc w:val="center"/>
              <w:ind w:right="3550"/>
              <w:spacing w:after="0"/>
              <w:rPr>
                <w:sz w:val="20"/>
                <w:szCs w:val="20"/>
                <w:color w:val="auto"/>
              </w:rPr>
            </w:pPr>
            <w:r>
              <w:rPr>
                <w:rFonts w:ascii="Arial" w:cs="Arial" w:eastAsia="Arial" w:hAnsi="Arial"/>
                <w:sz w:val="18"/>
                <w:szCs w:val="18"/>
                <w:color w:val="auto"/>
                <w:w w:val="92"/>
              </w:rPr>
              <w:t>(State or other jurisdiction of</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5800" w:type="dxa"/>
            <w:vAlign w:val="bottom"/>
          </w:tcPr>
          <w:p>
            <w:pPr>
              <w:jc w:val="center"/>
              <w:ind w:right="3550"/>
              <w:spacing w:after="0"/>
              <w:rPr>
                <w:sz w:val="20"/>
                <w:szCs w:val="20"/>
                <w:color w:val="auto"/>
              </w:rPr>
            </w:pPr>
            <w:r>
              <w:rPr>
                <w:rFonts w:ascii="Arial" w:cs="Arial" w:eastAsia="Arial" w:hAnsi="Arial"/>
                <w:sz w:val="18"/>
                <w:szCs w:val="18"/>
                <w:color w:val="auto"/>
                <w:w w:val="92"/>
              </w:rPr>
              <w:t>incorporation or organization)</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110 West 44th Street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(646) 536-2842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Strauss Zelnick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Chairman and Chief Executive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Take-Two Interactive Software,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110 West 44th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(646) 536-2842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Please address a copy of all communications 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Adam M. Turteltaub, Esq.</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Sean M. Ewen, Esq.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Willkie Farr &amp; Gallagher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787 Seventh Avenue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(212) 728-8000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the effective date of this registration statement.</w:t>
      </w:r>
    </w:p>
    <w:p>
      <w:pPr>
        <w:spacing w:after="0" w:line="19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2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38" w:orient="portrait"/>
          <w:cols w:equalWidth="0" w:num="1">
            <w:col w:w="11200"/>
          </w:cols>
          <w:pgMar w:left="320" w:top="472" w:right="37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company” in Rule 12b-2 of the Exchange Act.</w:t>
      </w:r>
    </w:p>
    <w:p>
      <w:pPr>
        <w:sectPr>
          <w:pgSz w:w="11900" w:h="16838" w:orient="portrait"/>
          <w:cols w:equalWidth="0" w:num="1">
            <w:col w:w="11240"/>
          </w:cols>
          <w:pgMar w:left="320" w:top="125" w:right="339" w:bottom="1440" w:gutter="0" w:footer="0" w:header="0"/>
        </w:sectPr>
      </w:pPr>
    </w:p>
    <w:p>
      <w:pPr>
        <w:spacing w:after="0" w:line="310" w:lineRule="exact"/>
        <w:rPr>
          <w:sz w:val="20"/>
          <w:szCs w:val="20"/>
          <w:color w:val="auto"/>
        </w:rPr>
      </w:pPr>
    </w:p>
    <w:p>
      <w:pPr>
        <w:ind w:left="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center"/>
        <w:ind w:right="41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5000" w:space="720"/>
            <w:col w:w="5520"/>
          </w:cols>
          <w:pgMar w:left="320" w:top="125" w:right="339" w:bottom="1440" w:gutter="0" w:footer="0" w:header="0"/>
          <w:type w:val="continuous"/>
        </w:sectPr>
      </w:pPr>
    </w:p>
    <w:p>
      <w:pPr>
        <w:spacing w:after="0" w:line="21" w:lineRule="exact"/>
        <w:rPr>
          <w:sz w:val="20"/>
          <w:szCs w:val="20"/>
          <w:color w:val="auto"/>
        </w:rPr>
      </w:pPr>
    </w:p>
    <w:p>
      <w:pPr>
        <w:ind w:left="1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5000" w:space="720"/>
            <w:col w:w="5520"/>
          </w:cols>
          <w:pgMar w:left="320" w:top="125" w:right="339" w:bottom="1440" w:gutter="0" w:footer="0" w:header="0"/>
          <w:type w:val="continuous"/>
        </w:sectPr>
      </w:pPr>
    </w:p>
    <w:p>
      <w:pPr>
        <w:spacing w:after="0" w:line="21" w:lineRule="exact"/>
        <w:rPr>
          <w:sz w:val="20"/>
          <w:szCs w:val="20"/>
          <w:color w:val="auto"/>
        </w:rPr>
      </w:pPr>
    </w:p>
    <w:p>
      <w:pPr>
        <w:ind w:left="1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25" w:right="339" w:bottom="1440" w:gutter="0" w:footer="0" w:header="0"/>
          <w:type w:val="continuous"/>
        </w:sectPr>
      </w:pPr>
    </w:p>
    <w:p>
      <w:pPr>
        <w:spacing w:after="0" w:line="375"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159385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8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16"/>
        </w:trPr>
        <w:tc>
          <w:tcPr>
            <w:tcW w:w="46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w w:val="98"/>
              </w:rPr>
              <w:t>Proposed</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680" w:type="dxa"/>
            <w:vAlign w:val="bottom"/>
          </w:tcPr>
          <w:p>
            <w:pPr>
              <w:jc w:val="center"/>
              <w:ind w:left="550"/>
              <w:spacing w:after="0"/>
              <w:rPr>
                <w:sz w:val="20"/>
                <w:szCs w:val="20"/>
                <w:color w:val="auto"/>
              </w:rPr>
            </w:pPr>
            <w:r>
              <w:rPr>
                <w:rFonts w:ascii="Arial" w:cs="Arial" w:eastAsia="Arial" w:hAnsi="Arial"/>
                <w:sz w:val="18"/>
                <w:szCs w:val="18"/>
                <w:b w:val="1"/>
                <w:bCs w:val="1"/>
                <w:color w:val="auto"/>
                <w:w w:val="87"/>
              </w:rPr>
              <w:t>Title of each class of securities to</w:t>
            </w:r>
          </w:p>
        </w:tc>
        <w:tc>
          <w:tcPr>
            <w:tcW w:w="1900" w:type="dxa"/>
            <w:vAlign w:val="bottom"/>
          </w:tcPr>
          <w:p>
            <w:pPr>
              <w:ind w:left="780"/>
              <w:spacing w:after="0"/>
              <w:rPr>
                <w:sz w:val="20"/>
                <w:szCs w:val="20"/>
                <w:color w:val="auto"/>
              </w:rPr>
            </w:pPr>
            <w:r>
              <w:rPr>
                <w:rFonts w:ascii="Arial" w:cs="Arial" w:eastAsia="Arial" w:hAnsi="Arial"/>
                <w:sz w:val="18"/>
                <w:szCs w:val="18"/>
                <w:b w:val="1"/>
                <w:bCs w:val="1"/>
                <w:color w:val="auto"/>
                <w:w w:val="94"/>
              </w:rPr>
              <w:t>Amount to be</w:t>
            </w: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maximum offering</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aggregate offering</w:t>
            </w:r>
          </w:p>
        </w:tc>
        <w:tc>
          <w:tcPr>
            <w:tcW w:w="2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Amount of</w:t>
            </w:r>
          </w:p>
        </w:tc>
      </w:tr>
      <w:tr>
        <w:trPr>
          <w:trHeight w:val="234"/>
        </w:trPr>
        <w:tc>
          <w:tcPr>
            <w:tcW w:w="46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8"/>
              </w:rPr>
              <w:t>be registered</w:t>
            </w:r>
          </w:p>
        </w:tc>
        <w:tc>
          <w:tcPr>
            <w:tcW w:w="352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8"/>
              </w:rPr>
              <w:t>registered (1)  price per share(3)</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price(3)</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195"/>
        </w:trPr>
        <w:tc>
          <w:tcPr>
            <w:tcW w:w="4680" w:type="dxa"/>
            <w:vAlign w:val="bottom"/>
          </w:tcPr>
          <w:p>
            <w:pPr>
              <w:ind w:left="360"/>
              <w:spacing w:after="0" w:line="195" w:lineRule="exact"/>
              <w:rPr>
                <w:sz w:val="20"/>
                <w:szCs w:val="20"/>
                <w:color w:val="auto"/>
              </w:rPr>
            </w:pPr>
            <w:r>
              <w:rPr>
                <w:rFonts w:ascii="Arial" w:cs="Arial" w:eastAsia="Arial" w:hAnsi="Arial"/>
                <w:sz w:val="18"/>
                <w:szCs w:val="18"/>
                <w:color w:val="auto"/>
              </w:rPr>
              <w:t>Common Stock of Take-Two Interactive</w:t>
            </w: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Software, Inc., par value $.01 per share, to be</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8"/>
        </w:trPr>
        <w:tc>
          <w:tcPr>
            <w:tcW w:w="4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issued under the 2017 Stock Incentive Plan</w:t>
            </w: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175,001 (2)</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181.88</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31,828,306.88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3,472.47</w:t>
            </w:r>
          </w:p>
        </w:tc>
      </w:tr>
    </w:tbl>
    <w:p>
      <w:pPr>
        <w:spacing w:after="0" w:line="202" w:lineRule="exact"/>
        <w:rPr>
          <w:sz w:val="20"/>
          <w:szCs w:val="20"/>
          <w:color w:val="auto"/>
        </w:rPr>
      </w:pPr>
    </w:p>
    <w:p>
      <w:pPr>
        <w:jc w:val="both"/>
        <w:ind w:right="180" w:firstLine="8"/>
        <w:spacing w:after="0" w:line="263"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the shares set forth in the table, pursuant to Rule 416(a) under the Securities Act of 1933, as amended (“Securities Act”), the number of shares registered includes an indeterminable number of common shares issuable under the plan, as this amount may be adjusted as a result of stock splits, stock dividends, capitalizations or similar events.</w:t>
      </w:r>
    </w:p>
    <w:p>
      <w:pPr>
        <w:spacing w:after="0" w:line="183" w:lineRule="exact"/>
        <w:rPr>
          <w:rFonts w:ascii="Arial" w:cs="Arial" w:eastAsia="Arial" w:hAnsi="Arial"/>
          <w:sz w:val="18"/>
          <w:szCs w:val="18"/>
          <w:color w:val="auto"/>
        </w:rPr>
      </w:pPr>
    </w:p>
    <w:p>
      <w:pPr>
        <w:ind w:right="160" w:firstLine="8"/>
        <w:spacing w:after="0" w:line="27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issuable upon the settlement of outstanding restricted units granted under the 2017 Stock Incentive Plan pursuant to the terms of the Restricted Unit Agreement, dated as of April 13, 2021, by and between ZelnickMedia Corporation and the registrant.</w:t>
      </w:r>
    </w:p>
    <w:p>
      <w:pPr>
        <w:spacing w:after="0" w:line="170" w:lineRule="exact"/>
        <w:rPr>
          <w:rFonts w:ascii="Arial" w:cs="Arial" w:eastAsia="Arial" w:hAnsi="Arial"/>
          <w:sz w:val="18"/>
          <w:szCs w:val="18"/>
          <w:color w:val="auto"/>
        </w:rPr>
      </w:pPr>
    </w:p>
    <w:p>
      <w:pPr>
        <w:ind w:right="40" w:firstLine="8"/>
        <w:spacing w:after="0" w:line="342" w:lineRule="auto"/>
        <w:tabs>
          <w:tab w:leader="none" w:pos="255"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purposes of calculating the registration fee. Pursuant to Rule 457(c) under the Securities Act, the registration fee has been calculated based upon the average of the high and low prices, as reported by the NASDAQ Global Select Market, for our common stock on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Registration Statement registers shares of common stock of Take-Two Interactive Software, Inc. (the “Company”), par value $0.01 per share (“Common Stock”), that may be issued upon settlement of restricted units (the “Restricted Units”) granted by us on April 13, 2021 to ZelnickMedia Corporation (“ZelnickMedia”) under the Company’s 2017 Stock Incentive Plan (the “2017 Plan”). The Restricted Units consist of time-based restricted units under which up to 50,807 shares of Common Stock are issuable, and performance-based restricted units under which up to 124,194 shares of Common Stock are issuable. The Restricted Units were granted pursuant to the terms of a Restricted Unit Agreement, dated as of April 13, 2021, by and between the Company and ZelnickMedia (the “Restricted Unit Agreement”) and represent additional equity awards under the terms of the Management Agreement, dated as of November 17, 2017, and effective January 1, 2018 (the “Management Agreement”), with ZelnickMedia. Pursuant to the Management Agreement and Restricted Unit Agreement, the Company will have the right to elect to settle the Restricted Units in shares of Common Stock that will be issued pursuant to the 2017 Plan.</w:t>
      </w:r>
    </w:p>
    <w:p>
      <w:pPr>
        <w:spacing w:after="0" w:line="181"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This Registration Statement is on Form S-3 rather than Form S-8 because a Compliance and Disclosure Interpretation of the Securities and Exchange Commission (the “Commission”) on Securities Act Forms indicates that employees or consultants of an issuer may use Form S-8 to register securities issued under an employee benefit plan only if the consultant is a natural person.</w:t>
      </w:r>
    </w:p>
    <w:p>
      <w:pPr>
        <w:spacing w:after="0" w:line="184"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This Registration Statement contains the form of prospectus to be used in connection with these offers. The form of prospectus is to be used by us in connection with the offer and issuance by us of shares of Common Stock upon settlement of the Restricted Units under the 2017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TAKE-TWO INTERACTIVE SOFTWARE, INC.</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175,001 Shares of Common Stock</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under 2017 Stock Incentive Plan</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prospectus, dated April 13, 2021, covers the offer and issuance by us of up to 175,001 shares of our common stock (“Common Stock”) upon the settlement of restricted units (the “Restricted Units”) that are currently outstanding and held by ZelnickMedia Corporation (“ZelnickMedia”). The Restricted Units were granted by us to ZelnickMedia on April 13, 2021 under the Company’s 2017 Stock Incentive Plan (the “2017 Plan”) pursuant to the terms of a Restricted Unit Agreement, dated as of April 13, 2021, by and between the Company and ZelnickMedia (the “Restricted Unit Agreement”). The Restricted Units represent additional equity awards granted pursuant to the terms of the Management Agreement, dated as of November 17, 2017, and effective January 1, 2018 (the “Management Agreement”), with ZelnickMedia. Pursuant to the Management Agreement and Restricted Unit Agreement, the Company will have the right to elect to settle the Restricted Units in shares of Common Stock that will be issued pursuant to the 2017 Plan. The Restricted Units consist of time-based restricted units under which up to 50,807 shares of Common Stock are issuable and performance-based restricted units under which up to 124,194 shares of Common Stock are issuable.</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“TTWO.” The last reported sale price on April 12, 2021 was $182.76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in our securities involves risks. See “Risk Factors” beginning on page 3 of this prospectus.</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or any applicable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date of this prospectus is April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00" w:type="dxa"/>
            <w:vAlign w:val="bottom"/>
            <w:gridSpan w:val="2"/>
          </w:tcPr>
          <w:p>
            <w:pPr>
              <w:ind w:left="640"/>
              <w:spacing w:after="0"/>
              <w:rPr>
                <w:sz w:val="20"/>
                <w:szCs w:val="20"/>
                <w:color w:val="auto"/>
              </w:rPr>
            </w:pPr>
            <w:r>
              <w:rPr>
                <w:rFonts w:ascii="Arial" w:cs="Arial" w:eastAsia="Arial" w:hAnsi="Arial"/>
                <w:sz w:val="18"/>
                <w:szCs w:val="18"/>
                <w:b w:val="1"/>
                <w:bCs w:val="1"/>
                <w:color w:val="auto"/>
              </w:rPr>
              <w:t>TABLE OF CONTENTS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8680" w:type="dxa"/>
            <w:vAlign w:val="bottom"/>
            <w:tcBorders>
              <w:bottom w:val="single" w:sz="8" w:color="CCEEFF"/>
            </w:tcBorders>
            <w:gridSpan w:val="5"/>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10920" w:type="dxa"/>
            <w:vAlign w:val="bottom"/>
            <w:gridSpan w:val="11"/>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CAUTIONARY STATEMENT REGARDING FORWARD-LOOKING STATEMENTS</w:t>
              </w:r>
            </w:hyperlink>
          </w:p>
        </w:tc>
        <w:tc>
          <w:tcPr>
            <w:tcW w:w="320" w:type="dxa"/>
            <w:vAlign w:val="bottom"/>
            <w:gridSpan w:val="3"/>
          </w:tcPr>
          <w:p>
            <w:pPr>
              <w:jc w:val="right"/>
              <w:ind w:right="1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PROSPECTUS SUMMARY</w:t>
              </w:r>
            </w:hyperlink>
          </w:p>
        </w:tc>
        <w:tc>
          <w:tcPr>
            <w:tcW w:w="8820" w:type="dxa"/>
            <w:vAlign w:val="bottom"/>
            <w:tcBorders>
              <w:bottom w:val="single" w:sz="8" w:color="CCEEFF"/>
            </w:tcBorders>
            <w:gridSpan w:val="6"/>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2</w:t>
              </w:r>
            </w:hyperlink>
          </w:p>
        </w:tc>
        <w:tc>
          <w:tcPr>
            <w:tcW w:w="100" w:type="dxa"/>
            <w:vAlign w:val="bottom"/>
            <w:tcBorders>
              <w:bottom w:val="single" w:sz="8" w:color="CCEEFF"/>
            </w:tcBorders>
            <w:shd w:val="clear" w:color="auto" w:fill="CCEEFF"/>
          </w:tcPr>
          <w:p>
            <w:pPr>
              <w:spacing w:after="0"/>
              <w:rPr>
                <w:sz w:val="17"/>
                <w:szCs w:val="17"/>
                <w:color w:val="auto"/>
              </w:rPr>
            </w:pPr>
          </w:p>
        </w:tc>
      </w:tr>
      <w:tr>
        <w:trPr>
          <w:trHeight w:val="175"/>
        </w:trPr>
        <w:tc>
          <w:tcPr>
            <w:tcW w:w="10920" w:type="dxa"/>
            <w:vAlign w:val="bottom"/>
            <w:gridSpan w:val="11"/>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320" w:type="dxa"/>
            <w:vAlign w:val="bottom"/>
            <w:gridSpan w:val="3"/>
          </w:tcPr>
          <w:p>
            <w:pPr>
              <w:jc w:val="right"/>
              <w:ind w:right="1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920" w:type="dxa"/>
            <w:vAlign w:val="bottom"/>
            <w:gridSpan w:val="11"/>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32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920" w:type="dxa"/>
            <w:vAlign w:val="bottom"/>
            <w:gridSpan w:val="11"/>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RESTRICTED UNIT AWARD</w:t>
              </w:r>
            </w:hyperlink>
          </w:p>
        </w:tc>
        <w:tc>
          <w:tcPr>
            <w:tcW w:w="320" w:type="dxa"/>
            <w:vAlign w:val="bottom"/>
            <w:gridSpan w:val="3"/>
          </w:tcPr>
          <w:p>
            <w:pPr>
              <w:jc w:val="right"/>
              <w:ind w:right="10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920" w:type="dxa"/>
            <w:vAlign w:val="bottom"/>
            <w:gridSpan w:val="11"/>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LEGAL MATTERS</w:t>
              </w:r>
            </w:hyperlink>
          </w:p>
        </w:tc>
        <w:tc>
          <w:tcPr>
            <w:tcW w:w="32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7</w:t>
              </w:r>
            </w:hyperlink>
          </w:p>
        </w:tc>
      </w:tr>
      <w:tr>
        <w:trPr>
          <w:trHeight w:val="175"/>
        </w:trPr>
        <w:tc>
          <w:tcPr>
            <w:tcW w:w="146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EXPERTS</w:t>
              </w:r>
            </w:hyperlink>
          </w:p>
        </w:tc>
        <w:tc>
          <w:tcPr>
            <w:tcW w:w="9460" w:type="dxa"/>
            <w:vAlign w:val="bottom"/>
            <w:tcBorders>
              <w:top w:val="single" w:sz="8" w:color="CCEEFF"/>
            </w:tcBorders>
            <w:gridSpan w:val="8"/>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jc w:val="right"/>
              <w:spacing w:after="0" w:line="17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7</w:t>
              </w:r>
            </w:hyperlink>
          </w:p>
        </w:tc>
        <w:tc>
          <w:tcPr>
            <w:tcW w:w="10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920" w:type="dxa"/>
            <w:vAlign w:val="bottom"/>
            <w:gridSpan w:val="11"/>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WHERE YOU CAN FIND MORE INFORMATION</w:t>
              </w:r>
            </w:hyperlink>
          </w:p>
        </w:tc>
        <w:tc>
          <w:tcPr>
            <w:tcW w:w="32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8</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20" w:type="dxa"/>
            <w:vAlign w:val="bottom"/>
            <w:tcBorders>
              <w:bottom w:val="single" w:sz="8" w:color="0000EE"/>
            </w:tcBorders>
            <w:gridSpan w:val="9"/>
          </w:tcPr>
          <w:p>
            <w:pPr>
              <w:spacing w:after="0" w:line="17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INFORMATION NOT REQUIRED IN PROSPECTUS</w:t>
              </w:r>
            </w:hyperlink>
          </w:p>
        </w:tc>
        <w:tc>
          <w:tcPr>
            <w:tcW w:w="6900" w:type="dxa"/>
            <w:vAlign w:val="bottom"/>
            <w:gridSpan w:val="2"/>
          </w:tcPr>
          <w:p>
            <w:pPr>
              <w:spacing w:after="0"/>
              <w:rPr>
                <w:sz w:val="15"/>
                <w:szCs w:val="15"/>
                <w:color w:val="auto"/>
              </w:rPr>
            </w:pPr>
          </w:p>
        </w:tc>
        <w:tc>
          <w:tcPr>
            <w:tcW w:w="22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I-1</w:t>
              </w:r>
            </w:hyperlink>
          </w:p>
        </w:tc>
        <w:tc>
          <w:tcPr>
            <w:tcW w:w="100" w:type="dxa"/>
            <w:vAlign w:val="bottom"/>
          </w:tcPr>
          <w:p>
            <w:pPr>
              <w:spacing w:after="0"/>
              <w:rPr>
                <w:sz w:val="15"/>
                <w:szCs w:val="15"/>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References in this prospectus to “Take-Two,” “we,” “us,” “our,” the “Company” or similar references mean Take-Two Interactive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subsidiaries. References to “Common Stock” refer to the Company’s Common Stock, par value $.01 per share.</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and any applicable prospectus supplement. Neither we nor any of our affiliates have authorized anyone else to provide you with different information. The securities are not being offered in any jurisdiction where the offer or sale is not permitted. You should not assume that the information contained in this prospectus and any accompanying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(the “SEC”) using the “shelf” registration process. Under this shelf registration process, we may offer the offered securities in one or more offerings or resales.</w:t>
      </w:r>
    </w:p>
    <w:p>
      <w:pPr>
        <w:spacing w:after="0" w:line="14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certain circumstances, we may provide a prospectus supplement that will contain specific information about the terms of a particular offering by us. We may also provide a prospectus supplement to add information to, or update or change information contained in,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 — for example, a document incorporated by reference in this prospectus or any prospectus supplement — the statement in the later-dated document modifies or supersedes the earlier statement.</w:t>
      </w:r>
    </w:p>
    <w:p>
      <w:pPr>
        <w:spacing w:after="0" w:line="19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You should read both this prospectus and any applicable prospectus supplement together with the additional information about our company to which we refer you in the section of this prospectus entitled “Where You Can Find More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This prospectus and the documents incorporated by reference contain statements that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w:t>
      </w:r>
    </w:p>
    <w:p>
      <w:pPr>
        <w:spacing w:after="0" w:line="192" w:lineRule="exact"/>
        <w:rPr>
          <w:sz w:val="20"/>
          <w:szCs w:val="20"/>
          <w:color w:val="auto"/>
        </w:rPr>
      </w:pPr>
    </w:p>
    <w:p>
      <w:pPr>
        <w:ind w:right="60" w:firstLine="648"/>
        <w:spacing w:after="0" w:line="286" w:lineRule="auto"/>
        <w:rPr>
          <w:rFonts w:ascii="Arial" w:cs="Arial" w:eastAsia="Arial" w:hAnsi="Arial"/>
          <w:sz w:val="16"/>
          <w:szCs w:val="16"/>
          <w:color w:val="0000EE"/>
        </w:rPr>
      </w:pPr>
      <w:r>
        <w:rPr>
          <w:rFonts w:ascii="Arial" w:cs="Arial" w:eastAsia="Arial" w:hAnsi="Arial"/>
          <w:sz w:val="16"/>
          <w:szCs w:val="16"/>
          <w:color w:val="auto"/>
        </w:rPr>
        <w:t xml:space="preserve">Actual outcomes and results may vary materially from these forward-looking statements based on a variety of risks and uncertainties including, but not limited to: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both consumer demand and the discretionary spending patterns of our customers as the situation with the pandemic continues to evolve;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and </w:t>
      </w:r>
      <w:r>
        <w:rPr>
          <w:rFonts w:ascii="Arial" w:cs="Arial" w:eastAsia="Arial" w:hAnsi="Arial"/>
          <w:sz w:val="16"/>
          <w:szCs w:val="16"/>
          <w:i w:val="1"/>
          <w:iCs w:val="1"/>
          <w:color w:val="auto"/>
        </w:rPr>
        <w:t>NBA 2K</w:t>
      </w:r>
      <w:r>
        <w:rPr>
          <w:rFonts w:ascii="Arial" w:cs="Arial" w:eastAsia="Arial" w:hAnsi="Arial"/>
          <w:sz w:val="16"/>
          <w:szCs w:val="16"/>
          <w:color w:val="auto"/>
        </w:rPr>
        <w:t xml:space="preserve"> products and our ability to develop other hit titles; our ability to leverage opportunities on PlayStation 5 and Xbox Series X; the timely release and significant market acceptance of our games; the ability to maintain acceptable pricing levels on our games; and risks associated with international operations. Other important factors and </w:t>
      </w:r>
      <w:hyperlink r:id="rId23">
        <w:r>
          <w:rPr>
            <w:rFonts w:ascii="Arial" w:cs="Arial" w:eastAsia="Arial" w:hAnsi="Arial"/>
            <w:sz w:val="16"/>
            <w:szCs w:val="16"/>
            <w:color w:val="auto"/>
          </w:rPr>
          <w:t xml:space="preserve">information are discussed under the heading “Risk Factors” beginning on page 3 of this prospectus and contained in the Company’s </w:t>
        </w:r>
        <w:r>
          <w:rPr>
            <w:rFonts w:ascii="Arial" w:cs="Arial" w:eastAsia="Arial" w:hAnsi="Arial"/>
            <w:sz w:val="16"/>
            <w:szCs w:val="16"/>
            <w:u w:val="single" w:color="auto"/>
            <w:color w:val="0000EE"/>
          </w:rPr>
          <w:t>Annual Report on</w:t>
        </w:r>
      </w:hyperlink>
      <w:r>
        <w:rPr>
          <w:rFonts w:ascii="Arial" w:cs="Arial" w:eastAsia="Arial" w:hAnsi="Arial"/>
          <w:sz w:val="16"/>
          <w:szCs w:val="16"/>
          <w:color w:val="auto"/>
        </w:rPr>
        <w:t xml:space="preserve"> </w:t>
      </w:r>
      <w:hyperlink r:id="rId23">
        <w:r>
          <w:rPr>
            <w:rFonts w:ascii="Arial" w:cs="Arial" w:eastAsia="Arial" w:hAnsi="Arial"/>
            <w:sz w:val="16"/>
            <w:szCs w:val="16"/>
            <w:u w:val="single" w:color="auto"/>
            <w:color w:val="0000EE"/>
          </w:rPr>
          <w:t>Form 10-K for the fiscal year ended March 31, 2020</w:t>
        </w:r>
        <w:r>
          <w:rPr>
            <w:rFonts w:ascii="Arial" w:cs="Arial" w:eastAsia="Arial" w:hAnsi="Arial"/>
            <w:sz w:val="16"/>
            <w:szCs w:val="16"/>
            <w:color w:val="0000EE"/>
          </w:rPr>
          <w:t xml:space="preserve"> </w:t>
        </w:r>
        <w:r>
          <w:rPr>
            <w:rFonts w:ascii="Arial" w:cs="Arial" w:eastAsia="Arial" w:hAnsi="Arial"/>
            <w:sz w:val="16"/>
            <w:szCs w:val="16"/>
            <w:color w:val="000000"/>
          </w:rPr>
          <w:t>and the Company’s other periodic filings with the SEC, which are incorporated herein by reference.</w:t>
        </w:r>
      </w:hyperlink>
      <w:r>
        <w:rPr>
          <w:rFonts w:ascii="Arial" w:cs="Arial" w:eastAsia="Arial" w:hAnsi="Arial"/>
          <w:sz w:val="16"/>
          <w:szCs w:val="16"/>
          <w:color w:val="0000EE"/>
        </w:rPr>
        <w:t xml:space="preserve"> </w:t>
      </w:r>
      <w:r>
        <w:rPr>
          <w:rFonts w:ascii="Arial" w:cs="Arial" w:eastAsia="Arial" w:hAnsi="Arial"/>
          <w:sz w:val="16"/>
          <w:szCs w:val="16"/>
          <w:color w:val="000000"/>
        </w:rPr>
        <w:t>All forward-looking statements are qualified by these cautionary statements and speak only as of the date they are made. The Company undertakes no obligation to update any forward-looking statement, whether as a result of new information, future events or otherwise.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This prospectus relates to the offer and issuance by us of shares of our Common Stock upon the settlement of Restricted Units that are currently outstanding and held by ZelnickMedia. The Restricted Units were granted by us on April 13, 2021 to ZelnickMedia under the 2017 Plan pursuant to the terms of a Restricted Unit Agreement, dated April 13, 2021, by and between the Company and ZelnickMedia. This summary highlights selected information appearing elsewhere in this prospectus or in documents incorporated herein by reference. You should carefully read the entire prospectus, including the information set forth in the section entitled “Risk Factors” and the information that is incorporated by reference into this prospectus. See the sections entitled “Where You Can Find More Information” for a further discussion on incorporation by reference.</w:t>
      </w:r>
    </w:p>
    <w:p>
      <w:pPr>
        <w:spacing w:after="0" w:line="17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are a leading developer, publisher and marketer of interactive entertainment for consumers around the globe. We develop and publish products principally through Rockstar Games, 2K, Private Division, Social Point, and Playdots. Our products are currently designed for console gaming systems, such as Sony's PlayStation®4 and PlayStation®5, Microsoft's Xbox One® and Xbox Series X, and Nintendo's Switch™, and personal computers, including smartphones and tablets. We deliver our products through physical retail, digital download, online platforms, and cloud streaming services.</w:t>
      </w:r>
    </w:p>
    <w:p>
      <w:pPr>
        <w:spacing w:after="0" w:line="15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racing,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7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were incorporated under the laws of the State of Delaware in 1993 and are headquartered at 110 West 44th Street, New York, New York 10036. Our telephone number is (646) 536-2842.</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Investment in our Common Stock involves risks. Before you invest in our Common Stock, you should carefully consider the risk factor summary below, the risk factors incorporated into this prospectus by reference to our most recent Annual Report on Form 10-K, and the other information contained in this prospectus, as updated by our subsequent filings under the Securities Exchange Act of 1934, as amended (the “Exchange Act”), and risk factors and other information contained in any applicable prospectus supplement before acquiring any of such shares of Common Stock. For a description of these reports and documents, and information about where you can find them, see the section entitled “Where You Can Find More Information.” The occurrence of any of the events described in the risk factors might cause you to lose all or part of your investment in the Common Stock. Please also refer to the section above entitled “Cautionary Statement Regarding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Relating to Our Business</w:t>
      </w:r>
    </w:p>
    <w:p>
      <w:pPr>
        <w:spacing w:after="0" w:line="225" w:lineRule="exact"/>
        <w:rPr>
          <w:sz w:val="20"/>
          <w:szCs w:val="20"/>
          <w:color w:val="auto"/>
        </w:rPr>
      </w:pPr>
    </w:p>
    <w:p>
      <w:pPr>
        <w:ind w:left="660" w:right="3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dependent on the future success of our Grand Theft Auto products and we must continue to publish “hit” titles or sequels to such “hit” titles in order to compete successfully in our industry.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results of operations may be materially adversely impacted by the coronavirus pandemic (COVID-19).</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product development risks which could result in delays and additional costs, and we must adapt to changes in software technologies.</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inability of our products to achieve significant market acceptance, delays in product releases or disruptions following the commercial release of our products may have a material adverse effect on our business, financial condition and operating results.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is subject to our ability to develop commercially successful products for the current video game platforms.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experience declines or fluctuations in the recurring portion of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Connectivity issues could affect our ability to sell and provide online services for our products and could affect our profitability.</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rely on complex information technology systems and networks to operate our business. Any significant system or network disruption could have a negative impact on our business.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could be adversely affected if our consumer data protection measures are not seen as adequate or there are breaches of our security measures or unintended disclosures of our consumer data.</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laws and regulations concerning data privacy and certain other aspects of our business are continually evolving. Failure to comply with these laws and regulations could harm our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Security breaches involving the source code for our products or other sensitive and proprietary information could adversely affect our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efforts to expand into new products and services may subject us to additional risks.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on our key management and product development personnel.</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Declines in consumer spending and other adverse changes in the economy could have a material adverse effect on our business, financial condition and operating results.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tax liabilities could adversely affect our earnings and financial condition.</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operating results are dependent on the release of “hit” titles and therefore dependent on the timing of our product releases, which may cause our quarterly operating results to fluctuate significantly.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Price protection granted to our customers and returns of our published titles by our customers may adversely affect our operating results.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sales of used video game products could lower our sales.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8" w:name="page9"/>
    <w:bookmarkEnd w:id="8"/>
    <w:p>
      <w:pPr>
        <w:ind w:left="328" w:right="620"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limited number of customers account for a significant portion of our sales. The loss of a principal customer or other significant business relationship could seriously hurt our business.</w:t>
      </w:r>
    </w:p>
    <w:p>
      <w:pPr>
        <w:spacing w:after="0" w:line="170" w:lineRule="exact"/>
        <w:rPr>
          <w:rFonts w:ascii="Arial" w:cs="Arial" w:eastAsia="Arial" w:hAnsi="Arial"/>
          <w:sz w:val="18"/>
          <w:szCs w:val="18"/>
          <w:color w:val="auto"/>
        </w:rPr>
      </w:pPr>
    </w:p>
    <w:p>
      <w:pPr>
        <w:ind w:left="328" w:right="60"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marketing and advertising efforts fail to resonate with consumers, our business, financial condition and operating results could be adversely affected.</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interactive entertainment software industry is highly competitive.</w:t>
      </w:r>
    </w:p>
    <w:p>
      <w:pPr>
        <w:spacing w:after="0" w:line="225" w:lineRule="exact"/>
        <w:rPr>
          <w:rFonts w:ascii="Arial" w:cs="Arial" w:eastAsia="Arial" w:hAnsi="Arial"/>
          <w:sz w:val="18"/>
          <w:szCs w:val="18"/>
          <w:color w:val="auto"/>
        </w:rPr>
      </w:pPr>
    </w:p>
    <w:p>
      <w:pPr>
        <w:ind w:left="328" w:right="360"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for limited shelf space and promotional support from retailers could affect the success of our business and require us to incur greater expenses to market our titles.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increasing importance of digital sales to our business exposes us to the risks of that business model, including greater competition.</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partly dependent on our ability to enter into successful software development arrangements with third parties.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cannot publish our titles without the approval of hardware licensors that are also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rely on a limited number of channel partners some of whom influence the fee structures for online distribution of our games on their platforms.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adequately adjust our cost structure in a timely fashion in response to a sudden decrease in demand.</w:t>
      </w:r>
    </w:p>
    <w:p>
      <w:pPr>
        <w:spacing w:after="0" w:line="225" w:lineRule="exact"/>
        <w:rPr>
          <w:rFonts w:ascii="Arial" w:cs="Arial" w:eastAsia="Arial" w:hAnsi="Arial"/>
          <w:sz w:val="18"/>
          <w:szCs w:val="18"/>
          <w:color w:val="auto"/>
        </w:rPr>
      </w:pPr>
    </w:p>
    <w:p>
      <w:pPr>
        <w:ind w:left="328" w:right="240"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70" w:lineRule="exact"/>
        <w:rPr>
          <w:rFonts w:ascii="Arial" w:cs="Arial" w:eastAsia="Arial" w:hAnsi="Arial"/>
          <w:sz w:val="18"/>
          <w:szCs w:val="18"/>
          <w:color w:val="auto"/>
        </w:rPr>
      </w:pPr>
    </w:p>
    <w:p>
      <w:pPr>
        <w:ind w:left="328" w:right="120"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servers and Internet bandwidth to operate our games and digital services with online features. If we were to lose server capacity or lack sufficient Internet bandwidth for any reason, our business could suffer.</w:t>
      </w:r>
    </w:p>
    <w:p>
      <w:pPr>
        <w:spacing w:after="0" w:line="170" w:lineRule="exact"/>
        <w:rPr>
          <w:rFonts w:ascii="Arial" w:cs="Arial" w:eastAsia="Arial" w:hAnsi="Arial"/>
          <w:sz w:val="18"/>
          <w:szCs w:val="18"/>
          <w:color w:val="auto"/>
        </w:rPr>
      </w:pPr>
    </w:p>
    <w:p>
      <w:pPr>
        <w:ind w:left="328" w:right="80" w:hanging="328"/>
        <w:spacing w:after="0" w:line="263"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submit our products for rating by the Entertainment Software Rating Board (“ESRB”) in the United States and other voluntary or government ratings organizations in foreign countries. Failure to obtain a target rating for certain of our products could negatively affect our ability to distribute and sell those games, as could the re-rating of a game for any reason.</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Content policies adopted by retailers, consumer opposition and litigation could negatively affect sales of our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results of operations or reputation may be harmed as a result of offensive consumer-created content.</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risks and uncertainties of international trade, including fluctuations in the values of local foreign currencies against the dollar.</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from our international operations.</w:t>
      </w:r>
    </w:p>
    <w:p>
      <w:pPr>
        <w:spacing w:after="0" w:line="225" w:lineRule="exact"/>
        <w:rPr>
          <w:rFonts w:ascii="Arial" w:cs="Arial" w:eastAsia="Arial" w:hAnsi="Arial"/>
          <w:sz w:val="18"/>
          <w:szCs w:val="18"/>
          <w:color w:val="auto"/>
        </w:rPr>
      </w:pPr>
    </w:p>
    <w:p>
      <w:pPr>
        <w:ind w:left="328" w:right="200"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protect the intellectual property relating to our software, the commercial value of our products will be adversely affected and our competitive position could be harmed.</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infringe on or are alleged to infringe on the intellectual property rights of third parties, our business could be adversely affected.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software is susceptible to errors, which can harm our financial results and reputation.</w:t>
      </w:r>
    </w:p>
    <w:p>
      <w:pPr>
        <w:spacing w:after="0" w:line="225" w:lineRule="exact"/>
        <w:rPr>
          <w:rFonts w:ascii="Arial" w:cs="Arial" w:eastAsia="Arial" w:hAnsi="Arial"/>
          <w:sz w:val="18"/>
          <w:szCs w:val="18"/>
          <w:color w:val="auto"/>
        </w:rPr>
      </w:pPr>
    </w:p>
    <w:p>
      <w:pPr>
        <w:ind w:left="328" w:right="520" w:hanging="328"/>
        <w:spacing w:after="0" w:line="342" w:lineRule="auto"/>
        <w:tabs>
          <w:tab w:leader="none" w:pos="328"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acquire or invest in other businesses, intellectual properties or other assets, we may be unable to integrate them with our business, our financial performance may be impaired and/or we may not realize the anticipated financial and strategic goals for such transactions.</w:t>
      </w:r>
    </w:p>
    <w:p>
      <w:pPr>
        <w:spacing w:after="0" w:line="123" w:lineRule="exact"/>
        <w:rPr>
          <w:rFonts w:ascii="Arial" w:cs="Arial" w:eastAsia="Arial" w:hAnsi="Arial"/>
          <w:sz w:val="16"/>
          <w:szCs w:val="16"/>
          <w:color w:val="auto"/>
        </w:rPr>
      </w:pPr>
    </w:p>
    <w:p>
      <w:pPr>
        <w:ind w:left="328" w:right="160"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and maintain licenses to intellectual property, especially for sports titles, affects our revenue and profitability. Competition for these licenses may make them more expensive and increase our costs.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contractual covenants which place certain limitations on how we manage our business.</w:t>
      </w:r>
    </w:p>
    <w:p>
      <w:pPr>
        <w:spacing w:after="0" w:line="225" w:lineRule="exact"/>
        <w:rPr>
          <w:rFonts w:ascii="Arial" w:cs="Arial" w:eastAsia="Arial" w:hAnsi="Arial"/>
          <w:sz w:val="18"/>
          <w:szCs w:val="18"/>
          <w:color w:val="auto"/>
        </w:rPr>
      </w:pPr>
    </w:p>
    <w:p>
      <w:pPr>
        <w:ind w:left="328" w:right="480"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products are subject to potential legislation. The adoption of such proposed legislation could limit the retail market for our products.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 in government regulations relating to the Internet could have a negative impact on our business.</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required to record a significant charge to earnings if our goodwill becomes impaired.</w:t>
      </w:r>
    </w:p>
    <w:p>
      <w:pPr>
        <w:spacing w:after="0" w:line="225" w:lineRule="exact"/>
        <w:rPr>
          <w:rFonts w:ascii="Arial" w:cs="Arial" w:eastAsia="Arial" w:hAnsi="Arial"/>
          <w:sz w:val="18"/>
          <w:szCs w:val="18"/>
          <w:color w:val="auto"/>
        </w:rPr>
      </w:pPr>
    </w:p>
    <w:p>
      <w:pPr>
        <w:ind w:left="328" w:right="600"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reported financial results could be adversely affected by the application of existing or future accounting standards to our business as it evolves.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risks related to corporate and social responsibility and reputation.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Climate change may have a long-term impact on our business.</w:t>
      </w:r>
    </w:p>
    <w:p>
      <w:pPr>
        <w:spacing w:after="0" w:line="200" w:lineRule="exact"/>
        <w:rPr>
          <w:sz w:val="20"/>
          <w:szCs w:val="20"/>
          <w:color w:val="auto"/>
        </w:rPr>
      </w:pPr>
    </w:p>
    <w:p>
      <w:pPr>
        <w:spacing w:after="0" w:line="241"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35" w:right="359" w:bottom="20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Risks Relating to Our Common Stock</w:t>
      </w:r>
    </w:p>
    <w:p>
      <w:pPr>
        <w:spacing w:after="0" w:line="225" w:lineRule="exact"/>
        <w:rPr>
          <w:sz w:val="20"/>
          <w:szCs w:val="20"/>
          <w:color w:val="auto"/>
        </w:rPr>
      </w:pPr>
    </w:p>
    <w:p>
      <w:pPr>
        <w:ind w:left="660" w:right="3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issuances or sales of equity securities by us would dilute the ownership of our existing stockholders and could adversely affect the market price of our common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is no guarantee that we will do additional share repurchases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has been volatile and may continue to fluctuate significantly.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Delaware law, our charter documents, and provisions of our debt agreements may impede or discourage a takeover, which could cause the market price of our shares to decline.</w:t>
      </w:r>
    </w:p>
    <w:p>
      <w:pPr>
        <w:spacing w:after="0" w:line="170" w:lineRule="exact"/>
        <w:rPr>
          <w:rFonts w:ascii="Arial" w:cs="Arial" w:eastAsia="Arial" w:hAnsi="Arial"/>
          <w:sz w:val="18"/>
          <w:szCs w:val="18"/>
          <w:color w:val="auto"/>
        </w:rPr>
      </w:pPr>
    </w:p>
    <w:p>
      <w:pPr>
        <w:ind w:left="660" w:right="5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use net operating loss and tax credit carryforwards to reduce future years' taxes could be substantially limited under Internal Revenue Code Sections 382 and 383 if we experience an ownership change as defined in the Internal Revenue Code Section 382.</w:t>
      </w: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will not receive any proceeds from the offer and issuance by us of the Common Stock to ZelnickMedia pursuant to this registration statement on Form S-3.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UNIT AWARD</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described above, this registration statement on Form S-3 registers shares of Common Stock that may be issued upon the settlement of restricted units (the “Restricted Units”) that are currently outstanding and held by ZelnickMedia Corporation (“ZelnickMedia”). The Restricted Units were granted by us to ZelnickMedia on April 13, 2021 under the Company’s 2017 Stock Incentive Plan (the “2017 Plan”). The Restricted Units, comprising both timed-based and performance-based restricted units as described below, were granted pursuant to the terms of a Restricted Unit Agreement, dated April 13, 2021, by and between the Company and ZelnickMedia (the “Restricted Unit Agreement”).</w:t>
      </w:r>
    </w:p>
    <w:p>
      <w:pPr>
        <w:spacing w:after="0" w:line="17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is party to a Management Agreement, dated as of November 17, 2017, and effective January 1, 2018 (the “Management Agreement”), with ZelnickMedia. The Restricted Units represent equity awards granted pursuant to the terms of the Management Agreement. Pursuant to the Management Agreement and Restricted Unit Agreement, the Company will have the right to elect to settle the Restricted Units in shares of Common Stock that will be issued pursuant to the 2017 Plan.</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u w:val="single" w:color="auto"/>
          <w:color w:val="auto"/>
        </w:rPr>
        <w:t>Time-Based Award</w:t>
      </w:r>
      <w:r>
        <w:rPr>
          <w:rFonts w:ascii="Arial" w:cs="Arial" w:eastAsia="Arial" w:hAnsi="Arial"/>
          <w:sz w:val="18"/>
          <w:szCs w:val="18"/>
          <w:color w:val="auto"/>
        </w:rPr>
        <w:t>. On April 13, 2021, the Company issued to ZelnickMedia 50,807 time-based restricted units (such number determined by dividing $8,775,000 by the average of the closing prices of the Company’s common stock for each trading day during the 10 trading day period immediately prior to April 1, 2021), which units will vest on April 13, 2023, provided that the Management Agreement has not been terminated prior to such date (the “Time-Based Award”). Notwithstanding the foregoing, the Time-Based Award will immediately vest in full if the Management Agreement is terminated by the Company without Cause or by ZelnickMedia for Good Reason. Conversely, ZelnickMedia will forfeit to the Company all Restricted Units under the Time-Based Award if the Management Agreement is terminated by the Company for Cause or by ZelnickMedia without Good Reason prior to April 13, 2023.</w:t>
      </w:r>
    </w:p>
    <w:p>
      <w:pPr>
        <w:spacing w:after="0" w:line="19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u w:val="single" w:color="auto"/>
          <w:color w:val="auto"/>
        </w:rPr>
        <w:t>Performance-Based Award</w:t>
      </w:r>
      <w:r>
        <w:rPr>
          <w:rFonts w:ascii="Arial" w:cs="Arial" w:eastAsia="Arial" w:hAnsi="Arial"/>
          <w:sz w:val="16"/>
          <w:szCs w:val="16"/>
          <w:color w:val="auto"/>
        </w:rPr>
        <w:t>. On April 13, 2021 the Company issued to ZelnickMedia 124,194 performance-based restricted units (the “Performance Award”), representing the maximum number of performance-based units that are eligible to vest (with the target number of units of 62,097 based on $10,725,000 divided by the average of the closing prices of the Company’s common stock for each trading day during the 10 trading day period immediately prior to April 1, 2021), which units have been divided into three categories of vesting as follows: (i) on April 13, 2023, a number of Recurrent Consumer Spending Performance-Based Units (as defined in the Restricted Unit Agreement) will vest equal to the product of (x) the target number of Recurrent Consumer Spending Performance-Based Units in such vesting tranche (7,762) multiplied by (y) the Recurrent Consumer Spending Vesting Percentage (as defined in the Restricted Unit Agreement) on March 31, 2023, which ranges from 0% to 200%; (ii) on April 13, 2023, a number of IP Performance-Based Units (as defined in the Restricted Unit Agreement) will vest equal to the product of (x) the target number of IP Performance-Based Units in such vesting tranche (7,762) multiplied by (y) the IP Vesting Percentage (as defined in the Restricted Unit Agreement) on March 31, 2023, which ranges from 0% to 200%; and (iii) on April 13, 2023, a number of TSR Performance-Based Units (as defined in the Restricted Unit Agreement) will vest equal to the product of (x) the target number of TSR Performance-Based Units in such vesting tranche (46,573) multiplied by (y) the TSR Vesting Percentage (as defined in the Restricted Unit Agreement) on March 31, 2023, which ranges from 0% to 200%.</w:t>
      </w:r>
    </w:p>
    <w:p>
      <w:pPr>
        <w:spacing w:after="0" w:line="16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 the event that any portion of the Performance Award will not have vested as of April 13, 2023 or upon a termination of the Management Agreement by the Company for Cause or by ZelnickMedia without Good Reason, ZelnickMedia will forfeit to the Company any and all Restricted Units that have not vested as of such date.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Treatment of Awards.</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Upon a termination of the Management Agreement by the Company without Cause or by ZelnickMedia for Good Reason, any then-unvested restricted units granted pursuant to the Performance Award (including any restricted units granted to ZelnickMedia during the term of the Management Agreement on or after April 13, 2018) will vest on the assumption that the applicable performance measure was achieved at the target level of performance for the applicable performance period or, prior to a Change in Control (as defined in the Management Agreement), for TSR Performance-Based Units, based on the actual level of performance achieved for each applicable performance measure as of the date of termination.</w:t>
      </w:r>
    </w:p>
    <w:p>
      <w:pPr>
        <w:spacing w:after="0" w:line="16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the Company and ZelnickMedia fail to enter into a new management agreement on substantially similar terms in the aggregate as those provided under the Management Agreement upon the expiration of the term of the Management Agreement or otherwise fail to agree to extend the term of the Management Agreement, all unvested time-vesting restricted units granted during the term of the Management Agreement on or after April 13, 2018 will vest upon such expiration and all then-unvested performance-vesting restricted units will vest based on the assumption that the applicable performance measure was achieved at the target level of performance for the applicable performance period or, prior to a Change in Control, for TSR Performance-Based Units, based on the actual level of performance achieved for each applicable performance measure as of the date of termination.</w:t>
      </w:r>
    </w:p>
    <w:p>
      <w:pPr>
        <w:spacing w:after="0" w:line="16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a Change in Control occurs during the term of the Management Agreement, the Management Agreement will not automatically terminate and all unvested restricted units granted pursuant to the Restricted Unit Agreement will vest as set forth in the Restricted Unit Agreement, except that any restricted units granted to ZelnickMedia on or after April 13, 2018 will vest upon the earlier to occur of (x) a termination of the Management Agreement by the Company without Cause or by ZelnickMedia for Good Reason or (y) the second anniversary of the applicable date of grant, and, with respect to any performance-based restricted units, in each case, based on the assumption that the applicable performance measure was achieved at the target level of performance for the applicable performance period.</w:t>
      </w:r>
    </w:p>
    <w:p>
      <w:pPr>
        <w:spacing w:after="0" w:line="192" w:lineRule="exact"/>
        <w:rPr>
          <w:sz w:val="20"/>
          <w:szCs w:val="20"/>
          <w:color w:val="auto"/>
        </w:rPr>
      </w:pPr>
    </w:p>
    <w:p>
      <w:pPr>
        <w:ind w:right="380" w:firstLine="648"/>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The foregoing descriptions of the Management Agreement and the Restricted Unit Agreement (including the Time-Based Award and the Performance Award issuable to ZelnickMedia thereunder) are only a summary and are qualified in their entirety by reference to the full text of the Management Agreement, which is attached as Exhibit 10.1 to the Company’s </w:t>
      </w:r>
      <w:hyperlink r:id="rId30">
        <w:r>
          <w:rPr>
            <w:rFonts w:ascii="Arial" w:cs="Arial" w:eastAsia="Arial" w:hAnsi="Arial"/>
            <w:sz w:val="16"/>
            <w:szCs w:val="16"/>
            <w:u w:val="single" w:color="auto"/>
            <w:color w:val="0000EE"/>
          </w:rPr>
          <w:t>Current Report on Form 8-K dated November 22, 2017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incorporated herein by reference, and the Restricted Unit Agreement, which is attached hereto as Exhibit 10.2 and incorporated herein by reference.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Unless otherwise specified in a prospectus supplement, the validity of our Common Stock shares have been passed upon for us by Willkie Farr &amp; Gallagher LLP.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firstLine="648"/>
        <w:spacing w:after="0" w:line="275" w:lineRule="auto"/>
        <w:rPr>
          <w:rFonts w:ascii="Arial" w:cs="Arial" w:eastAsia="Arial" w:hAnsi="Arial"/>
          <w:sz w:val="17"/>
          <w:szCs w:val="17"/>
          <w:color w:val="0000EE"/>
        </w:rPr>
      </w:pPr>
      <w:hyperlink r:id="rId23">
        <w:r>
          <w:rPr>
            <w:rFonts w:ascii="Arial" w:cs="Arial" w:eastAsia="Arial" w:hAnsi="Arial"/>
            <w:sz w:val="17"/>
            <w:szCs w:val="17"/>
            <w:color w:val="auto"/>
          </w:rPr>
          <w:t xml:space="preserve">The consolidated financial statements of Take-Two Interactive Software, Inc. appearing in Take-Two Interactive Software, Inc.’s </w:t>
        </w:r>
        <w:r>
          <w:rPr>
            <w:rFonts w:ascii="Arial" w:cs="Arial" w:eastAsia="Arial" w:hAnsi="Arial"/>
            <w:sz w:val="17"/>
            <w:szCs w:val="17"/>
            <w:u w:val="single" w:color="auto"/>
            <w:color w:val="0000EE"/>
          </w:rPr>
          <w:t>Annual Report</w:t>
        </w:r>
      </w:hyperlink>
      <w:r>
        <w:rPr>
          <w:rFonts w:ascii="Arial" w:cs="Arial" w:eastAsia="Arial" w:hAnsi="Arial"/>
          <w:sz w:val="17"/>
          <w:szCs w:val="17"/>
          <w:color w:val="auto"/>
        </w:rPr>
        <w:t xml:space="preserve"> </w:t>
      </w:r>
      <w:hyperlink r:id="rId23">
        <w:r>
          <w:rPr>
            <w:rFonts w:ascii="Arial" w:cs="Arial" w:eastAsia="Arial" w:hAnsi="Arial"/>
            <w:sz w:val="17"/>
            <w:szCs w:val="17"/>
            <w:u w:val="single" w:color="auto"/>
            <w:color w:val="0000EE"/>
          </w:rPr>
          <w:t>(Form 10-K) for the year ended March 31, 2020</w:t>
        </w:r>
        <w:r>
          <w:rPr>
            <w:rFonts w:ascii="Arial" w:cs="Arial" w:eastAsia="Arial" w:hAnsi="Arial"/>
            <w:sz w:val="17"/>
            <w:szCs w:val="17"/>
            <w:color w:val="0000EE"/>
          </w:rPr>
          <w:t xml:space="preserve"> </w:t>
        </w:r>
        <w:r>
          <w:rPr>
            <w:rFonts w:ascii="Arial" w:cs="Arial" w:eastAsia="Arial" w:hAnsi="Arial"/>
            <w:sz w:val="17"/>
            <w:szCs w:val="17"/>
            <w:color w:val="000000"/>
          </w:rPr>
          <w:t>and the effectiveness of Take-Two Interactive Software, Inc.’s internal control over financial reporting as</w:t>
        </w:r>
      </w:hyperlink>
      <w:r>
        <w:rPr>
          <w:rFonts w:ascii="Arial" w:cs="Arial" w:eastAsia="Arial" w:hAnsi="Arial"/>
          <w:sz w:val="17"/>
          <w:szCs w:val="17"/>
          <w:color w:val="0000EE"/>
        </w:rPr>
        <w:t xml:space="preserve"> </w:t>
      </w:r>
      <w:r>
        <w:rPr>
          <w:rFonts w:ascii="Arial" w:cs="Arial" w:eastAsia="Arial" w:hAnsi="Arial"/>
          <w:sz w:val="17"/>
          <w:szCs w:val="17"/>
          <w:color w:val="000000"/>
        </w:rPr>
        <w:t>of March 31, 2020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are subject to the information reporting requirements of the Exchange Act and, in accordance with these requirements, we are required to file periodic reports and other information with the SEC. The SEC maintains an Internet website at http://www.sec.gov that contains our filed reports, proxy and information statements, and other information we file electronically with the SEC.</w:t>
      </w:r>
    </w:p>
    <w:p>
      <w:pPr>
        <w:spacing w:after="0" w:line="184"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Additionally, we make our SEC filings available, free of charge, on our website at www.take2games.com as soon as reasonably practicable after we electronically file such materials with, or furnish them to, the SEC. The information on our website, other than the filings incorporated by reference in this prospectus, is not, and should not be, considered part of this prospectus, is not incorporated by reference into this document, and should not be relied upon in connection with making any investment decision with respect to our Common Stock.</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“incorporating by reference” into this prospectus certain information we file with the SEC, which means that we are disclosing important information to you by referring you to those documents. The information we incorporate by reference in this prospectus is legally deemed to be a part of this prospectus, and later information that we file with the SEC will automatically update and supersede the information included in this prospectus and the documents listed below. We incorporate the documents listed below:</w:t>
      </w:r>
    </w:p>
    <w:p>
      <w:pPr>
        <w:spacing w:after="0" w:line="18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Annual Report on Form 10-K for the fiscal year ended March 31, 2020, filed with the SEC on May 22, 2020;</w:t>
        </w:r>
      </w:hyperlink>
    </w:p>
    <w:p>
      <w:pPr>
        <w:spacing w:after="0" w:line="225" w:lineRule="exact"/>
        <w:rPr>
          <w:rFonts w:ascii="Arial" w:cs="Arial" w:eastAsia="Arial" w:hAnsi="Arial"/>
          <w:sz w:val="18"/>
          <w:szCs w:val="18"/>
          <w:u w:val="single" w:color="auto"/>
          <w:color w:val="0000EE"/>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fiscal quarters ended June 30, 2020, filed with the SEC on </w:t>
      </w:r>
      <w:hyperlink r:id="rId32">
        <w:r>
          <w:rPr>
            <w:rFonts w:ascii="Arial" w:cs="Arial" w:eastAsia="Arial" w:hAnsi="Arial"/>
            <w:sz w:val="18"/>
            <w:szCs w:val="18"/>
            <w:u w:val="single" w:color="auto"/>
            <w:color w:val="0000EE"/>
          </w:rPr>
          <w:t>August 4, 2020</w:t>
        </w:r>
      </w:hyperlink>
      <w:r>
        <w:rPr>
          <w:rFonts w:ascii="Arial" w:cs="Arial" w:eastAsia="Arial" w:hAnsi="Arial"/>
          <w:sz w:val="18"/>
          <w:szCs w:val="18"/>
          <w:color w:val="auto"/>
        </w:rPr>
        <w:t xml:space="preserve">, September 30, 2020, filed with the SEC on </w:t>
      </w:r>
      <w:hyperlink r:id="rId33">
        <w:r>
          <w:rPr>
            <w:rFonts w:ascii="Arial" w:cs="Arial" w:eastAsia="Arial" w:hAnsi="Arial"/>
            <w:sz w:val="18"/>
            <w:szCs w:val="18"/>
            <w:u w:val="single" w:color="auto"/>
            <w:color w:val="0000EE"/>
          </w:rPr>
          <w:t>November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December 31, 2020, filed with the SEC on </w:t>
      </w:r>
      <w:hyperlink r:id="rId34">
        <w:r>
          <w:rPr>
            <w:rFonts w:ascii="Arial" w:cs="Arial" w:eastAsia="Arial" w:hAnsi="Arial"/>
            <w:sz w:val="18"/>
            <w:szCs w:val="18"/>
            <w:u w:val="single" w:color="auto"/>
            <w:color w:val="0000EE"/>
          </w:rPr>
          <w:t>February 9, 2021;</w:t>
        </w:r>
      </w:hyperlink>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Definitive Proxy Statement on Schedule 14A filed with the SEC on July 24, 2020;</w:t>
        </w:r>
      </w:hyperlink>
    </w:p>
    <w:p>
      <w:pPr>
        <w:spacing w:after="0" w:line="225" w:lineRule="exact"/>
        <w:rPr>
          <w:rFonts w:ascii="Arial" w:cs="Arial" w:eastAsia="Arial" w:hAnsi="Arial"/>
          <w:sz w:val="18"/>
          <w:szCs w:val="18"/>
          <w:u w:val="single" w:color="auto"/>
          <w:color w:val="0000EE"/>
        </w:rPr>
      </w:pPr>
    </w:p>
    <w:p>
      <w:pPr>
        <w:ind w:left="980" w:right="240" w:hanging="324"/>
        <w:spacing w:after="0" w:line="308" w:lineRule="auto"/>
        <w:tabs>
          <w:tab w:leader="none" w:pos="980" w:val="left"/>
        </w:tabs>
        <w:numPr>
          <w:ilvl w:val="0"/>
          <w:numId w:val="5"/>
        </w:numPr>
        <w:rPr>
          <w:rFonts w:ascii="Arial" w:cs="Arial" w:eastAsia="Arial" w:hAnsi="Arial"/>
          <w:sz w:val="17"/>
          <w:szCs w:val="17"/>
          <w:color w:val="0000EE"/>
        </w:rPr>
      </w:pPr>
      <w:hyperlink r:id="rId36">
        <w:r>
          <w:rPr>
            <w:rFonts w:ascii="Arial" w:cs="Arial" w:eastAsia="Arial" w:hAnsi="Arial"/>
            <w:sz w:val="17"/>
            <w:szCs w:val="17"/>
            <w:color w:val="auto"/>
          </w:rPr>
          <w:t xml:space="preserve">Current Reports on Form 8-K (except for information furnished under Item 7.01 or exhibits related thereto), filed with the SEC on </w:t>
        </w:r>
        <w:r>
          <w:rPr>
            <w:rFonts w:ascii="Arial" w:cs="Arial" w:eastAsia="Arial" w:hAnsi="Arial"/>
            <w:sz w:val="17"/>
            <w:szCs w:val="17"/>
            <w:u w:val="single" w:color="auto"/>
            <w:color w:val="0000EE"/>
          </w:rPr>
          <w:t>July 16,</w:t>
        </w:r>
      </w:hyperlink>
      <w:r>
        <w:rPr>
          <w:rFonts w:ascii="Arial" w:cs="Arial" w:eastAsia="Arial" w:hAnsi="Arial"/>
          <w:sz w:val="17"/>
          <w:szCs w:val="17"/>
          <w:color w:val="auto"/>
        </w:rPr>
        <w:t xml:space="preserve"> </w:t>
      </w:r>
      <w:hyperlink r:id="rId36">
        <w:r>
          <w:rPr>
            <w:rFonts w:ascii="Arial" w:cs="Arial" w:eastAsia="Arial" w:hAnsi="Arial"/>
            <w:sz w:val="17"/>
            <w:szCs w:val="17"/>
            <w:u w:val="single" w:color="auto"/>
            <w:color w:val="0000EE"/>
          </w:rPr>
          <w:t>2020</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7">
        <w:r>
          <w:rPr>
            <w:rFonts w:ascii="Arial" w:cs="Arial" w:eastAsia="Arial" w:hAnsi="Arial"/>
            <w:sz w:val="17"/>
            <w:szCs w:val="17"/>
            <w:u w:val="single" w:color="auto"/>
            <w:color w:val="0000EE"/>
          </w:rPr>
          <w:t>August 18, 2020</w:t>
        </w:r>
      </w:hyperlink>
      <w:hyperlink r:id="rId3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8">
        <w:r>
          <w:rPr>
            <w:rFonts w:ascii="Arial" w:cs="Arial" w:eastAsia="Arial" w:hAnsi="Arial"/>
            <w:sz w:val="17"/>
            <w:szCs w:val="17"/>
            <w:u w:val="single" w:color="auto"/>
            <w:color w:val="0000EE"/>
          </w:rPr>
          <w:t>September 8, 2020</w:t>
        </w:r>
      </w:hyperlink>
      <w:hyperlink r:id="rId3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9">
        <w:r>
          <w:rPr>
            <w:rFonts w:ascii="Arial" w:cs="Arial" w:eastAsia="Arial" w:hAnsi="Arial"/>
            <w:sz w:val="17"/>
            <w:szCs w:val="17"/>
            <w:u w:val="single" w:color="auto"/>
            <w:color w:val="0000EE"/>
          </w:rPr>
          <w:t>September 18, 2020</w:t>
        </w:r>
      </w:hyperlink>
      <w:hyperlink r:id="rId3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0">
        <w:r>
          <w:rPr>
            <w:rFonts w:ascii="Arial" w:cs="Arial" w:eastAsia="Arial" w:hAnsi="Arial"/>
            <w:sz w:val="17"/>
            <w:szCs w:val="17"/>
            <w:u w:val="single" w:color="auto"/>
            <w:color w:val="0000EE"/>
          </w:rPr>
          <w:t>October 6, 2020</w:t>
        </w:r>
      </w:hyperlink>
      <w:hyperlink r:id="rId3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1">
        <w:r>
          <w:rPr>
            <w:rFonts w:ascii="Arial" w:cs="Arial" w:eastAsia="Arial" w:hAnsi="Arial"/>
            <w:sz w:val="17"/>
            <w:szCs w:val="17"/>
            <w:u w:val="single" w:color="auto"/>
            <w:color w:val="0000EE"/>
          </w:rPr>
          <w:t xml:space="preserve">November 10, 2020 </w:t>
        </w:r>
      </w:hyperlink>
      <w:hyperlink r:id="rId36">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42">
        <w:r>
          <w:rPr>
            <w:rFonts w:ascii="Arial" w:cs="Arial" w:eastAsia="Arial" w:hAnsi="Arial"/>
            <w:sz w:val="17"/>
            <w:szCs w:val="17"/>
            <w:u w:val="single" w:color="auto"/>
            <w:color w:val="0000EE"/>
          </w:rPr>
          <w:t>January 13, 2021</w:t>
        </w:r>
      </w:hyperlink>
      <w:hyperlink r:id="rId36">
        <w:r>
          <w:rPr>
            <w:rFonts w:ascii="Arial" w:cs="Arial" w:eastAsia="Arial" w:hAnsi="Arial"/>
            <w:sz w:val="17"/>
            <w:szCs w:val="17"/>
            <w:color w:val="000000"/>
          </w:rPr>
          <w:t>;</w:t>
        </w:r>
      </w:hyperlink>
    </w:p>
    <w:p>
      <w:pPr>
        <w:spacing w:after="0" w:line="146" w:lineRule="exact"/>
        <w:rPr>
          <w:rFonts w:ascii="Arial" w:cs="Arial" w:eastAsia="Arial" w:hAnsi="Arial"/>
          <w:sz w:val="17"/>
          <w:szCs w:val="17"/>
          <w:color w:val="0000EE"/>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Description of our common stock contained in our Registration Statement on </w:t>
      </w:r>
      <w:hyperlink r:id="rId43">
        <w:r>
          <w:rPr>
            <w:rFonts w:ascii="Arial" w:cs="Arial" w:eastAsia="Arial" w:hAnsi="Arial"/>
            <w:sz w:val="18"/>
            <w:szCs w:val="18"/>
            <w:u w:val="single" w:color="auto"/>
            <w:color w:val="0000EE"/>
          </w:rPr>
          <w:t>Form 8-A, filed with the SEC on March 26, 2008</w:t>
        </w:r>
      </w:hyperlink>
      <w:r>
        <w:rPr>
          <w:rFonts w:ascii="Arial" w:cs="Arial" w:eastAsia="Arial" w:hAnsi="Arial"/>
          <w:sz w:val="18"/>
          <w:szCs w:val="18"/>
          <w:color w:val="auto"/>
        </w:rPr>
        <w:t xml:space="preserve">, as updated by Exhibit 4.1 to our </w:t>
      </w:r>
      <w:hyperlink r:id="rId23">
        <w:r>
          <w:rPr>
            <w:rFonts w:ascii="Arial" w:cs="Arial" w:eastAsia="Arial" w:hAnsi="Arial"/>
            <w:sz w:val="18"/>
            <w:szCs w:val="18"/>
            <w:u w:val="single" w:color="auto"/>
            <w:color w:val="0000EE"/>
          </w:rPr>
          <w:t>Annual Report on Form 10-K for the fiscal year ended March 31, 2020</w:t>
        </w:r>
      </w:hyperlink>
      <w:r>
        <w:rPr>
          <w:rFonts w:ascii="Arial" w:cs="Arial" w:eastAsia="Arial" w:hAnsi="Arial"/>
          <w:sz w:val="18"/>
          <w:szCs w:val="18"/>
          <w:color w:val="auto"/>
        </w:rPr>
        <w:t>, including any subsequent amendment or any report filed for the purpose of updating such description; and</w:t>
      </w:r>
    </w:p>
    <w:p>
      <w:pPr>
        <w:spacing w:after="0" w:line="183"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documents filed by us pursuant to Sections 13(a), 13(c), 14 or 15(d) of the Exchange Act subsequent to the date of the initial registration statement of which this prospectus forms a part until all of the securities being offered under this prospectus or any prospectus supplement are sold (other than reports, documents or information that is furnished and not filed with the SEC).</w:t>
      </w:r>
    </w:p>
    <w:p>
      <w:pPr>
        <w:spacing w:after="0" w:line="184" w:lineRule="exact"/>
        <w:rPr>
          <w:rFonts w:ascii="Arial" w:cs="Arial" w:eastAsia="Arial" w:hAnsi="Arial"/>
          <w:sz w:val="18"/>
          <w:szCs w:val="18"/>
          <w:color w:val="auto"/>
        </w:rPr>
      </w:pPr>
    </w:p>
    <w:p>
      <w:pPr>
        <w:ind w:right="280" w:firstLine="648"/>
        <w:spacing w:after="0" w:line="263"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herein, other than exhibits to such documents that are not specifically incorporated by reference therein. You should direct any requests for documents to us at the following address or telephone number:</w:t>
      </w:r>
    </w:p>
    <w:p>
      <w:pPr>
        <w:spacing w:after="0" w:line="184" w:lineRule="exact"/>
        <w:rPr>
          <w:rFonts w:ascii="Arial" w:cs="Arial" w:eastAsia="Arial" w:hAnsi="Arial"/>
          <w:sz w:val="18"/>
          <w:szCs w:val="18"/>
          <w:color w:val="auto"/>
        </w:rPr>
      </w:pPr>
    </w:p>
    <w:p>
      <w:pPr>
        <w:ind w:left="4320"/>
        <w:spacing w:after="0"/>
        <w:rPr>
          <w:sz w:val="20"/>
          <w:szCs w:val="20"/>
          <w:color w:val="auto"/>
        </w:rPr>
      </w:pPr>
      <w:r>
        <w:rPr>
          <w:rFonts w:ascii="Arial" w:cs="Arial" w:eastAsia="Arial" w:hAnsi="Arial"/>
          <w:sz w:val="18"/>
          <w:szCs w:val="18"/>
          <w:color w:val="auto"/>
        </w:rPr>
        <w:t>Take-Two Interactive Software, Inc.</w:t>
      </w:r>
    </w:p>
    <w:p>
      <w:pPr>
        <w:ind w:left="4880"/>
        <w:spacing w:after="0" w:line="202" w:lineRule="auto"/>
        <w:rPr>
          <w:sz w:val="20"/>
          <w:szCs w:val="20"/>
          <w:color w:val="auto"/>
        </w:rPr>
      </w:pPr>
      <w:r>
        <w:rPr>
          <w:rFonts w:ascii="Arial" w:cs="Arial" w:eastAsia="Arial" w:hAnsi="Arial"/>
          <w:sz w:val="18"/>
          <w:szCs w:val="18"/>
          <w:color w:val="auto"/>
        </w:rPr>
        <w:t>110 West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w:t>
      </w:r>
    </w:p>
    <w:p>
      <w:pPr>
        <w:spacing w:after="0" w:line="1"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New York, New York 10036</w:t>
      </w:r>
    </w:p>
    <w:p>
      <w:pPr>
        <w:spacing w:after="0" w:line="7" w:lineRule="exact"/>
        <w:rPr>
          <w:rFonts w:ascii="Arial" w:cs="Arial" w:eastAsia="Arial" w:hAnsi="Arial"/>
          <w:sz w:val="18"/>
          <w:szCs w:val="18"/>
          <w:color w:val="auto"/>
        </w:rPr>
      </w:pPr>
    </w:p>
    <w:p>
      <w:pPr>
        <w:ind w:left="5500" w:hanging="438"/>
        <w:spacing w:after="0"/>
        <w:tabs>
          <w:tab w:leader="none" w:pos="5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536-2842</w:t>
      </w:r>
    </w:p>
    <w:p>
      <w:pPr>
        <w:spacing w:after="0" w:line="9" w:lineRule="exact"/>
        <w:rPr>
          <w:rFonts w:ascii="Arial" w:cs="Arial" w:eastAsia="Arial" w:hAnsi="Arial"/>
          <w:sz w:val="18"/>
          <w:szCs w:val="18"/>
          <w:color w:val="auto"/>
        </w:rPr>
      </w:pPr>
    </w:p>
    <w:p>
      <w:pPr>
        <w:ind w:left="4520"/>
        <w:spacing w:after="0"/>
        <w:rPr>
          <w:rFonts w:ascii="Arial" w:cs="Arial" w:eastAsia="Arial" w:hAnsi="Arial"/>
          <w:sz w:val="18"/>
          <w:szCs w:val="18"/>
          <w:color w:val="auto"/>
        </w:rPr>
      </w:pPr>
      <w:r>
        <w:rPr>
          <w:rFonts w:ascii="Arial" w:cs="Arial" w:eastAsia="Arial" w:hAnsi="Arial"/>
          <w:sz w:val="18"/>
          <w:szCs w:val="18"/>
          <w:color w:val="auto"/>
        </w:rPr>
        <w:t>Attention: Corporate Secretary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sets forth the estimated expenses in connection with the issuance of the securities being registered. Other than the SEC registration fee, all of the amounts listed are estimates.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 Registration Fee</w:t>
            </w: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3,472.47</w:t>
            </w: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color w:val="auto"/>
              </w:rPr>
              <w:t>Accounting Fees and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Legal Fees and Expenses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color w:val="auto"/>
              </w:rPr>
              <w:t>Transfer Agent and Registrar Fees and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Miscellaneous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09"/>
        </w:trPr>
        <w:tc>
          <w:tcPr>
            <w:tcW w:w="9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83,472.47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Section 145 of the Delaware General Corporation Law (“DGCL”) provides, among other things, that a corporation may indemnify any director or officer of the corporation who was or is a party or is threatened to be made a party to any threatened, pending or completed action, suit or proceeding (other than an action by or in the right of the corporation) by reason of the fact that the person is or was a director or officer of the corporation, or is or was serving at the corporation’s request as a director or officer of another entity, against expenses (including attorneys’ fees), judgments, fines and amounts paid in settlement actually and reasonably incurred by the person in connection with such action, suit or proceeding if the person acted in good faith and in a manner he or she reasonably believed to be in or not opposed to the best interests of the corporation and, with respect to any criminal action or proceeding, had no reasonable cause to believe his or her conduct was unlawful. The power to indemnify also applies to any threatened, pending or completed action or suit brought by or in the right of the corporation, but only to the extent of expenses (including attorneys’ fees) actually and reasonably incurred by the person in connection with the defense or settlement of such action or suit if the person acted in good faith and in a manner he or she reasonably believed to be in or not opposed to the best interests of the corporation and except that no indemnification will be made in respect of any claim, issue or matter as to which such person has been adjudged to be liable to the corporation unless and only to the extent that the court in which such action or suit was brought determines upon application that, despite the adjudication of liability but in view of all of the circumstances of the case, such person is fairly and reasonably entitled to indemnity for such expenses which the court deems proper. To the extent that a present or former director or officer has been successful on the merits or otherwise in defense of any action, suit or proceeding referred to above, or in defense of any claim, issue or matter therein, such person will be indemnified against expenses (including attorneys’ fees) actually and reasonably incurred by such person in connection therewith.</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Section 102(b)(7) of the DGCL provides that a corporation may eliminate or limit the personal liability of a director to the corporation or its stockholders for monetary damages for breach of fiduciary duty as a director, provided that such provision will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No such provision will eliminate or limit the liability of a director for any act or omission occurring prior to the date when such provision becomes effective.</w:t>
      </w:r>
    </w:p>
    <w:p>
      <w:pPr>
        <w:spacing w:after="0" w:line="192" w:lineRule="exact"/>
        <w:rPr>
          <w:sz w:val="20"/>
          <w:szCs w:val="20"/>
          <w:color w:val="auto"/>
        </w:rPr>
      </w:pPr>
    </w:p>
    <w:p>
      <w:pPr>
        <w:ind w:right="380" w:firstLine="648"/>
        <w:spacing w:after="0" w:line="275" w:lineRule="auto"/>
        <w:rPr>
          <w:sz w:val="20"/>
          <w:szCs w:val="20"/>
          <w:color w:val="auto"/>
        </w:rPr>
      </w:pPr>
      <w:r>
        <w:rPr>
          <w:rFonts w:ascii="Arial" w:cs="Arial" w:eastAsia="Arial" w:hAnsi="Arial"/>
          <w:sz w:val="17"/>
          <w:szCs w:val="17"/>
          <w:color w:val="auto"/>
        </w:rPr>
        <w:t>The Company’s Restated Certificate of Incorporation provides that it shall indemnify and hold harmless its officers and directors to the fullest extent authorized by the DGCL, as the DGCL exists or is amended to permit the Company to provide broader indemnification rights than the DGCL provided prior to such amendment, against all expense, liability and loss (including attorneys’ fees), reasonably incurred or suffered by such person in connection therewith; provided, however, that the Company shall indemnify any such person seeking indemnification in connection with a proceeding initiated by such person only if such proceeding was authorized by the Board.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right="60" w:firstLine="648"/>
        <w:spacing w:after="0" w:line="277" w:lineRule="auto"/>
        <w:rPr>
          <w:sz w:val="20"/>
          <w:szCs w:val="20"/>
          <w:color w:val="auto"/>
        </w:rPr>
      </w:pPr>
      <w:r>
        <w:rPr>
          <w:rFonts w:ascii="Arial" w:cs="Arial" w:eastAsia="Arial" w:hAnsi="Arial"/>
          <w:sz w:val="18"/>
          <w:szCs w:val="18"/>
          <w:color w:val="auto"/>
        </w:rPr>
        <w:t>In addition, the Company’s Amended and Restated By-laws require the Company to indemnify its officers and directors to the extent permitted by the DGCL.</w:t>
      </w:r>
    </w:p>
    <w:p>
      <w:pPr>
        <w:spacing w:after="0" w:line="17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attached hereto and incorporated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960" w:hanging="656"/>
        <w:spacing w:after="0" w:line="291" w:lineRule="auto"/>
        <w:tabs>
          <w:tab w:leader="none" w:pos="1960" w:val="left"/>
        </w:tabs>
        <w:numPr>
          <w:ilvl w:val="2"/>
          <w:numId w:val="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66" w:lineRule="exact"/>
        <w:rPr>
          <w:rFonts w:ascii="Arial" w:cs="Arial" w:eastAsia="Arial" w:hAnsi="Arial"/>
          <w:sz w:val="16"/>
          <w:szCs w:val="16"/>
          <w:color w:val="auto"/>
        </w:rPr>
      </w:pPr>
    </w:p>
    <w:p>
      <w:pPr>
        <w:ind w:left="1960" w:right="60" w:hanging="656"/>
        <w:spacing w:after="0" w:line="277"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(i), (ii) and (iii)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left="1300" w:right="180" w:hanging="644"/>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1292" w:hanging="644"/>
        <w:spacing w:after="0"/>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952" w:right="100" w:hanging="656"/>
        <w:spacing w:after="0" w:line="277" w:lineRule="auto"/>
        <w:tabs>
          <w:tab w:leader="none" w:pos="1952"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952" w:right="80" w:hanging="656"/>
        <w:spacing w:after="0" w:line="287" w:lineRule="auto"/>
        <w:tabs>
          <w:tab w:leader="none" w:pos="1952" w:val="left"/>
        </w:tabs>
        <w:numPr>
          <w:ilvl w:val="2"/>
          <w:numId w:val="9"/>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7" w:lineRule="exact"/>
        <w:rPr>
          <w:rFonts w:ascii="Arial" w:cs="Arial" w:eastAsia="Arial" w:hAnsi="Arial"/>
          <w:sz w:val="16"/>
          <w:szCs w:val="16"/>
          <w:color w:val="auto"/>
        </w:rPr>
      </w:pPr>
    </w:p>
    <w:p>
      <w:pPr>
        <w:ind w:left="652" w:right="80" w:hanging="652"/>
        <w:spacing w:after="0" w:line="257"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652" w:hanging="652"/>
        <w:spacing w:after="0" w:line="271" w:lineRule="auto"/>
        <w:tabs>
          <w:tab w:leader="none" w:pos="6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April 13, 2021.</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TAKE-TWO INTERACTIVE SOFTWARE,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604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Strauss Zelnick</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Chairman and Chief Executive Officer</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Each person whose signature appears below constitutes and appoints each of Strauss Zelnick and Daniel P. Emerson his or her true and lawful attorney-in-fact and agent, with full power of substitution and re-substitution, for him or her in his or her name, place and stead, in any and all capacities, to sign any and all amendments to this Registration Statement, and to file the same, with all exhibits thereto, and other documents in connection therewith, with the Securities and Exchange Commission, and hereby grants to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147955</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and on the date set forth above.</w:t>
      </w:r>
    </w:p>
    <w:p>
      <w:pPr>
        <w:sectPr>
          <w:pgSz w:w="11900" w:h="16838" w:orient="portrait"/>
          <w:cols w:equalWidth="0" w:num="1">
            <w:col w:w="11220"/>
          </w:cols>
          <w:pgMar w:left="320" w:top="904" w:right="3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7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Strauss Zelnick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Michael Dornemann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7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Dornemann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 Moses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7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 w:lineRule="exact"/>
        <w:rPr>
          <w:sz w:val="20"/>
          <w:szCs w:val="20"/>
          <w:color w:val="auto"/>
        </w:rPr>
      </w:pPr>
    </w:p>
    <w:p>
      <w:pPr>
        <w:jc w:val="both"/>
        <w:ind w:right="4420" w:firstLine="8"/>
        <w:spacing w:after="0" w:line="341" w:lineRule="auto"/>
        <w:tabs>
          <w:tab w:leader="none" w:pos="1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Moses Director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LaVerne 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7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LaVerne Srinivasan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Paul Viera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7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Viera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88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Lainie Goldstein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Roland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886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Roland Hernandez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Michael Sheresky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88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Sheresky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Susan Tolson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88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Susan Tolson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077" w:lineRule="exact"/>
        <w:rPr>
          <w:sz w:val="20"/>
          <w:szCs w:val="20"/>
          <w:color w:val="auto"/>
        </w:rPr>
      </w:pPr>
    </w:p>
    <w:p>
      <w:pPr>
        <w:sectPr>
          <w:pgSz w:w="11900" w:h="16838" w:orient="portrait"/>
          <w:cols w:equalWidth="0" w:num="2">
            <w:col w:w="5020" w:space="720"/>
            <w:col w:w="5480"/>
          </w:cols>
          <w:pgMar w:left="320" w:top="904" w:right="35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440" w:type="dxa"/>
            <w:vAlign w:val="bottom"/>
            <w:gridSpan w:val="6"/>
          </w:tcPr>
          <w:p>
            <w:pPr>
              <w:ind w:left="12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1000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Description of Document</w:t>
            </w:r>
          </w:p>
        </w:tc>
      </w:tr>
      <w:tr>
        <w:trPr>
          <w:trHeight w:val="169"/>
        </w:trPr>
        <w:tc>
          <w:tcPr>
            <w:tcW w:w="680" w:type="dxa"/>
            <w:vAlign w:val="bottom"/>
            <w:gridSpan w:val="3"/>
          </w:tcPr>
          <w:p>
            <w:pPr>
              <w:jc w:val="center"/>
              <w:ind w:left="270"/>
              <w:spacing w:after="0" w:line="169"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5.</w:t>
              </w:r>
              <w:r>
                <w:rPr>
                  <w:rFonts w:ascii="Arial" w:cs="Arial" w:eastAsia="Arial" w:hAnsi="Arial"/>
                  <w:sz w:val="18"/>
                  <w:szCs w:val="18"/>
                  <w:u w:val="single" w:color="auto"/>
                  <w:color w:val="0000EE"/>
                  <w:w w:val="99"/>
                </w:rPr>
                <w:t>1*</w:t>
              </w:r>
            </w:hyperlink>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0" w:type="dxa"/>
            <w:vAlign w:val="bottom"/>
            <w:gridSpan w:val="8"/>
          </w:tcPr>
          <w:p>
            <w:pPr>
              <w:ind w:left="20"/>
              <w:spacing w:after="0" w:line="169" w:lineRule="exact"/>
              <w:rPr>
                <w:rFonts w:ascii="Arial" w:cs="Arial" w:eastAsia="Arial" w:hAnsi="Arial"/>
                <w:sz w:val="18"/>
                <w:szCs w:val="18"/>
                <w:color w:val="0000EE"/>
              </w:rPr>
            </w:pPr>
            <w:hyperlink w:anchor="page19">
              <w:r>
                <w:rPr>
                  <w:rFonts w:ascii="Arial" w:cs="Arial" w:eastAsia="Arial" w:hAnsi="Arial"/>
                  <w:sz w:val="18"/>
                  <w:szCs w:val="18"/>
                  <w:color w:val="0000EE"/>
                </w:rPr>
                <w:t>Opinion of Willkie Farr &amp; Gallagher LLP (counsel).</w:t>
              </w:r>
            </w:hyperlink>
          </w:p>
        </w:tc>
      </w:tr>
      <w:tr>
        <w:trPr>
          <w:trHeight w:val="20"/>
        </w:trPr>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720" w:type="dxa"/>
            <w:vAlign w:val="bottom"/>
            <w:gridSpan w:val="3"/>
          </w:tcPr>
          <w:p>
            <w:pPr>
              <w:jc w:val="center"/>
              <w:ind w:right="300"/>
              <w:spacing w:after="0"/>
              <w:rPr>
                <w:rFonts w:ascii="Arial" w:cs="Arial" w:eastAsia="Arial" w:hAnsi="Arial"/>
                <w:sz w:val="18"/>
                <w:szCs w:val="18"/>
                <w:color w:val="0000EE"/>
                <w:w w:val="92"/>
              </w:rPr>
            </w:pPr>
            <w:hyperlink r:id="rId60">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w:t>
              </w:r>
            </w:hyperlink>
          </w:p>
        </w:tc>
        <w:tc>
          <w:tcPr>
            <w:tcW w:w="220" w:type="dxa"/>
            <w:vAlign w:val="bottom"/>
          </w:tcPr>
          <w:p>
            <w:pPr>
              <w:spacing w:after="0"/>
              <w:rPr>
                <w:sz w:val="24"/>
                <w:szCs w:val="24"/>
                <w:color w:val="auto"/>
              </w:rPr>
            </w:pPr>
          </w:p>
        </w:tc>
        <w:tc>
          <w:tcPr>
            <w:tcW w:w="10000" w:type="dxa"/>
            <w:vAlign w:val="bottom"/>
            <w:gridSpan w:val="8"/>
          </w:tcPr>
          <w:p>
            <w:pPr>
              <w:ind w:left="20"/>
              <w:spacing w:after="0"/>
              <w:rPr>
                <w:rFonts w:ascii="Arial" w:cs="Arial" w:eastAsia="Arial" w:hAnsi="Arial"/>
                <w:sz w:val="18"/>
                <w:szCs w:val="18"/>
                <w:color w:val="0000EE"/>
                <w:w w:val="96"/>
              </w:rPr>
            </w:pPr>
            <w:hyperlink r:id="rId60">
              <w:r>
                <w:rPr>
                  <w:rFonts w:ascii="Arial" w:cs="Arial" w:eastAsia="Arial" w:hAnsi="Arial"/>
                  <w:sz w:val="18"/>
                  <w:szCs w:val="18"/>
                  <w:color w:val="0000EE"/>
                  <w:w w:val="96"/>
                </w:rPr>
                <w:t>Management Agreement, dated as of November 17, 2017, by and between Take-Two Interactive Software, Inc. and ZelnickMedia</w:t>
              </w:r>
            </w:hyperlink>
          </w:p>
        </w:tc>
      </w:tr>
      <w:tr>
        <w:trPr>
          <w:trHeight w:val="196"/>
        </w:trPr>
        <w:tc>
          <w:tcPr>
            <w:tcW w:w="30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tcBorders>
              <w:top w:val="single" w:sz="8" w:color="0000EE"/>
            </w:tcBorders>
            <w:gridSpan w:val="7"/>
          </w:tcPr>
          <w:p>
            <w:pPr>
              <w:ind w:left="20"/>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Corporation.</w:t>
              </w:r>
            </w:hyperlink>
          </w:p>
        </w:tc>
        <w:tc>
          <w:tcPr>
            <w:tcW w:w="64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12"/>
        </w:trPr>
        <w:tc>
          <w:tcPr>
            <w:tcW w:w="680" w:type="dxa"/>
            <w:vAlign w:val="bottom"/>
            <w:gridSpan w:val="3"/>
          </w:tcPr>
          <w:p>
            <w:pPr>
              <w:jc w:val="center"/>
              <w:ind w:left="190"/>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hyperlink>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gridSpan w:val="8"/>
          </w:tcPr>
          <w:p>
            <w:pPr>
              <w:ind w:left="20"/>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Restricted Unit Agreement, dated as of April 13, 2021, by and between Take-Two Interactive Software, Inc. and ZelnickMedia</w:t>
              </w:r>
            </w:hyperlink>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4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Corporation.</w:t>
              </w:r>
            </w:hyperlink>
          </w:p>
        </w:tc>
        <w:tc>
          <w:tcPr>
            <w:tcW w:w="860" w:type="dxa"/>
            <w:vAlign w:val="bottom"/>
            <w:gridSpan w:val="2"/>
          </w:tcPr>
          <w:p>
            <w:pPr>
              <w:spacing w:after="0"/>
              <w:rPr>
                <w:sz w:val="17"/>
                <w:szCs w:val="17"/>
                <w:color w:val="auto"/>
              </w:rPr>
            </w:pPr>
          </w:p>
        </w:tc>
      </w:tr>
      <w:tr>
        <w:trPr>
          <w:trHeight w:val="20"/>
        </w:trPr>
        <w:tc>
          <w:tcPr>
            <w:tcW w:w="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r>
      <w:tr>
        <w:trPr>
          <w:trHeight w:val="412"/>
        </w:trPr>
        <w:tc>
          <w:tcPr>
            <w:tcW w:w="680" w:type="dxa"/>
            <w:vAlign w:val="bottom"/>
            <w:gridSpan w:val="3"/>
          </w:tcPr>
          <w:p>
            <w:pPr>
              <w:jc w:val="center"/>
              <w:ind w:left="190"/>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hyperlink>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Borders>
              <w:bottom w:val="single" w:sz="8" w:color="0000EE"/>
            </w:tcBorders>
            <w:gridSpan w:val="4"/>
          </w:tcPr>
          <w:p>
            <w:pPr>
              <w:ind w:left="20"/>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Consent of Willkie Farr &amp; Gallagher LLP (counsel) (included in Exhibit 5.1).</w:t>
              </w:r>
            </w:hyperlink>
          </w:p>
        </w:tc>
        <w:tc>
          <w:tcPr>
            <w:tcW w:w="4400" w:type="dxa"/>
            <w:vAlign w:val="bottom"/>
            <w:gridSpan w:val="4"/>
          </w:tcPr>
          <w:p>
            <w:pPr>
              <w:spacing w:after="0"/>
              <w:rPr>
                <w:sz w:val="24"/>
                <w:szCs w:val="24"/>
                <w:color w:val="auto"/>
              </w:rPr>
            </w:pPr>
          </w:p>
        </w:tc>
      </w:tr>
      <w:tr>
        <w:trPr>
          <w:trHeight w:val="412"/>
        </w:trPr>
        <w:tc>
          <w:tcPr>
            <w:tcW w:w="680" w:type="dxa"/>
            <w:vAlign w:val="bottom"/>
            <w:gridSpan w:val="3"/>
          </w:tcPr>
          <w:p>
            <w:pPr>
              <w:jc w:val="center"/>
              <w:ind w:left="190"/>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hyperlink>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Borders>
              <w:bottom w:val="single" w:sz="8" w:color="0000EE"/>
            </w:tcBorders>
            <w:gridSpan w:val="5"/>
          </w:tcPr>
          <w:p>
            <w:pPr>
              <w:ind w:left="20"/>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Consent of Ernst &amp; Young LLP (independent registered public accounting firm).</w:t>
              </w:r>
            </w:hyperlink>
          </w:p>
        </w:tc>
        <w:tc>
          <w:tcPr>
            <w:tcW w:w="4180" w:type="dxa"/>
            <w:vAlign w:val="bottom"/>
            <w:gridSpan w:val="3"/>
          </w:tcPr>
          <w:p>
            <w:pPr>
              <w:spacing w:after="0"/>
              <w:rPr>
                <w:sz w:val="24"/>
                <w:szCs w:val="24"/>
                <w:color w:val="auto"/>
              </w:rPr>
            </w:pPr>
          </w:p>
        </w:tc>
      </w:tr>
      <w:tr>
        <w:trPr>
          <w:trHeight w:val="412"/>
        </w:trPr>
        <w:tc>
          <w:tcPr>
            <w:tcW w:w="680" w:type="dxa"/>
            <w:vAlign w:val="bottom"/>
            <w:gridSpan w:val="3"/>
          </w:tcPr>
          <w:p>
            <w:pPr>
              <w:jc w:val="center"/>
              <w:ind w:left="190"/>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24.</w:t>
              </w:r>
              <w:r>
                <w:rPr>
                  <w:rFonts w:ascii="Arial" w:cs="Arial" w:eastAsia="Arial" w:hAnsi="Arial"/>
                  <w:sz w:val="18"/>
                  <w:szCs w:val="18"/>
                  <w:u w:val="single" w:color="auto"/>
                  <w:color w:val="0000EE"/>
                  <w:w w:val="95"/>
                </w:rPr>
                <w:t>1*</w:t>
              </w:r>
            </w:hyperlink>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gridSpan w:val="8"/>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Powers of Attorney (included on signature page).</w:t>
              </w:r>
            </w:hyperlink>
          </w:p>
        </w:tc>
      </w:tr>
      <w:tr>
        <w:trPr>
          <w:trHeight w:val="20"/>
        </w:trPr>
        <w:tc>
          <w:tcPr>
            <w:tcW w:w="3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left="180" w:hanging="127"/>
        <w:spacing w:after="0"/>
        <w:tabs>
          <w:tab w:leader="none" w:pos="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Current Report on Form 8-K dated November 22, 2017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13,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 West 44th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Take-Two Interactive Software,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Registration Statement on Form S-3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acted as counsel to Take-Two Interactive Software, Inc., a Delaware corporation (the “Company”), with respect to the Company’s Registration Statement on Form S-3 (the “Registration Statement”) to be filed by the Company with the Securities and Exchange Commission on or about the date hereof. The Registration Statement relates to the registration under the Securities Act of 1933, as amended (the “Act”), by the Company of an additional 175,001 shares of Common Stock, par value $0.01 per share (the “Common Stock”) upon the settlement of restricted units that were granted by the Company to ZelnickMedia Corporation under the Company’s 2017 Stock Incentive Plan (the “Plan”) pursuant to the terms of a Restricted Unit Agreement, dated as of April 13, 2021, by and between the Company and ZelnickMedia Corporation.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examined, among other things, originals and/or copies (certified or otherwise identified to our satisfaction) of such documents, papers, statutes, and authorities as we have deemed necessary to form a basis for the opinion hereinafter expressed. In our examination, we have assumed the genuineness of all signatures and the conformity to original documents of all copies submitted to us. As to various questions of fact material to our opinion, we have relied on statements and certificates of officers and representatives of the Company.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foregoing, and subject to the limitations, qualifications, exceptions and assumptions expressed herein, we are of the opinion that the Common Stock to be issued by the Company under the Plan, when duly issued and delivered pursuant to the terms of the Plan, will be legally issued, fully paid, and non-assessable.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opinion is limited to the General Corporation Law of the State of Delaware, and we express no opinion with respect to the laws of any other jurisdiction or any other laws of the State of Delaware.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prospectus contained in the Registration Statement. In giving such consent, we do not thereby admit that we are in the category of persons whose consent is required under Section 7 of the Act.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opinion letter is rendered as of the date first written above and we disclaim any obligation to advise you of facts, circumstances, events or developments that hereafter may be brought to our attention and that may alter, affect or modify the opinion expressed herein. Our opinion is expressly limited to the matters set forth above and we render no opinion, whether by implication or otherwise, as to any other matters relating to the Company, ZelnickMedia Corporation or the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Willkie Farr &amp; Gallagher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STOCK INCENTIVE PLAN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Restricted Unit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April 13, 2021, is made by and between Take-Two Interactive Software, Inc.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and ZelnickMedia Corporation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adopted the Take-Two Interactive Software, Inc. 2017 Stock Incentive Plan (as amended and restated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w:t>
      </w:r>
      <w:r>
        <w:rPr>
          <w:rFonts w:ascii="Arial" w:cs="Arial" w:eastAsia="Arial" w:hAnsi="Arial"/>
          <w:sz w:val="18"/>
          <w:szCs w:val="18"/>
          <w:b w:val="1"/>
          <w:bCs w:val="1"/>
          <w:color w:val="auto"/>
        </w:rPr>
        <w:t>Plan</w:t>
      </w:r>
      <w:r>
        <w:rPr>
          <w:rFonts w:ascii="Arial" w:cs="Arial" w:eastAsia="Arial" w:hAnsi="Arial"/>
          <w:sz w:val="18"/>
          <w:szCs w:val="18"/>
          <w:color w:val="auto"/>
        </w:rPr>
        <w:t>”), a copy of which has been delivered to the Participant, which is administered by a committee appointed by the Company’s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7 of the Plan, the Committee may grant restricted stock units (“</w:t>
      </w:r>
      <w:r>
        <w:rPr>
          <w:rFonts w:ascii="Arial" w:cs="Arial" w:eastAsia="Arial" w:hAnsi="Arial"/>
          <w:sz w:val="18"/>
          <w:szCs w:val="18"/>
          <w:b w:val="1"/>
          <w:bCs w:val="1"/>
          <w:color w:val="auto"/>
        </w:rPr>
        <w:t>Restricted Units</w:t>
      </w:r>
      <w:r>
        <w:rPr>
          <w:rFonts w:ascii="Arial" w:cs="Arial" w:eastAsia="Arial" w:hAnsi="Arial"/>
          <w:sz w:val="18"/>
          <w:szCs w:val="18"/>
          <w:color w:val="auto"/>
        </w:rPr>
        <w:t>”), each representing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one (1) share (a “</w:t>
      </w:r>
      <w:r>
        <w:rPr>
          <w:rFonts w:ascii="Arial" w:cs="Arial" w:eastAsia="Arial" w:hAnsi="Arial"/>
          <w:sz w:val="18"/>
          <w:szCs w:val="18"/>
          <w:b w:val="1"/>
          <w:bCs w:val="1"/>
          <w:color w:val="auto"/>
        </w:rPr>
        <w:t>Share</w:t>
      </w:r>
      <w:r>
        <w:rPr>
          <w:rFonts w:ascii="Arial" w:cs="Arial" w:eastAsia="Arial" w:hAnsi="Arial"/>
          <w:sz w:val="18"/>
          <w:szCs w:val="18"/>
          <w:color w:val="auto"/>
        </w:rPr>
        <w:t>”) of the Company’s common stock, par value $0.01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or the cash value of one (1) share of Common Stock, as determined by the Committee, on a specified settlement date, to Consultants; and</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Management Agreement between the Participant and the Company, dated as of November 17, 2017, and effective as</w:t>
      </w:r>
      <w:r>
        <w:rPr>
          <w:rFonts w:ascii="Arial" w:cs="Arial" w:eastAsia="Arial" w:hAnsi="Arial"/>
          <w:sz w:val="18"/>
          <w:szCs w:val="18"/>
          <w:b w:val="1"/>
          <w:bCs w:val="1"/>
          <w:color w:val="auto"/>
        </w:rPr>
        <w:t xml:space="preserve"> </w:t>
      </w:r>
      <w:r>
        <w:rPr>
          <w:rFonts w:ascii="Arial" w:cs="Arial" w:eastAsia="Arial" w:hAnsi="Arial"/>
          <w:sz w:val="18"/>
          <w:szCs w:val="18"/>
          <w:color w:val="auto"/>
        </w:rPr>
        <w:t>of January 1, 2018 (the “</w:t>
      </w:r>
      <w:r>
        <w:rPr>
          <w:rFonts w:ascii="Arial" w:cs="Arial" w:eastAsia="Arial" w:hAnsi="Arial"/>
          <w:sz w:val="18"/>
          <w:szCs w:val="18"/>
          <w:b w:val="1"/>
          <w:bCs w:val="1"/>
          <w:color w:val="auto"/>
        </w:rPr>
        <w:t>Management Agreement</w:t>
      </w:r>
      <w:r>
        <w:rPr>
          <w:rFonts w:ascii="Arial" w:cs="Arial" w:eastAsia="Arial" w:hAnsi="Arial"/>
          <w:sz w:val="18"/>
          <w:szCs w:val="18"/>
          <w:color w:val="auto"/>
        </w:rPr>
        <w:t>”), the Company may grant to the Participant additional equity awards, in amounts determined at the discretion of the Committee.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mutual promises herein contained,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agree as follows:</w:t>
      </w:r>
    </w:p>
    <w:p>
      <w:pPr>
        <w:spacing w:after="0" w:line="162" w:lineRule="exact"/>
        <w:rPr>
          <w:sz w:val="20"/>
          <w:szCs w:val="20"/>
          <w:color w:val="auto"/>
        </w:rPr>
      </w:pPr>
    </w:p>
    <w:p>
      <w:pPr>
        <w:jc w:val="both"/>
        <w:ind w:firstLine="656"/>
        <w:spacing w:after="0" w:line="286" w:lineRule="auto"/>
        <w:tabs>
          <w:tab w:leader="none" w:pos="1700" w:val="left"/>
        </w:tabs>
        <w:numPr>
          <w:ilvl w:val="0"/>
          <w:numId w:val="13"/>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 of Restricted Units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restrictions, terms and conditions of this Agreement, the Company hereby awards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175,001 Restricted Units, subject to adjustment, forfeiture and the other terms and conditions set forth below. The Restricted Units constitute an unfunded and unsecured promise of the Company to deliver (or cause to be delivered) to the Participant, subject to the terms of this Agreement, cash, Shares or a combination of cash and Shares, in the discretion of the Company, on the applicable vesting date for such Restricted Units as provided herein. Until such delivery, the Participant shall have only the rights of a general unsecured creditor, and no rights as a shareholder of the Company; provided, that if prior to the settlement of any Restricted Unit, (a) the Company pays a cash dividend (whether regular or extraordinary) or otherwise makes a cash distribution to a shareholder in respect of a Share, then the Company shall credit, in respect of each then-outstanding Restricted Unit held by the Participant, an amount equal to any such cash dividend or distribution to a book entry account on behalf of the Participant, provided that such cash dividend or distribution shall not be deemed to be reinvested in shares of Common Stock and will be held uninvested and without interest and paid in cash at the same time as such Restricted Unit vests and is settled under Section 2 below (and the Participant shall forfeit any such right to such cash if such Restricted Unit is forfeited prior to vesting), and (b) the Company pays a non-cash dividend (whether regular or extraordinary) or otherwise makes a non-cash distribution in Shares or other property to a shareholder in respect of a Share, then the Company shall provide the Participant, in respect of each then-outstanding Restricted Unit held by the Participant, an amount equal to the Fair Market Value of such Shares or an amount equal to the fair market value of such other property as reasonably determined by the Company in good faith, as applicable, at the same time as such Restricted Unit vests and is settled under Section 2 below (and the Participant shall forfeit any such right to such amount if such Restricted Unit is forfeited prior to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left="1600" w:hanging="944"/>
        <w:spacing w:after="0"/>
        <w:tabs>
          <w:tab w:leader="none" w:pos="1600"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Units shall become vested and settled in accordance with the terms set forth on Annex A attached hereto.</w:t>
      </w:r>
    </w:p>
    <w:p>
      <w:pPr>
        <w:spacing w:after="0" w:line="248" w:lineRule="exact"/>
        <w:rPr>
          <w:rFonts w:ascii="Arial" w:cs="Arial" w:eastAsia="Arial" w:hAnsi="Arial"/>
          <w:sz w:val="16"/>
          <w:szCs w:val="16"/>
          <w:color w:val="auto"/>
        </w:rPr>
      </w:pPr>
    </w:p>
    <w:p>
      <w:pPr>
        <w:ind w:firstLine="656"/>
        <w:spacing w:after="0" w:line="282" w:lineRule="auto"/>
        <w:tabs>
          <w:tab w:leader="none" w:pos="1633"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shall be solely responsible for all applicable federal, state, local, and foreign taxes the Participant incurs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vesting or settlement of the Restricted Units.</w:t>
      </w:r>
    </w:p>
    <w:p>
      <w:pPr>
        <w:spacing w:after="0" w:line="161" w:lineRule="exact"/>
        <w:rPr>
          <w:rFonts w:ascii="Arial" w:cs="Arial" w:eastAsia="Arial" w:hAnsi="Arial"/>
          <w:sz w:val="18"/>
          <w:szCs w:val="18"/>
          <w:color w:val="auto"/>
        </w:rPr>
      </w:pPr>
    </w:p>
    <w:p>
      <w:pPr>
        <w:jc w:val="both"/>
        <w:ind w:firstLine="656"/>
        <w:spacing w:after="0" w:line="261" w:lineRule="auto"/>
        <w:tabs>
          <w:tab w:leader="none" w:pos="1714"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No Obligation to Continue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not an agreement of consultancy. This Agreement does not guarantee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its affiliates will retain, or continue to retain, the Participant during the entire, or any portion of the, term of this Agreement, including but not limited to any period during which the Restricted Units are outstanding, nor does it modify in any respect the Company or its affiliate’s right to terminate or modify the Participant’s consultancy or compensation.</w:t>
      </w:r>
    </w:p>
    <w:p>
      <w:pPr>
        <w:spacing w:after="0" w:line="179" w:lineRule="exact"/>
        <w:rPr>
          <w:rFonts w:ascii="Arial" w:cs="Arial" w:eastAsia="Arial" w:hAnsi="Arial"/>
          <w:sz w:val="18"/>
          <w:szCs w:val="18"/>
          <w:color w:val="auto"/>
        </w:rPr>
      </w:pPr>
    </w:p>
    <w:p>
      <w:pPr>
        <w:jc w:val="both"/>
        <w:ind w:firstLine="656"/>
        <w:spacing w:after="0" w:line="292" w:lineRule="auto"/>
        <w:tabs>
          <w:tab w:leader="none" w:pos="1862"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 of Attorney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its successors and assigns, is hereby appointed the attorney-in-fact, with full power of</w:t>
      </w:r>
      <w:r>
        <w:rPr>
          <w:rFonts w:ascii="Arial" w:cs="Arial" w:eastAsia="Arial" w:hAnsi="Arial"/>
          <w:sz w:val="16"/>
          <w:szCs w:val="16"/>
          <w:b w:val="1"/>
          <w:bCs w:val="1"/>
          <w:color w:val="auto"/>
        </w:rPr>
        <w:t xml:space="preserve"> </w:t>
      </w:r>
      <w:r>
        <w:rPr>
          <w:rFonts w:ascii="Arial" w:cs="Arial" w:eastAsia="Arial" w:hAnsi="Arial"/>
          <w:sz w:val="16"/>
          <w:szCs w:val="16"/>
          <w:color w:val="auto"/>
        </w:rPr>
        <w:t>substitution, of the Participant for the purpose of carrying out the provisions of this Agreement and taking any action and executing any instruments which such attorney-in-fact may reasonably deem necessary or advisable to accomplish the purposes hereof, which appointment as attorney-in-fact is irrevocable and coupled with an interest. The Company, as attorney-in-fact for the Participant, may in the name and stead of the Participant, make and execute all conveyances, assignments, and transfers of the Restricted Units, Shares, and property provided for herein, and the Participant hereby ratifies and confirms all that the Company, as said attorney-in-fact, shall do by virtue hereof. Nevertheless, the Participant shall, if so requested by the Company, execute and deliver to the Company all such instruments as may, in the reasonable judgment of the Company, be advisable for the purpose.</w:t>
      </w:r>
    </w:p>
    <w:p>
      <w:pPr>
        <w:spacing w:after="0" w:line="161" w:lineRule="exact"/>
        <w:rPr>
          <w:rFonts w:ascii="Arial" w:cs="Arial" w:eastAsia="Arial" w:hAnsi="Arial"/>
          <w:sz w:val="16"/>
          <w:szCs w:val="16"/>
          <w:color w:val="auto"/>
        </w:rPr>
      </w:pPr>
    </w:p>
    <w:p>
      <w:pPr>
        <w:jc w:val="both"/>
        <w:ind w:firstLine="656"/>
        <w:spacing w:after="0" w:line="261" w:lineRule="auto"/>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Uncertificated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else herein, to the extent permitted under applicable law,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the form of uncertificated shares. Such uncertificated Shares shall be credited to a book entry account maintained by the Company (or its designee) on behalf of the Participant. If thereafter certificates are issued with respect to the uncertificated Shares, such issuance and delivery of certificates shall be in accordance with the applicable terms of this Agreement.</w:t>
      </w:r>
    </w:p>
    <w:p>
      <w:pPr>
        <w:spacing w:after="0" w:line="179" w:lineRule="exact"/>
        <w:rPr>
          <w:rFonts w:ascii="Arial" w:cs="Arial" w:eastAsia="Arial" w:hAnsi="Arial"/>
          <w:sz w:val="18"/>
          <w:szCs w:val="18"/>
          <w:color w:val="auto"/>
        </w:rPr>
      </w:pPr>
    </w:p>
    <w:p>
      <w:pPr>
        <w:jc w:val="both"/>
        <w:ind w:firstLine="656"/>
        <w:spacing w:after="0" w:line="255" w:lineRule="auto"/>
        <w:tabs>
          <w:tab w:leader="none" w:pos="1727"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subject to all the terms, conditions, and provisions of the Plan,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the amendment provisions thereof, and to such rules, regulations, and interpretations relating to the Plan as may be adopted by the Committee and as may be in effect from time to time. The Plan is incorporated herein by reference. By signing and returning this Agreement,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firstLine="656"/>
        <w:spacing w:after="0" w:line="282" w:lineRule="auto"/>
        <w:tabs>
          <w:tab w:leader="none" w:pos="193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 The Company shall make any adjustments to the Restricted Units upon any changes in capital structure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determined by the Committee in good faith and in a manner consistent with the Plan.</w:t>
      </w:r>
    </w:p>
    <w:p>
      <w:pPr>
        <w:spacing w:after="0" w:line="161" w:lineRule="exact"/>
        <w:rPr>
          <w:rFonts w:ascii="Arial" w:cs="Arial" w:eastAsia="Arial" w:hAnsi="Arial"/>
          <w:sz w:val="18"/>
          <w:szCs w:val="18"/>
          <w:color w:val="auto"/>
        </w:rPr>
      </w:pPr>
    </w:p>
    <w:p>
      <w:pPr>
        <w:ind w:right="180" w:firstLine="656"/>
        <w:spacing w:after="0" w:line="266" w:lineRule="auto"/>
        <w:tabs>
          <w:tab w:leader="none" w:pos="159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or communication given hereunder (each a “</w:t>
      </w:r>
      <w:r>
        <w:rPr>
          <w:rFonts w:ascii="Arial" w:cs="Arial" w:eastAsia="Arial" w:hAnsi="Arial"/>
          <w:sz w:val="18"/>
          <w:szCs w:val="18"/>
          <w:b w:val="1"/>
          <w:bCs w:val="1"/>
          <w:color w:val="auto"/>
        </w:rPr>
        <w:t>Notice</w:t>
      </w:r>
      <w:r>
        <w:rPr>
          <w:rFonts w:ascii="Arial" w:cs="Arial" w:eastAsia="Arial" w:hAnsi="Arial"/>
          <w:sz w:val="18"/>
          <w:szCs w:val="18"/>
          <w:color w:val="auto"/>
        </w:rPr>
        <w:t>”) shall be in writing and shall be sent by personal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by courier or by United States mail (registered or certified mail, postage prepaid and return receipt requested), to the appropriate party at the address set forth below:</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Take-Two Interactive Software, Inc.</w:t>
      </w:r>
    </w:p>
    <w:p>
      <w:pPr>
        <w:ind w:left="1300"/>
        <w:spacing w:after="0" w:line="202" w:lineRule="auto"/>
        <w:rPr>
          <w:sz w:val="20"/>
          <w:szCs w:val="20"/>
          <w:color w:val="auto"/>
        </w:rPr>
      </w:pPr>
      <w:r>
        <w:rPr>
          <w:rFonts w:ascii="Arial" w:cs="Arial" w:eastAsia="Arial" w:hAnsi="Arial"/>
          <w:sz w:val="18"/>
          <w:szCs w:val="18"/>
          <w:color w:val="auto"/>
        </w:rPr>
        <w:t>110 West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(646) 536-2842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Participant,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ZelnickMedia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110 East 59th Street, 24th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(212) 223-1383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Strauss Zelnick</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such other address or to the attention of such other person as a party shall have specified by prior Notice to the other party. Each Notice will be deemed given and effective upon actual receipt (or refusal of receipt).</w:t>
      </w:r>
    </w:p>
    <w:p>
      <w:pPr>
        <w:spacing w:after="0" w:line="166" w:lineRule="exact"/>
        <w:rPr>
          <w:sz w:val="20"/>
          <w:szCs w:val="20"/>
          <w:color w:val="auto"/>
        </w:rPr>
      </w:pPr>
    </w:p>
    <w:p>
      <w:pPr>
        <w:jc w:val="both"/>
        <w:ind w:firstLine="656"/>
        <w:spacing w:after="0" w:line="261" w:lineRule="auto"/>
        <w:tabs>
          <w:tab w:leader="none" w:pos="1624"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All questions concerning the construction, validity, and interpretation of this Agreement will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79" w:lineRule="exact"/>
        <w:rPr>
          <w:rFonts w:ascii="Arial" w:cs="Arial" w:eastAsia="Arial" w:hAnsi="Arial"/>
          <w:sz w:val="18"/>
          <w:szCs w:val="18"/>
          <w:color w:val="auto"/>
        </w:rPr>
      </w:pPr>
    </w:p>
    <w:p>
      <w:pPr>
        <w:jc w:val="both"/>
        <w:ind w:firstLine="656"/>
        <w:spacing w:after="0" w:line="268" w:lineRule="auto"/>
        <w:tabs>
          <w:tab w:leader="none" w:pos="1698"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Consent to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in the Plan to the contrary, in the event of any dispute, controversy, or claim</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Company or any affiliate and the Participant in any way concerning, arising out of or relating to the Plan or this Agreement (a “</w:t>
      </w:r>
      <w:r>
        <w:rPr>
          <w:rFonts w:ascii="Arial" w:cs="Arial" w:eastAsia="Arial" w:hAnsi="Arial"/>
          <w:sz w:val="17"/>
          <w:szCs w:val="17"/>
          <w:b w:val="1"/>
          <w:bCs w:val="1"/>
          <w:color w:val="auto"/>
        </w:rPr>
        <w:t>Dispute</w:t>
      </w:r>
      <w:r>
        <w:rPr>
          <w:rFonts w:ascii="Arial" w:cs="Arial" w:eastAsia="Arial" w:hAnsi="Arial"/>
          <w:sz w:val="17"/>
          <w:szCs w:val="17"/>
          <w:color w:val="auto"/>
        </w:rPr>
        <w:t>”), including without limitation any Dispute concerning, arising out of, or relating to the interpretation, application, or enforcement of the Plan or this Agreement, the parties hereby (a) agree and consent to the personal jurisdiction of the courts of the State of New York located in New York County and/or the Federal Courts of the United States of America located in the Southern District of New York (collectively, the “</w:t>
      </w:r>
      <w:r>
        <w:rPr>
          <w:rFonts w:ascii="Arial" w:cs="Arial" w:eastAsia="Arial" w:hAnsi="Arial"/>
          <w:sz w:val="17"/>
          <w:szCs w:val="17"/>
          <w:b w:val="1"/>
          <w:bCs w:val="1"/>
          <w:color w:val="auto"/>
        </w:rPr>
        <w:t>Agreed Venue</w:t>
      </w:r>
      <w:r>
        <w:rPr>
          <w:rFonts w:ascii="Arial" w:cs="Arial" w:eastAsia="Arial" w:hAnsi="Arial"/>
          <w:sz w:val="17"/>
          <w:szCs w:val="17"/>
          <w:color w:val="auto"/>
        </w:rPr>
        <w:t>”) for resolution of any such Dispute, (b) agree that those courts in the Agreed Venue, and only those courts, shall have exclusive jurisdiction to determine any Dispute, including any appeal, and (c) agree that any cause of action arising out of this Agreement shall be deemed to have arisen from a transaction of business in the State of New York. The parties also hereby irrevocably (i) submit to the jurisdiction of any competent court in the Agreed Venue (and of the appropriate appellate courts therefrom), (ii) to the fullest extent permitted by law, waive any and all defenses the parties may have on the grounds of lack of jurisdiction of any such court and any other objection that such parties may now or hereafter have to the laying of the venue of any such suit, action, or proceeding in any such court (including without limitation any defense that any such suit, action, or proceeding brought in any such court has been brought in an inconvenient forum), and (iii) consent to service of process in any such suit, action, or proceeding anywhere in the world, whether within or without the jurisdiction of any such court, in any manner provided by applicable law. Without limiting the foregoing, each party agrees that service of process on such party pursuant to a Notice as provided in Section 9 hereof shall be deemed effective service of process on such party. Any action for enforcement or recognition of any judgment obtained in connection with a Dispute may be enforced in any competent court in the Agreed Venue or in any other court of competent jurisdiction.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20" w:right="20" w:firstLine="656"/>
        <w:spacing w:after="0" w:line="282" w:lineRule="auto"/>
        <w:tabs>
          <w:tab w:leader="none" w:pos="1496"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(including by facsimile transmission) with counterpart signature pages or in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be an original and all of which taken together shall constitute one and the same agreement.</w:t>
      </w:r>
    </w:p>
    <w:p>
      <w:pPr>
        <w:spacing w:after="0" w:line="161" w:lineRule="exact"/>
        <w:rPr>
          <w:rFonts w:ascii="Arial" w:cs="Arial" w:eastAsia="Arial" w:hAnsi="Arial"/>
          <w:sz w:val="18"/>
          <w:szCs w:val="18"/>
          <w:color w:val="auto"/>
        </w:rPr>
      </w:pPr>
    </w:p>
    <w:p>
      <w:pPr>
        <w:jc w:val="both"/>
        <w:ind w:left="-20" w:firstLine="656"/>
        <w:spacing w:after="0" w:line="261" w:lineRule="auto"/>
        <w:tabs>
          <w:tab w:leader="none" w:pos="151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subject to the terms of the Plan, at any time and from time to time amend, in whole or in part, any</w:t>
      </w:r>
      <w:r>
        <w:rPr>
          <w:rFonts w:ascii="Arial" w:cs="Arial" w:eastAsia="Arial" w:hAnsi="Arial"/>
          <w:sz w:val="18"/>
          <w:szCs w:val="18"/>
          <w:b w:val="1"/>
          <w:bCs w:val="1"/>
          <w:color w:val="auto"/>
        </w:rPr>
        <w:t xml:space="preserve"> </w:t>
      </w:r>
      <w:r>
        <w:rPr>
          <w:rFonts w:ascii="Arial" w:cs="Arial" w:eastAsia="Arial" w:hAnsi="Arial"/>
          <w:sz w:val="18"/>
          <w:szCs w:val="18"/>
          <w:color w:val="auto"/>
        </w:rPr>
        <w:t>or all of the provisions of this Agreement, and may also suspend or terminate this Agreement, subject to the terms of the Plan. Except as otherwise provided in the Plan, no modification or waiver of any of the provisions of this Agreement shall be effective unless in writing by the party against whom it is sought to be enforced.</w:t>
      </w:r>
    </w:p>
    <w:p>
      <w:pPr>
        <w:spacing w:after="0" w:line="179" w:lineRule="exact"/>
        <w:rPr>
          <w:rFonts w:ascii="Arial" w:cs="Arial" w:eastAsia="Arial" w:hAnsi="Arial"/>
          <w:sz w:val="18"/>
          <w:szCs w:val="18"/>
          <w:color w:val="auto"/>
        </w:rPr>
      </w:pPr>
    </w:p>
    <w:p>
      <w:pPr>
        <w:ind w:left="1500" w:hanging="864"/>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20" w:firstLine="1304"/>
        <w:spacing w:after="0" w:line="277" w:lineRule="auto"/>
        <w:tabs>
          <w:tab w:leader="none" w:pos="2501"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parties hereto and their respective heirs, legal representatives, successors, and assigns.</w:t>
      </w:r>
    </w:p>
    <w:p>
      <w:pPr>
        <w:spacing w:after="0" w:line="170" w:lineRule="exact"/>
        <w:rPr>
          <w:rFonts w:ascii="Arial" w:cs="Arial" w:eastAsia="Arial" w:hAnsi="Arial"/>
          <w:sz w:val="18"/>
          <w:szCs w:val="18"/>
          <w:color w:val="auto"/>
        </w:rPr>
      </w:pPr>
    </w:p>
    <w:p>
      <w:pPr>
        <w:ind w:left="-20" w:firstLine="1304"/>
        <w:spacing w:after="0" w:line="342" w:lineRule="auto"/>
        <w:tabs>
          <w:tab w:leader="none" w:pos="2174"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This Agreement, the Plan, and the Management Agreement contain the entire understanding of the parties with respect to the subject matter hereof and supersedes any prior agreements between the Company and the Participant with respect to the subject matter hereof.</w:t>
      </w:r>
    </w:p>
    <w:p>
      <w:pPr>
        <w:spacing w:after="0" w:line="123" w:lineRule="exact"/>
        <w:rPr>
          <w:rFonts w:ascii="Arial" w:cs="Arial" w:eastAsia="Arial" w:hAnsi="Arial"/>
          <w:sz w:val="16"/>
          <w:szCs w:val="16"/>
          <w:color w:val="auto"/>
        </w:rPr>
      </w:pPr>
    </w:p>
    <w:p>
      <w:pPr>
        <w:jc w:val="both"/>
        <w:ind w:left="-20" w:firstLine="1304"/>
        <w:spacing w:after="0" w:line="259" w:lineRule="auto"/>
        <w:tabs>
          <w:tab w:leader="none" w:pos="22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3" w:name="page24"/>
    <w:bookmarkEnd w:id="23"/>
    <w:p>
      <w:pPr>
        <w:jc w:val="both"/>
        <w:ind w:left="-20" w:firstLine="1304"/>
        <w:spacing w:after="0" w:line="272" w:lineRule="auto"/>
        <w:tabs>
          <w:tab w:leader="none" w:pos="2268"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Although the Company makes no guarantee with respect to the tax treatment of the Restricted Units, the Company intends that the Restricted Units shall not constitute “nonqualified deferred compensation” subject to Section 409A of the Internal Revenue Code of 1986, as amended, and any successor provision or any Treasury Regulation promulgated thereunder (“</w:t>
      </w:r>
      <w:r>
        <w:rPr>
          <w:rFonts w:ascii="Arial" w:cs="Arial" w:eastAsia="Arial" w:hAnsi="Arial"/>
          <w:sz w:val="17"/>
          <w:szCs w:val="17"/>
          <w:b w:val="1"/>
          <w:bCs w:val="1"/>
          <w:color w:val="auto"/>
        </w:rPr>
        <w:t>Section 409A</w:t>
      </w:r>
      <w:r>
        <w:rPr>
          <w:rFonts w:ascii="Arial" w:cs="Arial" w:eastAsia="Arial" w:hAnsi="Arial"/>
          <w:sz w:val="17"/>
          <w:szCs w:val="17"/>
          <w:color w:val="auto"/>
        </w:rPr>
        <w:t>”) and this Agreement shall be interpreted, administered and construed consistent with such intent. If, and only to the extent that, (i) the Restricted Units constitute “deferred compensation” within the meaning of Section 409A and (ii) the Participant is deemed to be a “specified employee” (as such term is defined in Section 409A and as determined by the Company), the payment of Restricted Units on termination of the Management Agreement shall not be made until the first business day of the seventh month following such termination or, if earlier, the date of the Participant’s death.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text. 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IN WITNESS WHEREOF, the parties have executed this Agreement on the date and year first above written.</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5"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TAKE-TWO INTERACTIVE SOFTWARE, INC.</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P. Emerson</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Daniel P. Emerson</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EVP and Chief Legal Officer</w:t>
            </w:r>
          </w:p>
        </w:tc>
      </w:tr>
    </w:tbl>
    <w:p>
      <w:pPr>
        <w:spacing w:after="0" w:line="198" w:lineRule="exact"/>
        <w:rPr>
          <w:sz w:val="20"/>
          <w:szCs w:val="20"/>
          <w:color w:val="auto"/>
        </w:rPr>
      </w:pPr>
    </w:p>
    <w:p>
      <w:pPr>
        <w:ind w:left="4980"/>
        <w:spacing w:after="0"/>
        <w:rPr>
          <w:sz w:val="20"/>
          <w:szCs w:val="20"/>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ZELNICKMEDIA CORPORATION</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Karl Slatoff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Karl Slatoff</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Partner</w:t>
      </w:r>
    </w:p>
    <w:p>
      <w:pPr>
        <w:spacing w:after="0" w:line="200" w:lineRule="exact"/>
        <w:rPr>
          <w:sz w:val="20"/>
          <w:szCs w:val="20"/>
          <w:color w:val="auto"/>
        </w:rPr>
      </w:pPr>
    </w:p>
    <w:p>
      <w:pPr>
        <w:spacing w:after="0" w:line="2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Time Based Vesting</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Section C, 50,807 of the Restricted Units (the “</w:t>
      </w:r>
      <w:r>
        <w:rPr>
          <w:rFonts w:ascii="Arial" w:cs="Arial" w:eastAsia="Arial" w:hAnsi="Arial"/>
          <w:sz w:val="17"/>
          <w:szCs w:val="17"/>
          <w:b w:val="1"/>
          <w:bCs w:val="1"/>
          <w:color w:val="auto"/>
        </w:rPr>
        <w:t>Time-Based Units</w:t>
      </w:r>
      <w:r>
        <w:rPr>
          <w:rFonts w:ascii="Arial" w:cs="Arial" w:eastAsia="Arial" w:hAnsi="Arial"/>
          <w:sz w:val="17"/>
          <w:szCs w:val="17"/>
          <w:color w:val="auto"/>
        </w:rPr>
        <w:t>”) shall become vested on April 13, 2023 (the “</w:t>
      </w:r>
      <w:r>
        <w:rPr>
          <w:rFonts w:ascii="Arial" w:cs="Arial" w:eastAsia="Arial" w:hAnsi="Arial"/>
          <w:sz w:val="17"/>
          <w:szCs w:val="17"/>
          <w:b w:val="1"/>
          <w:bCs w:val="1"/>
          <w:color w:val="auto"/>
        </w:rPr>
        <w:t>Vesting Date</w:t>
      </w:r>
      <w:r>
        <w:rPr>
          <w:rFonts w:ascii="Arial" w:cs="Arial" w:eastAsia="Arial" w:hAnsi="Arial"/>
          <w:sz w:val="17"/>
          <w:szCs w:val="17"/>
          <w:color w:val="auto"/>
        </w:rPr>
        <w:t>”).</w:t>
      </w:r>
    </w:p>
    <w:p>
      <w:pPr>
        <w:spacing w:after="0" w:line="241" w:lineRule="exact"/>
        <w:rPr>
          <w:sz w:val="20"/>
          <w:szCs w:val="20"/>
          <w:color w:val="auto"/>
        </w:rPr>
      </w:pPr>
    </w:p>
    <w:p>
      <w:pPr>
        <w:ind w:left="720" w:hanging="712"/>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Performance Based Vesting</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Subject to Section C, certain of the Restricted Units shall be subject to performance-based vesting in accordance with Section (B)(i) (the “</w:t>
      </w:r>
      <w:r>
        <w:rPr>
          <w:rFonts w:ascii="Arial" w:cs="Arial" w:eastAsia="Arial" w:hAnsi="Arial"/>
          <w:sz w:val="18"/>
          <w:szCs w:val="18"/>
          <w:b w:val="1"/>
          <w:bCs w:val="1"/>
          <w:color w:val="auto"/>
        </w:rPr>
        <w:t>TSR</w:t>
      </w:r>
      <w:r>
        <w:rPr>
          <w:rFonts w:ascii="Arial" w:cs="Arial" w:eastAsia="Arial" w:hAnsi="Arial"/>
          <w:sz w:val="18"/>
          <w:szCs w:val="18"/>
          <w:color w:val="auto"/>
        </w:rPr>
        <w:t xml:space="preserve"> </w:t>
      </w:r>
      <w:r>
        <w:rPr>
          <w:rFonts w:ascii="Arial" w:cs="Arial" w:eastAsia="Arial" w:hAnsi="Arial"/>
          <w:sz w:val="18"/>
          <w:szCs w:val="18"/>
          <w:b w:val="1"/>
          <w:bCs w:val="1"/>
          <w:color w:val="auto"/>
        </w:rPr>
        <w:t>Performance-Based Units</w:t>
      </w:r>
      <w:r>
        <w:rPr>
          <w:rFonts w:ascii="Arial" w:cs="Arial" w:eastAsia="Arial" w:hAnsi="Arial"/>
          <w:sz w:val="18"/>
          <w:szCs w:val="18"/>
          <w:color w:val="auto"/>
        </w:rPr>
        <w:t>”), Section (B)(ii) (the “</w:t>
      </w:r>
      <w:r>
        <w:rPr>
          <w:rFonts w:ascii="Arial" w:cs="Arial" w:eastAsia="Arial" w:hAnsi="Arial"/>
          <w:sz w:val="18"/>
          <w:szCs w:val="18"/>
          <w:b w:val="1"/>
          <w:bCs w:val="1"/>
          <w:color w:val="auto"/>
        </w:rPr>
        <w:t>Recurrent Consumer Spending Performance-Based Units</w:t>
      </w:r>
      <w:r>
        <w:rPr>
          <w:rFonts w:ascii="Arial" w:cs="Arial" w:eastAsia="Arial" w:hAnsi="Arial"/>
          <w:sz w:val="18"/>
          <w:szCs w:val="18"/>
          <w:color w:val="auto"/>
        </w:rPr>
        <w:t>”), and Section (B)(iii) (the “</w:t>
      </w:r>
      <w:r>
        <w:rPr>
          <w:rFonts w:ascii="Arial" w:cs="Arial" w:eastAsia="Arial" w:hAnsi="Arial"/>
          <w:sz w:val="18"/>
          <w:szCs w:val="18"/>
          <w:b w:val="1"/>
          <w:bCs w:val="1"/>
          <w:color w:val="auto"/>
        </w:rPr>
        <w:t>IP Performance-Based Units</w:t>
      </w:r>
      <w:r>
        <w:rPr>
          <w:rFonts w:ascii="Arial" w:cs="Arial" w:eastAsia="Arial" w:hAnsi="Arial"/>
          <w:sz w:val="18"/>
          <w:szCs w:val="18"/>
          <w:color w:val="auto"/>
        </w:rPr>
        <w:t>,” and together with the TSR Performance-Based Units and the Recurrent Consumer Spending Performance-Based Units,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Performance-Based Units</w:t>
      </w:r>
      <w:r>
        <w:rPr>
          <w:rFonts w:ascii="Arial" w:cs="Arial" w:eastAsia="Arial" w:hAnsi="Arial"/>
          <w:sz w:val="18"/>
          <w:szCs w:val="18"/>
          <w:color w:val="auto"/>
        </w:rPr>
        <w:t>”).</w:t>
      </w:r>
    </w:p>
    <w:p>
      <w:pPr>
        <w:spacing w:after="0" w:line="184" w:lineRule="exact"/>
        <w:rPr>
          <w:sz w:val="20"/>
          <w:szCs w:val="20"/>
          <w:color w:val="auto"/>
        </w:rPr>
      </w:pPr>
    </w:p>
    <w:p>
      <w:pPr>
        <w:jc w:val="both"/>
        <w:ind w:firstLine="656"/>
        <w:spacing w:after="0" w:line="257" w:lineRule="auto"/>
        <w:tabs>
          <w:tab w:leader="none" w:pos="175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TSR Performance-Based Units</w:t>
      </w:r>
      <w:r>
        <w:rPr>
          <w:rFonts w:ascii="Arial" w:cs="Arial" w:eastAsia="Arial" w:hAnsi="Arial"/>
          <w:sz w:val="18"/>
          <w:szCs w:val="18"/>
          <w:color w:val="auto"/>
        </w:rPr>
        <w:t xml:space="preserve">. The target number of TSR Performance-Based Units that shall be eligible to vest pursuant to this Section B(i) shall be 46,573, and the maximum number of TSR Performance-Based Units that shall be eligible to vest pursuant to this Section B(i) shall be 93,146. Subject to Section C, on the Vesting Date, a number of TSR Performance-Based Units shall become vested equal to the product of (x) the target number of TSR Performance-Based Units eligible to vest pursuant to this Section B(i)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TSR Vesting Percentage as of March 31, 2023, rounded down to the nearest whole TSR Performance-Based Unit.</w:t>
      </w:r>
    </w:p>
    <w:p>
      <w:pPr>
        <w:spacing w:after="0" w:line="187" w:lineRule="exact"/>
        <w:rPr>
          <w:rFonts w:ascii="Arial" w:cs="Arial" w:eastAsia="Arial" w:hAnsi="Arial"/>
          <w:sz w:val="18"/>
          <w:szCs w:val="18"/>
          <w:color w:val="auto"/>
        </w:rPr>
      </w:pPr>
    </w:p>
    <w:p>
      <w:pPr>
        <w:jc w:val="both"/>
        <w:ind w:firstLine="656"/>
        <w:spacing w:after="0" w:line="273" w:lineRule="auto"/>
        <w:tabs>
          <w:tab w:leader="none" w:pos="1646"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Recurrent Consumer Spending Performance-Based Units</w:t>
      </w:r>
      <w:r>
        <w:rPr>
          <w:rFonts w:ascii="Arial" w:cs="Arial" w:eastAsia="Arial" w:hAnsi="Arial"/>
          <w:sz w:val="17"/>
          <w:szCs w:val="17"/>
          <w:color w:val="auto"/>
        </w:rPr>
        <w:t xml:space="preserve">. The target number of Recurrent Consumer Spending Performance-Based Units that shall be eligible to vest pursuant to this Section B(ii) shall be 7,762, and the maximum number of Recurrent Consumer Spending Performance-Based Units that shall be eligible to vest pursuant to this Section B(ii) shall be 15,524. Subject to Section C, on the Vesting Date, a number of Recurrent Consumer Spending Performance-Based Units shall become vested equal to the product of (x) the target number of Recurrent Consumer Spending Performance-Based Units in such vesting tranche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(y) the Recurrent Consumer Spending Vesting Percentage as of March 31, 2023, rounded down to the nearest whole Recurrent Consumer Spending Performance-Based Unit.</w:t>
      </w:r>
    </w:p>
    <w:p>
      <w:pPr>
        <w:spacing w:after="0" w:line="177" w:lineRule="exact"/>
        <w:rPr>
          <w:rFonts w:ascii="Arial" w:cs="Arial" w:eastAsia="Arial" w:hAnsi="Arial"/>
          <w:sz w:val="17"/>
          <w:szCs w:val="17"/>
          <w:color w:val="auto"/>
        </w:rPr>
      </w:pPr>
    </w:p>
    <w:p>
      <w:pPr>
        <w:jc w:val="both"/>
        <w:ind w:firstLine="656"/>
        <w:spacing w:after="0" w:line="257" w:lineRule="auto"/>
        <w:tabs>
          <w:tab w:leader="none" w:pos="178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IP Performance-Based Units</w:t>
      </w:r>
      <w:r>
        <w:rPr>
          <w:rFonts w:ascii="Arial" w:cs="Arial" w:eastAsia="Arial" w:hAnsi="Arial"/>
          <w:sz w:val="18"/>
          <w:szCs w:val="18"/>
          <w:color w:val="auto"/>
        </w:rPr>
        <w:t xml:space="preserve">. The target number of IP Performance-Based Units that shall be eligible to vest pursuant to this Section B(iii) shall be 7,762, and the maximum number of IP Performance-Based Units that shall be eligible to vest pursuant to this Section B(iii) shall be 15,524. Subject to Section C, on the Vesting Date, a number of IP Performance-Based Units shall become vested equal to the product of (x) the target number of IP Performance-Based Units in such vesting tranche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IP Vesting Percentage on March 31, 2023, rounded down to the nearest whole IP Performance-Based Unit.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ind w:left="720" w:hanging="71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Qualifying Termination;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0" w:lineRule="auto"/>
        <w:tabs>
          <w:tab w:leader="none" w:pos="1798"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In the event of a Qualifying Termination prior to the earlier of (x) the Vesting Date or (y) a Change in Control (as defined in the Management Agreement): (a) the effective date of such Qualifying Termination shall serve as the vesting date for all Time-Based Units hereunder, and all such Time-Based Units shall vest as of such date; (b) the effective date of such Qualifying Termination shall serve as the vesting date for all TSR Performance-Based Units hereunder and the given date for purposes of the Measurement Price, and the number of such TSR Performance-Based Units that shall vest as of such date shall be calculated in accordance with Section B(i) above based upon the Percentile Rank through the effective date of such Qualifying Termination; and (c) the effective date of such Qualifying Termination shall serve as the vesting date for all Recurrent Consumer Spending Performance-Based Units and IP Performance-Based Units hereunder, and the target number of such Recurrent Consumer Spending Performance-Based Units and IP Performance-Based Units (as set forth in Sections B(ii) and B(iii), as applicable) shall vest as of such date without regard to the application of the Applicable Vesting Percentage.</w:t>
      </w:r>
    </w:p>
    <w:p>
      <w:pPr>
        <w:spacing w:after="0" w:line="180" w:lineRule="exact"/>
        <w:rPr>
          <w:rFonts w:ascii="Arial" w:cs="Arial" w:eastAsia="Arial" w:hAnsi="Arial"/>
          <w:sz w:val="17"/>
          <w:szCs w:val="17"/>
          <w:color w:val="auto"/>
        </w:rPr>
      </w:pPr>
    </w:p>
    <w:p>
      <w:pPr>
        <w:jc w:val="both"/>
        <w:ind w:firstLine="656"/>
        <w:spacing w:after="0" w:line="270" w:lineRule="auto"/>
        <w:tabs>
          <w:tab w:leader="none" w:pos="1551"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If a Change in Control occurs while the Management Agreement remains in effect, in any case prior to the earlier of (x) the Vesting Date or (y) a Qualifying Termination, all Time-Based Units and the target number of Performance-Based Units (as set forth in Sections B(i), B(ii) and B(iii), as applicable) shall remain eligible to vest and shall vest (without regard to the application of the Applicable Vesting Percentage, in the case of Performance-Based Units), in each case, as of the earlier of (a) a Qualifying Termination or (b) the Vesting Date. Each Restricted Unit that remains eligible to vest following a Change in Control pursuant to the foregoing sentence shall be referred to as a “</w:t>
      </w:r>
      <w:r>
        <w:rPr>
          <w:rFonts w:ascii="Arial" w:cs="Arial" w:eastAsia="Arial" w:hAnsi="Arial"/>
          <w:sz w:val="17"/>
          <w:szCs w:val="17"/>
          <w:b w:val="1"/>
          <w:bCs w:val="1"/>
          <w:color w:val="auto"/>
        </w:rPr>
        <w:t>Vesting-Eligible Unit</w:t>
      </w:r>
      <w:r>
        <w:rPr>
          <w:rFonts w:ascii="Arial" w:cs="Arial" w:eastAsia="Arial" w:hAnsi="Arial"/>
          <w:sz w:val="17"/>
          <w:szCs w:val="17"/>
          <w:color w:val="auto"/>
        </w:rPr>
        <w:t>.” Upon the occurrence of a Change in Control, each Vesting-Eligible Unit shall be converted into an amount in cash equal to the Market Value of the consideration payable in the Change in Control in respect of each such Vesting-Eligible Unit, and such consideration shall be paid to the Participant promptly following the satisfaction of the vesting conditions set forth in this Section C(ii) (</w:t>
      </w:r>
      <w:r>
        <w:rPr>
          <w:rFonts w:ascii="Arial" w:cs="Arial" w:eastAsia="Arial" w:hAnsi="Arial"/>
          <w:sz w:val="17"/>
          <w:szCs w:val="17"/>
          <w:u w:val="single" w:color="auto"/>
          <w:color w:val="auto"/>
        </w:rPr>
        <w:t>i.e.</w:t>
      </w:r>
      <w:r>
        <w:rPr>
          <w:rFonts w:ascii="Arial" w:cs="Arial" w:eastAsia="Arial" w:hAnsi="Arial"/>
          <w:sz w:val="17"/>
          <w:szCs w:val="17"/>
          <w:color w:val="auto"/>
        </w:rPr>
        <w:t>, in full on the Vesting Date, or if earlier, upon a Qualifying Termination), and shall automatically be forfeited and shall revert back to the Company if such vesting conditions are not satisfied.</w:t>
      </w:r>
    </w:p>
    <w:p>
      <w:pPr>
        <w:spacing w:after="0" w:line="180" w:lineRule="exact"/>
        <w:rPr>
          <w:rFonts w:ascii="Arial" w:cs="Arial" w:eastAsia="Arial" w:hAnsi="Arial"/>
          <w:sz w:val="17"/>
          <w:szCs w:val="17"/>
          <w:color w:val="auto"/>
        </w:rPr>
      </w:pPr>
    </w:p>
    <w:p>
      <w:pPr>
        <w:ind w:left="720" w:hanging="71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59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Restricted Units that have not vested as of the termination of the Management Agreement for any reason other than a Qualifying Termination shall automatically be forfeited and shall revert back to the Company without compensation to the Participant.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5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Performance-Based Units that (x) have not vested as of the earlier of (a) the Vesting Date or (b) the effective date of a Qualifying Termination, or (y) do not become Vesting-Eligible Units upon the occurrence of a Change in Control (</w:t>
      </w:r>
      <w:r>
        <w:rPr>
          <w:rFonts w:ascii="Arial" w:cs="Arial" w:eastAsia="Arial" w:hAnsi="Arial"/>
          <w:sz w:val="18"/>
          <w:szCs w:val="18"/>
          <w:u w:val="single" w:color="auto"/>
          <w:color w:val="auto"/>
        </w:rPr>
        <w:t>i.e.</w:t>
      </w:r>
      <w:r>
        <w:rPr>
          <w:rFonts w:ascii="Arial" w:cs="Arial" w:eastAsia="Arial" w:hAnsi="Arial"/>
          <w:sz w:val="18"/>
          <w:szCs w:val="18"/>
          <w:color w:val="auto"/>
        </w:rPr>
        <w:t>, any Performance-Based Units above the target numbers set forth in Sections B(i), B(ii) and B(iii), as applicable), shall automatically be forfeited and shall revert back to the Company without compensation to the Participant.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8"/>
        <w:spacing w:after="0" w:line="268" w:lineRule="auto"/>
        <w:tabs>
          <w:tab w:leader="none" w:pos="938"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Subject to the last sentence of Section C(ii), upon vesting pursuant to Sections A, B, and C, the Company shall deliver to the Participant an amount in cash having a value equal to the aggregate value of a number of Shares equal to the number of Restricted Units vesting on such date, based on the closing price of the Shares on such settlement date on the principal national securities exchange on which the Shares are traded on such date (or if the Shares are not traded on such date, the immediately preceding trading day), provided that the Participant has satisfied any tax withholding obligations as described in this Agreement. Notwithstanding anything herein to the contrary, but subject to the last sentence of Section C(ii), each Restricted Unit (including any amount provided for pursuant to Section 1(a) of the Agreement) may, at the election of the Company, be settled in Shares issued pursuant to the Plan (subject to any required delay in issuance as required under the Plan). To the extent any Shares become deliverable to the Participant hereunder the Participant shall be deemed the beneficial owner of any Share issued upon settlement of a Restricted Unit at the close of business on any settlement date and shall be entitled to any dividend or distribution that has not already been made with respect to such Share if the record date for such dividend or distribution is after the close of business on such settlement date, and the Company shall promptly issue and deliver, unless the Company is using a book entry or similar method pursuant to Section 6 of the Agreement (in which case the Company shall upon request promptly issue and deliver upon the Participant’s request), to the Participant a new stock certificate registered in the name of the Participant for any Shares issued upon settlement of Restricted Units and deliver to the Participant such Shares, in each case free of all liens, claims and other encumbrances (other than those created by the Participant).</w:t>
      </w:r>
    </w:p>
    <w:p>
      <w:pPr>
        <w:spacing w:after="0" w:line="184" w:lineRule="exact"/>
        <w:rPr>
          <w:rFonts w:ascii="Arial" w:cs="Arial" w:eastAsia="Arial" w:hAnsi="Arial"/>
          <w:sz w:val="17"/>
          <w:szCs w:val="17"/>
          <w:color w:val="auto"/>
        </w:rPr>
      </w:pPr>
    </w:p>
    <w:p>
      <w:pPr>
        <w:ind w:left="68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Add-On Content</w:t>
      </w:r>
      <w:r>
        <w:rPr>
          <w:rFonts w:ascii="Arial" w:cs="Arial" w:eastAsia="Arial" w:hAnsi="Arial"/>
          <w:sz w:val="18"/>
          <w:szCs w:val="18"/>
          <w:color w:val="auto"/>
        </w:rPr>
        <w:t>” in respect of any IP means all interactive software entertainment products that are sold as a supplement (including as part of a bundle or special/premium edition) to a full game release of such IP, including but not limited to expansion packs and micro-content (or, in the case of free-to-play game software programs, that are sold in connection with such IP), which are not playable separately from such IP, but excluding any Sequel of such IP.</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Vesting Percentage</w:t>
      </w:r>
      <w:r>
        <w:rPr>
          <w:rFonts w:ascii="Arial" w:cs="Arial" w:eastAsia="Arial" w:hAnsi="Arial"/>
          <w:sz w:val="18"/>
          <w:szCs w:val="18"/>
          <w:color w:val="auto"/>
        </w:rPr>
        <w:t>” means (i) with respect to TSR Performance-Based Units, the TSR Vesting Percentage, (ii) with respect to Recurrent Consumer Spending Performance-Based Units, the Recurrent Consumer Spending Vesting Percentage, and (iii) with respect to IP Performance-Based Units, the IP Vesting Percentage.</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Individual Release</w:t>
      </w:r>
      <w:r>
        <w:rPr>
          <w:rFonts w:ascii="Arial" w:cs="Arial" w:eastAsia="Arial" w:hAnsi="Arial"/>
          <w:sz w:val="18"/>
          <w:szCs w:val="18"/>
          <w:color w:val="auto"/>
        </w:rPr>
        <w:t>” means any IP released at any time prior to or following the date of this Agreement across any and all gaming platforms and all SKUs released of any IP, including, for the avoidance of doubt, any bundles, anniversary editions or “game of the year” editions of such IP but excluding (i) any Add-On Content in respect of such IP and (ii) any expansion packs that are playable separately from such IP, with each such expansion pack being deemed to be a separate Individual Release.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w:t>
      </w:r>
      <w:r>
        <w:rPr>
          <w:rFonts w:ascii="Arial" w:cs="Arial" w:eastAsia="Arial" w:hAnsi="Arial"/>
          <w:sz w:val="18"/>
          <w:szCs w:val="18"/>
          <w:color w:val="auto"/>
        </w:rPr>
        <w:t>” means any commercially-released interactive entertainment product, including any commercially-released products that are derived from or use the branding, environments or characters of such products (</w:t>
      </w:r>
      <w:r>
        <w:rPr>
          <w:rFonts w:ascii="Arial" w:cs="Arial" w:eastAsia="Arial" w:hAnsi="Arial"/>
          <w:sz w:val="18"/>
          <w:szCs w:val="18"/>
          <w:u w:val="single" w:color="auto"/>
          <w:color w:val="auto"/>
        </w:rPr>
        <w:t>e.g.</w:t>
      </w:r>
      <w:r>
        <w:rPr>
          <w:rFonts w:ascii="Arial" w:cs="Arial" w:eastAsia="Arial" w:hAnsi="Arial"/>
          <w:sz w:val="18"/>
          <w:szCs w:val="18"/>
          <w:color w:val="auto"/>
        </w:rPr>
        <w:t>, Sequels and subsequent Individual Releases).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 Vesting Percentage</w:t>
      </w:r>
      <w:r>
        <w:rPr>
          <w:rFonts w:ascii="Arial" w:cs="Arial" w:eastAsia="Arial" w:hAnsi="Arial"/>
          <w:sz w:val="16"/>
          <w:szCs w:val="16"/>
          <w:color w:val="auto"/>
        </w:rPr>
        <w:t>” as of a given date is a function of the Company’s Sell-In Performance for any Individual Release of IP calculated as of such date, determined by reference to the following table. For the avoidance of doubt, the IP Vesting Percentage shall be determined based on the Company’s Sell-In Performance with respect to one Individual Release of IP. If multiple Individual Releases of IP occur during the relevant measurement period, the IP Vesting Percentage shall be determined based on the Individual Release of IP that results in the highest IP Vesting Percentage. Without limiting the generality of the foregoing, in no event shall (i) the Company’s Sell-In Performance with respect to multiple Individual Releases of IP or</w:t>
      </w:r>
    </w:p>
    <w:p>
      <w:pPr>
        <w:spacing w:after="0" w:line="2" w:lineRule="exact"/>
        <w:rPr>
          <w:sz w:val="20"/>
          <w:szCs w:val="20"/>
          <w:color w:val="auto"/>
        </w:rPr>
      </w:pPr>
    </w:p>
    <w:p>
      <w:pPr>
        <w:jc w:val="both"/>
        <w:ind w:firstLine="8"/>
        <w:spacing w:after="0" w:line="252" w:lineRule="auto"/>
        <w:tabs>
          <w:tab w:leader="none" w:pos="27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IP Vesting Percentages attributable to multiple Individual Releases of IP, be aggregated for purposes of determining the IP Vesting Percentage. By way of example, if, during the relevant measurement period, the Company has an Individual Release of IP that results in a Sell-In Performance of 6,000,000 units, as well as an Individual Release of IP that results in Sell-In Performance of 8,000,000 units, the IP Vesting Percentage will be 100% (</w:t>
      </w:r>
      <w:r>
        <w:rPr>
          <w:rFonts w:ascii="Arial" w:cs="Arial" w:eastAsia="Arial" w:hAnsi="Arial"/>
          <w:sz w:val="18"/>
          <w:szCs w:val="18"/>
          <w:u w:val="single" w:color="auto"/>
          <w:color w:val="auto"/>
        </w:rPr>
        <w:t>i.e.</w:t>
      </w:r>
      <w:r>
        <w:rPr>
          <w:rFonts w:ascii="Arial" w:cs="Arial" w:eastAsia="Arial" w:hAnsi="Arial"/>
          <w:sz w:val="18"/>
          <w:szCs w:val="18"/>
          <w:color w:val="auto"/>
        </w:rPr>
        <w:t>, the highest IP Vesting Percentage attributable to an Individual Release of IP). For purposes of calculating the IP Vesting Percentage under Section B(iii) of this Annex A, except where such calculation is not required as provided in Section C of this Annex A, the relevant measurement date will be March 31, 2023.</w:t>
      </w:r>
    </w:p>
    <w:p>
      <w:pPr>
        <w:spacing w:after="0" w:line="193" w:lineRule="exact"/>
        <w:rPr>
          <w:rFonts w:ascii="Arial" w:cs="Arial" w:eastAsia="Arial" w:hAnsi="Arial"/>
          <w:sz w:val="18"/>
          <w:szCs w:val="18"/>
          <w:color w:val="auto"/>
        </w:rPr>
      </w:pPr>
    </w:p>
    <w:p>
      <w:pPr>
        <w:ind w:left="1180" w:hanging="524"/>
        <w:spacing w:after="0"/>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For any Individual Release of IP: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IP Sell-In Performance</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IP Vesting Percentage</w:t>
            </w:r>
          </w:p>
        </w:tc>
        <w:tc>
          <w:tcPr>
            <w:tcW w:w="160" w:type="dxa"/>
            <w:vAlign w:val="bottom"/>
            <w:tcBorders>
              <w:bottom w:val="single" w:sz="8" w:color="CCEEFF"/>
            </w:tcBorders>
          </w:tcPr>
          <w:p>
            <w:pPr>
              <w:spacing w:after="0"/>
              <w:rPr>
                <w:sz w:val="20"/>
                <w:szCs w:val="20"/>
                <w:color w:val="auto"/>
              </w:rPr>
            </w:pPr>
          </w:p>
        </w:tc>
      </w:tr>
      <w:tr>
        <w:trPr>
          <w:trHeight w:val="210"/>
        </w:trPr>
        <w:tc>
          <w:tcPr>
            <w:tcW w:w="8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Less than 6,000,000 units</w:t>
            </w:r>
          </w:p>
        </w:tc>
        <w:tc>
          <w:tcPr>
            <w:tcW w:w="1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87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6,000,000 units</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8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8,000,000 units</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87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10,000,000 units or greater</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that the IP Sell-In Performance is less than 6,000,000 units, the IP Vesting Percentage shall be zero percent (0%). In the event that the IP Sell-In Performance falls between any of the values listed in the table above, the IP Vesting Percentage shall be based on a straight line interpolation between such two values.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Price</w:t>
      </w:r>
      <w:r>
        <w:rPr>
          <w:rFonts w:ascii="Arial" w:cs="Arial" w:eastAsia="Arial" w:hAnsi="Arial"/>
          <w:sz w:val="18"/>
          <w:szCs w:val="18"/>
          <w:color w:val="auto"/>
        </w:rPr>
        <w:t>” as of a given date means the average of the closing prices of the Common Stock or the common stock of a Peer Group company, as applicable, for each of the 30 trading days ending on (and including) such date. For purposes of calculating the TSR Vesting Percentage under Section B(i) of this Annex A, except where such calculation is not required as provided in Section C of this Annex A, the given date for the definition of Measurement Price will be March 31, 2023.</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Peer Group</w:t>
      </w:r>
      <w:r>
        <w:rPr>
          <w:rFonts w:ascii="Arial" w:cs="Arial" w:eastAsia="Arial" w:hAnsi="Arial"/>
          <w:sz w:val="17"/>
          <w:szCs w:val="17"/>
          <w:color w:val="auto"/>
        </w:rPr>
        <w:t xml:space="preserve">” shall consist of the companies that comprise The NASDAQ Composite Index on March 31, 2021; </w:t>
      </w:r>
      <w:r>
        <w:rPr>
          <w:rFonts w:ascii="Arial" w:cs="Arial" w:eastAsia="Arial" w:hAnsi="Arial"/>
          <w:sz w:val="17"/>
          <w:szCs w:val="17"/>
          <w:u w:val="single" w:color="auto"/>
          <w:color w:val="auto"/>
        </w:rPr>
        <w:t>provided</w:t>
      </w:r>
      <w:r>
        <w:rPr>
          <w:rFonts w:ascii="Arial" w:cs="Arial" w:eastAsia="Arial" w:hAnsi="Arial"/>
          <w:sz w:val="17"/>
          <w:szCs w:val="17"/>
          <w:color w:val="auto"/>
        </w:rPr>
        <w:t>, that (i) subject to clause (ii) below, if a member of the Peer Group ceases to be publicly traded for any reason following March 31, 2021 and prior to the applicable date on which the Measurement Price is calculated, that member of the Peer Group shall be deleted as a member of the Peer Group and shall not be counted for purposes of the TSR Vesting Percentage and related calculations and (ii) if a member of the Peer Group becomes bankrupt following March 31, 2021 and prior to the applicable date on which the Measurement Price is calculated, that member of the Peer Group shall remain a member of the Peer Group and shall be attributed a Total Shareholder Return of -100% for purposes of the TSR Vesting Percentage and related calculations (even if such member of the Peer Group ceases to be publicly traded upon or following its bankruptcy).</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Percentile Rank</w:t>
      </w:r>
      <w:r>
        <w:rPr>
          <w:rFonts w:ascii="Arial" w:cs="Arial" w:eastAsia="Arial" w:hAnsi="Arial"/>
          <w:sz w:val="18"/>
          <w:szCs w:val="18"/>
          <w:color w:val="auto"/>
        </w:rPr>
        <w:t>” of the Company’s Total Shareholder Return is defined as the percentage of the Peer Group companies’ returns falling at or below the Company’s Total Shareholder Return. The formula for calculating the Percentile Rank is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Percentile Rank = (N - R + 1) ÷ N × 100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N =</w:t>
      </w:r>
      <w:r>
        <w:rPr>
          <w:sz w:val="20"/>
          <w:szCs w:val="20"/>
          <w:color w:val="auto"/>
        </w:rPr>
        <w:tab/>
      </w:r>
      <w:r>
        <w:rPr>
          <w:rFonts w:ascii="Arial" w:cs="Arial" w:eastAsia="Arial" w:hAnsi="Arial"/>
          <w:sz w:val="16"/>
          <w:szCs w:val="16"/>
          <w:color w:val="auto"/>
        </w:rPr>
        <w:t>total number of companies in the Peer Group</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 = the numeric rank of the Company’s Total Shareholder Return relative to the Peer Group, where the highest Total Shareholder Return in the Peer Group is ranked number 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Percentile Rank shall be rounded to the nearest whole percentage, with (0.5) rounded up.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illustrate, if the Company’s Total Shareholder Return is the 25th highest in a Peer Group comprised of 100 companies, its Percentile Rank would be 76. The calculation is (100 - 25 + 1) ÷ 100 × 100 = 76.</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Port</w:t>
      </w:r>
      <w:r>
        <w:rPr>
          <w:rFonts w:ascii="Arial" w:cs="Arial" w:eastAsia="Arial" w:hAnsi="Arial"/>
          <w:sz w:val="18"/>
          <w:szCs w:val="18"/>
          <w:color w:val="auto"/>
        </w:rPr>
        <w:t>” of an IP means a substantially similar version of such IP developed to operate on a platform other than the platform for which such IP had theretofore been developed to operate.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Termination</w:t>
      </w:r>
      <w:r>
        <w:rPr>
          <w:rFonts w:ascii="Arial" w:cs="Arial" w:eastAsia="Arial" w:hAnsi="Arial"/>
          <w:sz w:val="18"/>
          <w:szCs w:val="18"/>
          <w:color w:val="auto"/>
        </w:rPr>
        <w:t>” means (i) a termination of the Management Agreement by the Company without Cause (as defined in the Management Agreement), including any termination by the Company (other than for Cause) in connection with a Change in Control, or by ZelnickMedia or its assignee for Good Reason (as defined in the Management Agreement) or (ii) the failure of the Company and ZelnickMedia to enter into a new management agreement, on terms substantially similar in the aggregate to the terms of the Management Agreement, upon the expiration of the Initial Term (as defined therein) or to otherwise agree to extend the Initial Term.</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Recurrent Consumer Spending</w:t>
      </w:r>
      <w:r>
        <w:rPr>
          <w:rFonts w:ascii="Arial" w:cs="Arial" w:eastAsia="Arial" w:hAnsi="Arial"/>
          <w:sz w:val="18"/>
          <w:szCs w:val="18"/>
          <w:color w:val="auto"/>
        </w:rPr>
        <w:t>” as of a given date shall mean the consolidated net bookings generated by the Company that are supplemental to the sale of any full game release from the sale of virtual currency, add-on content, microtransactions and similar items, calculated on a basis consistent with how the Company calculates recurrent consumer spending for its management reporting. For the avoidance of doubt, Recurrent Consumer Spending shall not include full-game digital downloads.</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Recurrent Consumer Spending Vesting Percentage</w:t>
      </w:r>
      <w:r>
        <w:rPr>
          <w:rFonts w:ascii="Arial" w:cs="Arial" w:eastAsia="Arial" w:hAnsi="Arial"/>
          <w:sz w:val="16"/>
          <w:szCs w:val="16"/>
          <w:color w:val="auto"/>
        </w:rPr>
        <w:t>” is a function of the Company’s Recurrent Consumer Spending and is determined by reference to the following tables. The first table measures the percentage change between Recurrent Consumer Spending for the fiscal year ended March 31, 2021 and the two-year average Recurrent Consumer Spending for the fiscal years ending March 31, 2022 and March 31, 2023, while the second table measures two-year average Recurrent Consumer Spending for the fiscal years ending March 31, 2022 and March 31, 2023 as a percentage of two-year average total net bookings for the fiscal years ending March 31, 2022 and March 31, 2023, and reflects a Relative Recurrent Consumer Spending Vesting Percentage. For the avoidance of doubt, the Recurrent Consumer Spending Vesting Percentage shall be equal to either the Absolute Recurrent Consumer Spending Vesting Percentage or the Relative Recurrent Consumer Spending Vesting Percentage, whichever is greater.</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Absolute Recurrent</w:t>
            </w:r>
          </w:p>
        </w:tc>
      </w:tr>
      <w:tr>
        <w:trPr>
          <w:trHeight w:val="216"/>
        </w:trPr>
        <w:tc>
          <w:tcPr>
            <w:tcW w:w="87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Absolute Recurrent Consumer Spending Growth</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Consumer</w:t>
            </w:r>
          </w:p>
        </w:tc>
      </w:tr>
      <w:tr>
        <w:trPr>
          <w:trHeight w:val="234"/>
        </w:trPr>
        <w:tc>
          <w:tcPr>
            <w:tcW w:w="8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(during the relevant measurement period)</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Spending Vesting Percentage</w:t>
            </w:r>
          </w:p>
        </w:tc>
        <w:tc>
          <w:tcPr>
            <w:tcW w:w="160" w:type="dxa"/>
            <w:vAlign w:val="bottom"/>
            <w:tcBorders>
              <w:bottom w:val="single" w:sz="8" w:color="CCEEFF"/>
            </w:tcBorders>
          </w:tcPr>
          <w:p>
            <w:pPr>
              <w:spacing w:after="0"/>
              <w:rPr>
                <w:sz w:val="20"/>
                <w:szCs w:val="20"/>
                <w:color w:val="auto"/>
              </w:rPr>
            </w:pPr>
          </w:p>
        </w:tc>
      </w:tr>
      <w:tr>
        <w:trPr>
          <w:trHeight w:val="209"/>
        </w:trPr>
        <w:tc>
          <w:tcPr>
            <w:tcW w:w="86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Less than 3%</w:t>
            </w:r>
          </w:p>
        </w:tc>
        <w:tc>
          <w:tcPr>
            <w:tcW w:w="1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8620" w:type="dxa"/>
            <w:vAlign w:val="bottom"/>
          </w:tcPr>
          <w:p>
            <w:pPr>
              <w:jc w:val="center"/>
              <w:ind w:left="1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18"/>
                <w:szCs w:val="18"/>
                <w:color w:val="auto"/>
              </w:rPr>
            </w:pP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86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6%</w:t>
            </w:r>
          </w:p>
        </w:tc>
        <w:tc>
          <w:tcPr>
            <w:tcW w:w="1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8720" w:type="dxa"/>
            <w:vAlign w:val="bottom"/>
            <w:gridSpan w:val="2"/>
          </w:tcPr>
          <w:p>
            <w:pPr>
              <w:jc w:val="center"/>
              <w:spacing w:after="0"/>
              <w:rPr>
                <w:sz w:val="20"/>
                <w:szCs w:val="20"/>
                <w:color w:val="auto"/>
              </w:rPr>
            </w:pPr>
            <w:r>
              <w:rPr>
                <w:rFonts w:ascii="Arial" w:cs="Arial" w:eastAsia="Arial" w:hAnsi="Arial"/>
                <w:sz w:val="18"/>
                <w:szCs w:val="18"/>
                <w:color w:val="auto"/>
                <w:w w:val="89"/>
              </w:rPr>
              <w:t>9% or greater</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bl>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that the Absolute Recurrent Consumer Spending Growth is less than 3%, the Absolute Recurrent Consumer Spending Vesting Percentage shall be zero percent (0%). In the event that the Absolute Recurrent Consumer Spending Growth falls between any of the values listed in the table above, the Absolute Recurrent Consumer Spending Vesting Percentage shall be based on a straight line interpolation between such two values.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Relative Recurrent Consumer Spending (as a</w:t>
            </w:r>
          </w:p>
        </w:tc>
        <w:tc>
          <w:tcPr>
            <w:tcW w:w="2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Relative Recurrent Consumer</w:t>
            </w:r>
          </w:p>
        </w:tc>
      </w:tr>
      <w:tr>
        <w:trPr>
          <w:trHeight w:val="234"/>
        </w:trPr>
        <w:tc>
          <w:tcPr>
            <w:tcW w:w="8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 of two-year average total net bookings)</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Spending Vesting Percentage</w:t>
            </w:r>
          </w:p>
        </w:tc>
        <w:tc>
          <w:tcPr>
            <w:tcW w:w="160" w:type="dxa"/>
            <w:vAlign w:val="bottom"/>
            <w:tcBorders>
              <w:bottom w:val="single" w:sz="8" w:color="CCEEFF"/>
            </w:tcBorders>
          </w:tcPr>
          <w:p>
            <w:pPr>
              <w:spacing w:after="0"/>
              <w:rPr>
                <w:sz w:val="20"/>
                <w:szCs w:val="20"/>
                <w:color w:val="auto"/>
              </w:rPr>
            </w:pPr>
          </w:p>
        </w:tc>
      </w:tr>
      <w:tr>
        <w:trPr>
          <w:trHeight w:val="210"/>
        </w:trPr>
        <w:tc>
          <w:tcPr>
            <w:tcW w:w="86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Less than 27.5%</w:t>
            </w:r>
          </w:p>
        </w:tc>
        <w:tc>
          <w:tcPr>
            <w:tcW w:w="1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8620" w:type="dxa"/>
            <w:vAlign w:val="bottom"/>
          </w:tcPr>
          <w:p>
            <w:pPr>
              <w:jc w:val="center"/>
              <w:ind w:left="30"/>
              <w:spacing w:after="0"/>
              <w:rPr>
                <w:sz w:val="20"/>
                <w:szCs w:val="20"/>
                <w:color w:val="auto"/>
              </w:rPr>
            </w:pPr>
            <w:r>
              <w:rPr>
                <w:rFonts w:ascii="Arial" w:cs="Arial" w:eastAsia="Arial" w:hAnsi="Arial"/>
                <w:sz w:val="18"/>
                <w:szCs w:val="18"/>
                <w:color w:val="auto"/>
                <w:w w:val="90"/>
              </w:rPr>
              <w:t>27.5%</w:t>
            </w:r>
          </w:p>
        </w:tc>
        <w:tc>
          <w:tcPr>
            <w:tcW w:w="100" w:type="dxa"/>
            <w:vAlign w:val="bottom"/>
          </w:tcPr>
          <w:p>
            <w:pPr>
              <w:spacing w:after="0"/>
              <w:rPr>
                <w:sz w:val="18"/>
                <w:szCs w:val="18"/>
                <w:color w:val="auto"/>
              </w:rPr>
            </w:pP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8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37.5%</w:t>
            </w:r>
          </w:p>
        </w:tc>
        <w:tc>
          <w:tcPr>
            <w:tcW w:w="1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8720" w:type="dxa"/>
            <w:vAlign w:val="bottom"/>
            <w:gridSpan w:val="2"/>
          </w:tcPr>
          <w:p>
            <w:pPr>
              <w:jc w:val="center"/>
              <w:spacing w:after="0"/>
              <w:rPr>
                <w:sz w:val="20"/>
                <w:szCs w:val="20"/>
                <w:color w:val="auto"/>
              </w:rPr>
            </w:pPr>
            <w:r>
              <w:rPr>
                <w:rFonts w:ascii="Arial" w:cs="Arial" w:eastAsia="Arial" w:hAnsi="Arial"/>
                <w:sz w:val="18"/>
                <w:szCs w:val="18"/>
                <w:color w:val="auto"/>
                <w:w w:val="89"/>
              </w:rPr>
              <w:t>47.5% or greater</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bl>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that the Relative Recurrent Consumer Spending Growth is less than 27.5%, the Relative Recurrent Consumer Spending Vesting Percentage shall be zero percent (0%). In the event that the Relative Recurrent Consumer Spending Growth falls between any of the values listed in the table above, the Relative Recurrent Consumer Spending Vesting Percentage shall be based on a straight line interpolation between such two values.</w:t>
      </w:r>
    </w:p>
    <w:p>
      <w:pPr>
        <w:spacing w:after="0" w:line="14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Price</w:t>
      </w:r>
      <w:r>
        <w:rPr>
          <w:rFonts w:ascii="Arial" w:cs="Arial" w:eastAsia="Arial" w:hAnsi="Arial"/>
          <w:sz w:val="18"/>
          <w:szCs w:val="18"/>
          <w:color w:val="auto"/>
        </w:rPr>
        <w:t>” means the average of the closing prices of the Common Stock or the common stock of a Peer Group company, as applicable, for each of the 30 trading days ending on (and including) March 31, 2021.</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 Performance</w:t>
      </w:r>
      <w:r>
        <w:rPr>
          <w:rFonts w:ascii="Arial" w:cs="Arial" w:eastAsia="Arial" w:hAnsi="Arial"/>
          <w:sz w:val="18"/>
          <w:szCs w:val="18"/>
          <w:color w:val="auto"/>
        </w:rPr>
        <w:t>” as of a given date means, with respect to any Individual Release of IP, the number of units “sold-in” during the period beginning on April 1, 2021 and ending on March 31, 2023.</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Sequel</w:t>
      </w:r>
      <w:r>
        <w:rPr>
          <w:rFonts w:ascii="Arial" w:cs="Arial" w:eastAsia="Arial" w:hAnsi="Arial"/>
          <w:sz w:val="18"/>
          <w:szCs w:val="18"/>
          <w:color w:val="auto"/>
        </w:rPr>
        <w:t>” means with respect to any IP, any game software program, other than any Port or Add-On Content, in any medium that is derived from such IP within the same genre, utilizing the same game play, and based on the same themes and using the same brand name as such IP where the visual display(s), character(s), background(s), virtual environment(s), or other visual or video elements accessible to the end-user of the game software program are derived from comparable elements of such IP.</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Shareholder Return</w:t>
      </w:r>
      <w:r>
        <w:rPr>
          <w:rFonts w:ascii="Arial" w:cs="Arial" w:eastAsia="Arial" w:hAnsi="Arial"/>
          <w:sz w:val="18"/>
          <w:szCs w:val="18"/>
          <w:color w:val="auto"/>
        </w:rPr>
        <w:t>” as of a given date means the percentage change in the value of the Common Stock or the common stock of a Peer Group company, as applicable, from the Reference Price to the Measurement Price on such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TSR Vesting Percentage</w:t>
      </w:r>
      <w:r>
        <w:rPr>
          <w:rFonts w:ascii="Arial" w:cs="Arial" w:eastAsia="Arial" w:hAnsi="Arial"/>
          <w:sz w:val="18"/>
          <w:szCs w:val="18"/>
          <w:color w:val="auto"/>
        </w:rPr>
        <w:t>” as of a given date is a function of the Company’s Percentile Rank among the Peer Group calculated as of such date, determined by reference to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Borders>
              <w:bottom w:val="single" w:sz="8" w:color="auto"/>
            </w:tcBorders>
          </w:tcPr>
          <w:p>
            <w:pPr>
              <w:ind w:left="3700"/>
              <w:spacing w:after="0"/>
              <w:rPr>
                <w:sz w:val="20"/>
                <w:szCs w:val="20"/>
                <w:color w:val="auto"/>
              </w:rPr>
            </w:pPr>
            <w:r>
              <w:rPr>
                <w:rFonts w:ascii="Arial" w:cs="Arial" w:eastAsia="Arial" w:hAnsi="Arial"/>
                <w:sz w:val="18"/>
                <w:szCs w:val="18"/>
                <w:b w:val="1"/>
                <w:bCs w:val="1"/>
                <w:color w:val="auto"/>
              </w:rPr>
              <w:t>Percentile Rank</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9"/>
              </w:rPr>
              <w:t>TSR Vesting Percentage</w:t>
            </w:r>
          </w:p>
        </w:tc>
        <w:tc>
          <w:tcPr>
            <w:tcW w:w="160" w:type="dxa"/>
            <w:vAlign w:val="bottom"/>
            <w:tcBorders>
              <w:bottom w:val="single" w:sz="8" w:color="CCEEFF"/>
            </w:tcBorders>
          </w:tcPr>
          <w:p>
            <w:pPr>
              <w:spacing w:after="0"/>
              <w:rPr>
                <w:sz w:val="20"/>
                <w:szCs w:val="20"/>
                <w:color w:val="auto"/>
              </w:rPr>
            </w:pPr>
          </w:p>
        </w:tc>
      </w:tr>
      <w:tr>
        <w:trPr>
          <w:trHeight w:val="250"/>
        </w:trPr>
        <w:tc>
          <w:tcPr>
            <w:tcW w:w="8620" w:type="dxa"/>
            <w:vAlign w:val="bottom"/>
            <w:shd w:val="clear" w:color="auto" w:fill="CCEEFF"/>
          </w:tcPr>
          <w:p>
            <w:pPr>
              <w:jc w:val="center"/>
              <w:ind w:left="11"/>
              <w:spacing w:after="0" w:line="250" w:lineRule="exact"/>
              <w:rPr>
                <w:sz w:val="20"/>
                <w:szCs w:val="20"/>
                <w:color w:val="auto"/>
              </w:rPr>
            </w:pPr>
            <w:r>
              <w:rPr>
                <w:rFonts w:ascii="Arial" w:cs="Arial" w:eastAsia="Arial" w:hAnsi="Arial"/>
                <w:sz w:val="17"/>
                <w:szCs w:val="17"/>
                <w:color w:val="auto"/>
                <w:w w:val="93"/>
              </w:rPr>
              <w:t>Less than 40</w:t>
            </w:r>
            <w:r>
              <w:rPr>
                <w:rFonts w:ascii="Arial" w:cs="Arial" w:eastAsia="Arial" w:hAnsi="Arial"/>
                <w:sz w:val="28"/>
                <w:szCs w:val="28"/>
                <w:color w:val="auto"/>
                <w:w w:val="93"/>
                <w:vertAlign w:val="superscript"/>
              </w:rPr>
              <w:t>th</w:t>
            </w:r>
            <w:r>
              <w:rPr>
                <w:rFonts w:ascii="Arial" w:cs="Arial" w:eastAsia="Arial" w:hAnsi="Arial"/>
                <w:sz w:val="17"/>
                <w:szCs w:val="17"/>
                <w:color w:val="auto"/>
                <w:w w:val="93"/>
              </w:rPr>
              <w:t xml:space="preserve"> Percentile</w:t>
            </w:r>
          </w:p>
        </w:tc>
        <w:tc>
          <w:tcPr>
            <w:tcW w:w="100" w:type="dxa"/>
            <w:vAlign w:val="bottom"/>
            <w:shd w:val="clear" w:color="auto" w:fill="CCEEFF"/>
          </w:tcPr>
          <w:p>
            <w:pPr>
              <w:spacing w:after="0"/>
              <w:rPr>
                <w:sz w:val="21"/>
                <w:szCs w:val="21"/>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57"/>
        </w:trPr>
        <w:tc>
          <w:tcPr>
            <w:tcW w:w="8720" w:type="dxa"/>
            <w:vAlign w:val="bottom"/>
            <w:gridSpan w:val="2"/>
          </w:tcPr>
          <w:p>
            <w:pPr>
              <w:jc w:val="center"/>
              <w:spacing w:after="0" w:line="256" w:lineRule="exact"/>
              <w:rPr>
                <w:sz w:val="20"/>
                <w:szCs w:val="20"/>
                <w:color w:val="auto"/>
              </w:rPr>
            </w:pPr>
            <w:r>
              <w:rPr>
                <w:rFonts w:ascii="Arial" w:cs="Arial" w:eastAsia="Arial" w:hAnsi="Arial"/>
                <w:sz w:val="18"/>
                <w:szCs w:val="18"/>
                <w:color w:val="auto"/>
                <w:w w:val="87"/>
              </w:rPr>
              <w:t>40</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Percentile</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57"/>
        </w:trPr>
        <w:tc>
          <w:tcPr>
            <w:tcW w:w="8720" w:type="dxa"/>
            <w:vAlign w:val="bottom"/>
            <w:gridSpan w:val="2"/>
            <w:shd w:val="clear" w:color="auto" w:fill="CCEEFF"/>
          </w:tcPr>
          <w:p>
            <w:pPr>
              <w:jc w:val="center"/>
              <w:spacing w:after="0" w:line="256" w:lineRule="exact"/>
              <w:rPr>
                <w:sz w:val="20"/>
                <w:szCs w:val="20"/>
                <w:color w:val="auto"/>
              </w:rPr>
            </w:pPr>
            <w:r>
              <w:rPr>
                <w:rFonts w:ascii="Arial" w:cs="Arial" w:eastAsia="Arial" w:hAnsi="Arial"/>
                <w:sz w:val="18"/>
                <w:szCs w:val="18"/>
                <w:color w:val="auto"/>
                <w:w w:val="87"/>
              </w:rPr>
              <w:t>50</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Percentile</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390"/>
        </w:trPr>
        <w:tc>
          <w:tcPr>
            <w:tcW w:w="8720" w:type="dxa"/>
            <w:vAlign w:val="bottom"/>
            <w:gridSpan w:val="2"/>
          </w:tcPr>
          <w:p>
            <w:pPr>
              <w:jc w:val="center"/>
              <w:spacing w:after="0"/>
              <w:rPr>
                <w:sz w:val="20"/>
                <w:szCs w:val="20"/>
                <w:color w:val="auto"/>
              </w:rPr>
            </w:pPr>
            <w:r>
              <w:rPr>
                <w:rFonts w:ascii="Arial" w:cs="Arial" w:eastAsia="Arial" w:hAnsi="Arial"/>
                <w:sz w:val="18"/>
                <w:szCs w:val="18"/>
                <w:color w:val="auto"/>
                <w:w w:val="88"/>
              </w:rPr>
              <w:t>75</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Percentile or greater</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bl>
    <w:p>
      <w:pPr>
        <w:spacing w:after="0" w:line="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that the Percentile Rank is less than 40th Percentile, the TSR Vesting Percentage shall be zero percent (0%). In the event that the Percentile Rank falls between any of the values listed in the table above, the TSR Vesting Percentage shall be based on a straight line interpolation between such two values.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Take-Two Interactive Software, Inc. for the registration of common stock and to the incorporation by reference therein of our reports dated May 22, 2020, with respect to the consolidated financial statements of Take-Two Interactive Software, Inc., and the effectiveness of internal control over financial reporting of Take-Two Interactive Software, Inc., included in its Annual Report (Form 10-K) for the year ended March 31, 2020,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646"/>
    </w:lvl>
  </w:abstractNum>
  <w:abstractNum w:abstractNumId="6">
    <w:nsid w:val="41A7C4C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6B68079A"/>
    <w:multiLevelType w:val="hybridMultilevel"/>
    <w:lvl w:ilvl="0">
      <w:lvlJc w:val="left"/>
      <w:lvlText w:val="(%1)"/>
      <w:numFmt w:val="decimal"/>
      <w:start w:val="2"/>
    </w:lvl>
  </w:abstractNum>
  <w:abstractNum w:abstractNumId="8">
    <w:nsid w:val="4E6AFB66"/>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9">
    <w:nsid w:val="25E45D3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0">
    <w:nsid w:val="519B500D"/>
    <w:multiLevelType w:val="hybridMultilevel"/>
    <w:lvl w:ilvl="0">
      <w:lvlJc w:val="left"/>
      <w:lvlText w:val="J"/>
      <w:numFmt w:val="bullet"/>
      <w:start w:val="1"/>
    </w:lvl>
  </w:abstractNum>
  <w:abstractNum w:abstractNumId="11">
    <w:nsid w:val="431BD7B7"/>
    <w:multiLevelType w:val="hybridMultilevel"/>
    <w:lvl w:ilvl="0">
      <w:lvlJc w:val="left"/>
      <w:lvlText w:val="+"/>
      <w:numFmt w:val="bullet"/>
      <w:start w:val="1"/>
    </w:lvl>
    <w:lvl w:ilvl="1">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1."/>
      <w:numFmt w:val="decimal"/>
      <w:start w:val="8"/>
    </w:lvl>
  </w:abstractNum>
  <w:abstractNum w:abstractNumId="15">
    <w:nsid w:val="62BBD95A"/>
    <w:multiLevelType w:val="hybridMultilevel"/>
    <w:lvl w:ilvl="0">
      <w:lvlJc w:val="left"/>
      <w:lvlText w:val="%1."/>
      <w:numFmt w:val="decimal"/>
      <w:start w:val="10"/>
    </w:lvl>
  </w:abstractNum>
  <w:abstractNum w:abstractNumId="16">
    <w:nsid w:val="436C6125"/>
    <w:multiLevelType w:val="hybridMultilevel"/>
    <w:lvl w:ilvl="0">
      <w:lvlJc w:val="left"/>
      <w:lvlText w:val="%1."/>
      <w:numFmt w:val="decimal"/>
      <w:start w:val="12"/>
    </w:lvl>
    <w:lvl w:ilvl="1">
      <w:lvlJc w:val="left"/>
      <w:lvlText w:val="(%2)"/>
      <w:numFmt w:val="lowerLetter"/>
      <w:start w:val="1"/>
    </w:lvl>
  </w:abstractNum>
  <w:abstractNum w:abstractNumId="17">
    <w:nsid w:val="628C895D"/>
    <w:multiLevelType w:val="hybridMultilevel"/>
    <w:lvl w:ilvl="0">
      <w:lvlJc w:val="left"/>
      <w:lvlText w:val="(%1)"/>
      <w:numFmt w:val="lowerLetter"/>
      <w:start w:val="4"/>
    </w:lvl>
  </w:abstractNum>
  <w:abstractNum w:abstractNumId="18">
    <w:nsid w:val="333AB105"/>
    <w:multiLevelType w:val="hybridMultilevel"/>
    <w:lvl w:ilvl="0">
      <w:lvlJc w:val="left"/>
      <w:lvlText w:val="%1."/>
      <w:numFmt w:val="upperLetter"/>
      <w:start w:val="1"/>
    </w:lvl>
  </w:abstractNum>
  <w:abstractNum w:abstractNumId="19">
    <w:nsid w:val="721DA317"/>
    <w:multiLevelType w:val="hybridMultilevel"/>
    <w:lvl w:ilvl="0">
      <w:lvlJc w:val="left"/>
      <w:lvlText w:val="%1."/>
      <w:numFmt w:val="upperLetter"/>
      <w:start w:val="2"/>
    </w:lvl>
  </w:abstractNum>
  <w:abstractNum w:abstractNumId="20">
    <w:nsid w:val="2443A858"/>
    <w:multiLevelType w:val="hybridMultilevel"/>
    <w:lvl w:ilvl="0">
      <w:lvlJc w:val="left"/>
      <w:lvlText w:val="(%1)"/>
      <w:numFmt w:val="lowerRoman"/>
      <w:start w:val="1"/>
    </w:lvl>
  </w:abstractNum>
  <w:abstractNum w:abstractNumId="21">
    <w:nsid w:val="2D1D5AE9"/>
    <w:multiLevelType w:val="hybridMultilevel"/>
    <w:lvl w:ilvl="0">
      <w:lvlJc w:val="left"/>
      <w:lvlText w:val="%1."/>
      <w:numFmt w:val="upperLetter"/>
      <w:start w:val="3"/>
    </w:lvl>
    <w:lvl w:ilvl="1">
      <w:lvlJc w:val="left"/>
      <w:lvlText w:val="(%2)"/>
      <w:numFmt w:val="lowerRoman"/>
      <w:start w:val="1"/>
    </w:lvl>
  </w:abstractNum>
  <w:abstractNum w:abstractNumId="22">
    <w:nsid w:val="6763845E"/>
    <w:multiLevelType w:val="hybridMultilevel"/>
    <w:lvl w:ilvl="0">
      <w:lvlJc w:val="left"/>
      <w:lvlText w:val="%1."/>
      <w:numFmt w:val="upperLetter"/>
      <w:start w:val="5"/>
    </w:lvl>
  </w:abstractNum>
  <w:abstractNum w:abstractNumId="23">
    <w:nsid w:val="75A2A8D4"/>
    <w:multiLevelType w:val="hybridMultilevel"/>
    <w:lvl w:ilvl="0">
      <w:lvlJc w:val="left"/>
      <w:lvlText w:val="(%1)"/>
      <w:numFmt w:val="lowerRoman"/>
      <w:start w:val="2"/>
    </w:lvl>
    <w:lvl w:ilvl="1">
      <w:lvlJc w:val="left"/>
      <w:lvlText w:val="(%2)"/>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1"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23" Type="http://schemas.openxmlformats.org/officeDocument/2006/relationships/hyperlink" Target="http://www.sec.gov/ix?doc=/Archives/edgar/data/946581/000162828020008291/ttwo-20200331.htm" TargetMode="External"/><Relationship Id="rId30" Type="http://schemas.openxmlformats.org/officeDocument/2006/relationships/hyperlink" Target="http://www.sec.gov/Archives/edgar/data/946581/000110465917069999/a17-27361_18k.htm" TargetMode="External"/><Relationship Id="rId32" Type="http://schemas.openxmlformats.org/officeDocument/2006/relationships/hyperlink" Target="http://www.sec.gov/ix?doc=/Archives/edgar/data/946581/000162828020011493/ttwo-20200630.htm" TargetMode="External"/><Relationship Id="rId33" Type="http://schemas.openxmlformats.org/officeDocument/2006/relationships/hyperlink" Target="http://www.sec.gov/ix?doc=/Archives/edgar/data/946581/000162828020015824/ttwo-20200930.htm" TargetMode="External"/><Relationship Id="rId34" Type="http://schemas.openxmlformats.org/officeDocument/2006/relationships/hyperlink" Target="http://www.sec.gov/ix?doc=/Archives/edgar/data/946581/000162828021001632/ttwo-20201231.htm" TargetMode="External"/><Relationship Id="rId35" Type="http://schemas.openxmlformats.org/officeDocument/2006/relationships/hyperlink" Target="http://www.sec.gov/Archives/edgar/data/946581/000119312520198591/d940734ddef14a.htm" TargetMode="External"/><Relationship Id="rId36" Type="http://schemas.openxmlformats.org/officeDocument/2006/relationships/hyperlink" Target="http://www.sec.gov/ix?doc=/Archives/edgar/data/946581/000110465920084100/tm2024847-1_8k.htm" TargetMode="External"/><Relationship Id="rId37" Type="http://schemas.openxmlformats.org/officeDocument/2006/relationships/hyperlink" Target="http://www.sec.gov/ix?doc=/Archives/edgar/data/946581/000119312520223616/d82273d8k.htm" TargetMode="External"/><Relationship Id="rId38" Type="http://schemas.openxmlformats.org/officeDocument/2006/relationships/hyperlink" Target="http://www.sec.gov/ix?doc=/Archives/edgar/data/946581/000110465920103073/tm2030328d1_8k.htm" TargetMode="External"/><Relationship Id="rId39" Type="http://schemas.openxmlformats.org/officeDocument/2006/relationships/hyperlink" Target="http://www.sec.gov/ix?doc=/Archives/edgar/data/946581/000110465920106536/tm2031270d1_8k.htm" TargetMode="External"/><Relationship Id="rId40" Type="http://schemas.openxmlformats.org/officeDocument/2006/relationships/hyperlink" Target="http://www.sec.gov/ix?doc=/Archives/edgar/data/946581/000110465920112653/tm2032463-1_8k.htm" TargetMode="External"/><Relationship Id="rId41" Type="http://schemas.openxmlformats.org/officeDocument/2006/relationships/hyperlink" Target="http://www.sec.gov/ix?doc=/Archives/edgar/data/946581/000119312520290160/d82495d8k.htm" TargetMode="External"/><Relationship Id="rId42" Type="http://schemas.openxmlformats.org/officeDocument/2006/relationships/hyperlink" Target="http://www.sec.gov/ix?doc=/Archives/edgar/data/946581/000110465921003661/tm212956d1_8k.htm" TargetMode="External"/><Relationship Id="rId43" Type="http://schemas.openxmlformats.org/officeDocument/2006/relationships/hyperlink" Target="http://www.sec.gov/Archives/edgar/data/946581/000110465908019702/a08-9031_28a12b.htm" TargetMode="External"/><Relationship Id="rId60" Type="http://schemas.openxmlformats.org/officeDocument/2006/relationships/hyperlink" Target="http://www.sec.gov/Archives/edgar/data/946581/000110465917069999/a17-27361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2021-04-13T15:48:14Z</dcterms:created>
  <dcterms:modified xsi:type="dcterms:W3CDTF">2021-04-13T15:48:14Z</dcterms:modified>
</cp:coreProperties>
</file>