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42"/>
        </w:trPr>
        <w:tc>
          <w:tcPr>
            <w:tcW w:w="9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w:t>
            </w:r>
          </w:p>
        </w:tc>
        <w:tc>
          <w:tcPr>
            <w:tcW w:w="5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960" w:type="dxa"/>
            <w:vAlign w:val="bottom"/>
          </w:tcPr>
          <w:p>
            <w:pPr>
              <w:spacing w:after="0"/>
              <w:rPr>
                <w:sz w:val="22"/>
                <w:szCs w:val="22"/>
                <w:color w:val="auto"/>
              </w:rPr>
            </w:pPr>
          </w:p>
        </w:tc>
        <w:tc>
          <w:tcPr>
            <w:tcW w:w="5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960" w:type="dxa"/>
            <w:vAlign w:val="bottom"/>
          </w:tcPr>
          <w:p>
            <w:pPr>
              <w:spacing w:after="0"/>
              <w:rPr>
                <w:sz w:val="14"/>
                <w:szCs w:val="14"/>
                <w:color w:val="auto"/>
              </w:rPr>
            </w:pPr>
          </w:p>
        </w:tc>
        <w:tc>
          <w:tcPr>
            <w:tcW w:w="5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OMB APPROVAL</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60" w:type="dxa"/>
            <w:vAlign w:val="bottom"/>
          </w:tcPr>
          <w:p>
            <w:pPr>
              <w:spacing w:after="0"/>
              <w:rPr>
                <w:sz w:val="14"/>
                <w:szCs w:val="14"/>
                <w:color w:val="auto"/>
              </w:rPr>
            </w:pPr>
          </w:p>
        </w:tc>
        <w:tc>
          <w:tcPr>
            <w:tcW w:w="5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960" w:type="dxa"/>
            <w:vAlign w:val="bottom"/>
            <w:vMerge w:val="restart"/>
          </w:tcPr>
          <w:p>
            <w:pPr>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8"/>
                <w:szCs w:val="28"/>
                <w:color w:val="auto"/>
                <w:w w:val="71"/>
                <w:vertAlign w:val="subscript"/>
              </w:rPr>
              <w:t>FORM</w:t>
            </w:r>
            <w:r>
              <w:rPr>
                <w:rFonts w:ascii="Courier New" w:cs="Courier New" w:eastAsia="Courier New" w:hAnsi="Courier New"/>
                <w:sz w:val="14"/>
                <w:szCs w:val="14"/>
                <w:color w:val="auto"/>
                <w:w w:val="71"/>
              </w:rPr>
              <w:t>--------</w:t>
            </w:r>
            <w:r>
              <w:rPr>
                <w:rFonts w:ascii="Courier New" w:cs="Courier New" w:eastAsia="Courier New" w:hAnsi="Courier New"/>
                <w:sz w:val="28"/>
                <w:szCs w:val="28"/>
                <w:color w:val="auto"/>
                <w:w w:val="71"/>
                <w:vertAlign w:val="subscript"/>
              </w:rPr>
              <w:t>3</w:t>
            </w:r>
          </w:p>
        </w:tc>
        <w:tc>
          <w:tcPr>
            <w:tcW w:w="5600" w:type="dxa"/>
            <w:vAlign w:val="bottom"/>
          </w:tcPr>
          <w:p>
            <w:pPr>
              <w:ind w:left="3700"/>
              <w:spacing w:after="0"/>
              <w:rPr>
                <w:sz w:val="20"/>
                <w:szCs w:val="20"/>
                <w:color w:val="auto"/>
              </w:rPr>
            </w:pPr>
            <w:r>
              <w:rPr>
                <w:rFonts w:ascii="Courier New" w:cs="Courier New" w:eastAsia="Courier New" w:hAnsi="Courier New"/>
                <w:sz w:val="14"/>
                <w:szCs w:val="14"/>
                <w:color w:val="auto"/>
              </w:rPr>
              <w:t>OMB Number:  3235-0104</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60" w:type="dxa"/>
            <w:vAlign w:val="bottom"/>
            <w:vMerge w:val="continue"/>
          </w:tcPr>
          <w:p>
            <w:pPr>
              <w:spacing w:after="0"/>
              <w:rPr>
                <w:sz w:val="14"/>
                <w:szCs w:val="14"/>
                <w:color w:val="auto"/>
              </w:rPr>
            </w:pPr>
          </w:p>
        </w:tc>
        <w:tc>
          <w:tcPr>
            <w:tcW w:w="5860" w:type="dxa"/>
            <w:vAlign w:val="bottom"/>
            <w:gridSpan w:val="2"/>
          </w:tcPr>
          <w:p>
            <w:pPr>
              <w:ind w:left="3520"/>
              <w:spacing w:after="0"/>
              <w:rPr>
                <w:sz w:val="20"/>
                <w:szCs w:val="20"/>
                <w:color w:val="auto"/>
              </w:rPr>
            </w:pPr>
            <w:r>
              <w:rPr>
                <w:rFonts w:ascii="Courier New" w:cs="Courier New" w:eastAsia="Courier New" w:hAnsi="Courier New"/>
                <w:sz w:val="14"/>
                <w:szCs w:val="14"/>
                <w:color w:val="auto"/>
              </w:rPr>
              <w:t>Expires: September 30, 1998</w:t>
            </w:r>
          </w:p>
        </w:tc>
        <w:tc>
          <w:tcPr>
            <w:tcW w:w="0" w:type="dxa"/>
            <w:vAlign w:val="bottom"/>
          </w:tcPr>
          <w:p>
            <w:pPr>
              <w:spacing w:after="0"/>
              <w:rPr>
                <w:sz w:val="1"/>
                <w:szCs w:val="1"/>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860" w:type="dxa"/>
            <w:vAlign w:val="bottom"/>
            <w:gridSpan w:val="2"/>
          </w:tcPr>
          <w:p>
            <w:pPr>
              <w:ind w:left="3700"/>
              <w:spacing w:after="0"/>
              <w:rPr>
                <w:sz w:val="20"/>
                <w:szCs w:val="20"/>
                <w:color w:val="auto"/>
              </w:rPr>
            </w:pPr>
            <w:r>
              <w:rPr>
                <w:rFonts w:ascii="Courier New" w:cs="Courier New" w:eastAsia="Courier New" w:hAnsi="Courier New"/>
                <w:sz w:val="14"/>
                <w:szCs w:val="14"/>
                <w:color w:val="auto"/>
              </w:rPr>
              <w:t>Estimated average burden</w:t>
            </w:r>
          </w:p>
        </w:tc>
        <w:tc>
          <w:tcPr>
            <w:tcW w:w="0" w:type="dxa"/>
            <w:vAlign w:val="bottom"/>
          </w:tcPr>
          <w:p>
            <w:pPr>
              <w:spacing w:after="0"/>
              <w:rPr>
                <w:sz w:val="1"/>
                <w:szCs w:val="1"/>
                <w:color w:val="auto"/>
              </w:rPr>
            </w:pPr>
          </w:p>
        </w:tc>
      </w:tr>
      <w:tr>
        <w:trPr>
          <w:trHeight w:val="166"/>
        </w:trPr>
        <w:tc>
          <w:tcPr>
            <w:tcW w:w="960" w:type="dxa"/>
            <w:vAlign w:val="bottom"/>
          </w:tcPr>
          <w:p>
            <w:pPr>
              <w:spacing w:after="0"/>
              <w:rPr>
                <w:sz w:val="14"/>
                <w:szCs w:val="14"/>
                <w:color w:val="auto"/>
              </w:rPr>
            </w:pPr>
          </w:p>
        </w:tc>
        <w:tc>
          <w:tcPr>
            <w:tcW w:w="5600" w:type="dxa"/>
            <w:vAlign w:val="bottom"/>
          </w:tcPr>
          <w:p>
            <w:pPr>
              <w:ind w:left="3520"/>
              <w:spacing w:after="0"/>
              <w:rPr>
                <w:sz w:val="20"/>
                <w:szCs w:val="20"/>
                <w:color w:val="auto"/>
              </w:rPr>
            </w:pPr>
            <w:r>
              <w:rPr>
                <w:rFonts w:ascii="Courier New" w:cs="Courier New" w:eastAsia="Courier New" w:hAnsi="Courier New"/>
                <w:sz w:val="14"/>
                <w:szCs w:val="14"/>
                <w:color w:val="auto"/>
              </w:rPr>
              <w:t>hours per response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0.5</w:t>
            </w:r>
          </w:p>
        </w:tc>
        <w:tc>
          <w:tcPr>
            <w:tcW w:w="0" w:type="dxa"/>
            <w:vAlign w:val="bottom"/>
          </w:tcPr>
          <w:p>
            <w:pPr>
              <w:spacing w:after="0"/>
              <w:rPr>
                <w:sz w:val="1"/>
                <w:szCs w:val="1"/>
                <w:color w:val="auto"/>
              </w:rPr>
            </w:pPr>
          </w:p>
        </w:tc>
      </w:tr>
      <w:tr>
        <w:trPr>
          <w:trHeight w:val="242"/>
        </w:trPr>
        <w:tc>
          <w:tcPr>
            <w:tcW w:w="960" w:type="dxa"/>
            <w:vAlign w:val="bottom"/>
          </w:tcPr>
          <w:p>
            <w:pPr>
              <w:spacing w:after="0"/>
              <w:rPr>
                <w:sz w:val="21"/>
                <w:szCs w:val="21"/>
                <w:color w:val="auto"/>
              </w:rPr>
            </w:pPr>
          </w:p>
        </w:tc>
        <w:tc>
          <w:tcPr>
            <w:tcW w:w="5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960" w:type="dxa"/>
            <w:vAlign w:val="bottom"/>
          </w:tcPr>
          <w:p>
            <w:pPr>
              <w:spacing w:after="0"/>
              <w:rPr>
                <w:sz w:val="22"/>
                <w:szCs w:val="22"/>
                <w:color w:val="auto"/>
              </w:rPr>
            </w:pPr>
          </w:p>
        </w:tc>
        <w:tc>
          <w:tcPr>
            <w:tcW w:w="5600" w:type="dxa"/>
            <w:vAlign w:val="bottom"/>
          </w:tcPr>
          <w:p>
            <w:pPr>
              <w:jc w:val="center"/>
              <w:ind w:right="608"/>
              <w:spacing w:after="0"/>
              <w:rPr>
                <w:sz w:val="20"/>
                <w:szCs w:val="20"/>
                <w:color w:val="auto"/>
              </w:rPr>
            </w:pPr>
            <w:r>
              <w:rPr>
                <w:rFonts w:ascii="Courier New" w:cs="Courier New" w:eastAsia="Courier New" w:hAnsi="Courier New"/>
                <w:sz w:val="14"/>
                <w:szCs w:val="14"/>
                <w:color w:val="auto"/>
              </w:rPr>
              <w:t>U.S. SECURITIES AND EXCHANGE COMMISSION</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960" w:type="dxa"/>
            <w:vAlign w:val="bottom"/>
          </w:tcPr>
          <w:p>
            <w:pPr>
              <w:spacing w:after="0"/>
              <w:rPr>
                <w:sz w:val="21"/>
                <w:szCs w:val="21"/>
                <w:color w:val="auto"/>
              </w:rPr>
            </w:pPr>
          </w:p>
        </w:tc>
        <w:tc>
          <w:tcPr>
            <w:tcW w:w="5600" w:type="dxa"/>
            <w:vAlign w:val="bottom"/>
          </w:tcPr>
          <w:p>
            <w:pPr>
              <w:ind w:left="1540"/>
              <w:spacing w:after="0"/>
              <w:rPr>
                <w:sz w:val="20"/>
                <w:szCs w:val="20"/>
                <w:color w:val="auto"/>
              </w:rPr>
            </w:pPr>
            <w:r>
              <w:rPr>
                <w:rFonts w:ascii="Courier New" w:cs="Courier New" w:eastAsia="Courier New" w:hAnsi="Courier New"/>
                <w:sz w:val="14"/>
                <w:szCs w:val="14"/>
                <w:color w:val="auto"/>
              </w:rPr>
              <w:t>WASHINGTON, DC 20549</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960" w:type="dxa"/>
            <w:vAlign w:val="bottom"/>
          </w:tcPr>
          <w:p>
            <w:pPr>
              <w:spacing w:after="0"/>
              <w:rPr>
                <w:sz w:val="24"/>
                <w:szCs w:val="24"/>
                <w:color w:val="auto"/>
              </w:rPr>
            </w:pPr>
          </w:p>
        </w:tc>
        <w:tc>
          <w:tcPr>
            <w:tcW w:w="5600" w:type="dxa"/>
            <w:vAlign w:val="bottom"/>
          </w:tcPr>
          <w:p>
            <w:pPr>
              <w:jc w:val="center"/>
              <w:ind w:right="628"/>
              <w:spacing w:after="0"/>
              <w:rPr>
                <w:sz w:val="20"/>
                <w:szCs w:val="20"/>
                <w:color w:val="auto"/>
              </w:rPr>
            </w:pPr>
            <w:r>
              <w:rPr>
                <w:rFonts w:ascii="Courier New" w:cs="Courier New" w:eastAsia="Courier New" w:hAnsi="Courier New"/>
                <w:sz w:val="14"/>
                <w:szCs w:val="14"/>
                <w:color w:val="auto"/>
              </w:rPr>
              <w:t>INITIAL STATEMENT OF BENEFICIAL OWNERSHIP OF SECURITIES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560" w:type="dxa"/>
            <w:vAlign w:val="bottom"/>
            <w:gridSpan w:val="2"/>
          </w:tcPr>
          <w:p>
            <w:pPr>
              <w:jc w:val="center"/>
              <w:ind w:left="188"/>
              <w:spacing w:after="0"/>
              <w:rPr>
                <w:sz w:val="20"/>
                <w:szCs w:val="20"/>
                <w:color w:val="auto"/>
              </w:rPr>
            </w:pPr>
            <w:r>
              <w:rPr>
                <w:rFonts w:ascii="Courier New" w:cs="Courier New" w:eastAsia="Courier New" w:hAnsi="Courier New"/>
                <w:sz w:val="14"/>
                <w:szCs w:val="14"/>
                <w:color w:val="auto"/>
              </w:rPr>
              <w:t>Filed pursuant to Section 16(a) of the Securities Exchange Act of 1934,</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960" w:type="dxa"/>
            <w:vAlign w:val="bottom"/>
          </w:tcPr>
          <w:p>
            <w:pPr>
              <w:spacing w:after="0"/>
              <w:rPr>
                <w:sz w:val="14"/>
                <w:szCs w:val="14"/>
                <w:color w:val="auto"/>
              </w:rPr>
            </w:pPr>
          </w:p>
        </w:tc>
        <w:tc>
          <w:tcPr>
            <w:tcW w:w="5600" w:type="dxa"/>
            <w:vAlign w:val="bottom"/>
          </w:tcPr>
          <w:p>
            <w:pPr>
              <w:jc w:val="center"/>
              <w:ind w:right="608"/>
              <w:spacing w:after="0"/>
              <w:rPr>
                <w:sz w:val="20"/>
                <w:szCs w:val="20"/>
                <w:color w:val="auto"/>
              </w:rPr>
            </w:pPr>
            <w:r>
              <w:rPr>
                <w:rFonts w:ascii="Courier New" w:cs="Courier New" w:eastAsia="Courier New" w:hAnsi="Courier New"/>
                <w:sz w:val="14"/>
                <w:szCs w:val="14"/>
                <w:color w:val="auto"/>
              </w:rPr>
              <w:t>Section 17(a)</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of the Public Utility Holding Company Act of 1935 or Section 30(f)</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960" w:type="dxa"/>
            <w:vAlign w:val="bottom"/>
          </w:tcPr>
          <w:p>
            <w:pPr>
              <w:spacing w:after="0"/>
              <w:rPr>
                <w:sz w:val="21"/>
                <w:szCs w:val="21"/>
                <w:color w:val="auto"/>
              </w:rPr>
            </w:pPr>
          </w:p>
        </w:tc>
        <w:tc>
          <w:tcPr>
            <w:tcW w:w="5600" w:type="dxa"/>
            <w:vAlign w:val="bottom"/>
          </w:tcPr>
          <w:p>
            <w:pPr>
              <w:jc w:val="center"/>
              <w:ind w:right="628"/>
              <w:spacing w:after="0"/>
              <w:rPr>
                <w:sz w:val="20"/>
                <w:szCs w:val="20"/>
                <w:color w:val="auto"/>
              </w:rPr>
            </w:pPr>
            <w:r>
              <w:rPr>
                <w:rFonts w:ascii="Courier New" w:cs="Courier New" w:eastAsia="Courier New" w:hAnsi="Courier New"/>
                <w:sz w:val="14"/>
                <w:szCs w:val="14"/>
                <w:color w:val="auto"/>
              </w:rPr>
              <w:t>of the Investment Company Act of 1940</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63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1. Name and Address of Reporting Person   2. Date of Event Requiring</w:t>
            </w:r>
          </w:p>
        </w:tc>
        <w:tc>
          <w:tcPr>
            <w:tcW w:w="2800" w:type="dxa"/>
            <w:vAlign w:val="bottom"/>
            <w:gridSpan w:val="4"/>
          </w:tcPr>
          <w:p>
            <w:pPr>
              <w:spacing w:after="0"/>
              <w:rPr>
                <w:sz w:val="20"/>
                <w:szCs w:val="20"/>
                <w:color w:val="auto"/>
              </w:rPr>
            </w:pPr>
            <w:r>
              <w:rPr>
                <w:rFonts w:ascii="Courier New" w:cs="Courier New" w:eastAsia="Courier New" w:hAnsi="Courier New"/>
                <w:sz w:val="14"/>
                <w:szCs w:val="14"/>
                <w:color w:val="auto"/>
              </w:rPr>
              <w:t>4. Issuer Name and Ticker or</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6. If Amendment, Date</w:t>
            </w:r>
          </w:p>
        </w:tc>
        <w:tc>
          <w:tcPr>
            <w:tcW w:w="0" w:type="dxa"/>
            <w:vAlign w:val="bottom"/>
          </w:tcPr>
          <w:p>
            <w:pPr>
              <w:spacing w:after="0"/>
              <w:rPr>
                <w:sz w:val="1"/>
                <w:szCs w:val="1"/>
                <w:color w:val="auto"/>
              </w:rPr>
            </w:pPr>
          </w:p>
        </w:tc>
      </w:tr>
      <w:tr>
        <w:trPr>
          <w:trHeight w:val="166"/>
        </w:trPr>
        <w:tc>
          <w:tcPr>
            <w:tcW w:w="230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BMG Music</w:t>
            </w:r>
          </w:p>
        </w:tc>
        <w:tc>
          <w:tcPr>
            <w:tcW w:w="4000" w:type="dxa"/>
            <w:vAlign w:val="bottom"/>
          </w:tcPr>
          <w:p>
            <w:pPr>
              <w:ind w:left="1680"/>
              <w:spacing w:after="0"/>
              <w:rPr>
                <w:sz w:val="20"/>
                <w:szCs w:val="20"/>
                <w:color w:val="auto"/>
              </w:rPr>
            </w:pPr>
            <w:r>
              <w:rPr>
                <w:rFonts w:ascii="Courier New" w:cs="Courier New" w:eastAsia="Courier New" w:hAnsi="Courier New"/>
                <w:sz w:val="14"/>
                <w:szCs w:val="14"/>
                <w:color w:val="auto"/>
              </w:rPr>
              <w:t>Statement</w:t>
            </w:r>
          </w:p>
        </w:tc>
        <w:tc>
          <w:tcPr>
            <w:tcW w:w="17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Trading Symbol</w:t>
            </w:r>
          </w:p>
        </w:tc>
        <w:tc>
          <w:tcPr>
            <w:tcW w:w="1080" w:type="dxa"/>
            <w:vAlign w:val="bottom"/>
          </w:tcPr>
          <w:p>
            <w:pPr>
              <w:spacing w:after="0"/>
              <w:rPr>
                <w:sz w:val="14"/>
                <w:szCs w:val="14"/>
                <w:color w:val="auto"/>
              </w:rPr>
            </w:pPr>
          </w:p>
        </w:tc>
        <w:tc>
          <w:tcPr>
            <w:tcW w:w="2280" w:type="dxa"/>
            <w:vAlign w:val="bottom"/>
          </w:tcPr>
          <w:p>
            <w:pPr>
              <w:ind w:left="380"/>
              <w:spacing w:after="0"/>
              <w:rPr>
                <w:sz w:val="20"/>
                <w:szCs w:val="20"/>
                <w:color w:val="auto"/>
              </w:rPr>
            </w:pPr>
            <w:r>
              <w:rPr>
                <w:rFonts w:ascii="Courier New" w:cs="Courier New" w:eastAsia="Courier New" w:hAnsi="Courier New"/>
                <w:sz w:val="14"/>
                <w:szCs w:val="14"/>
                <w:color w:val="auto"/>
              </w:rPr>
              <w:t>of Original</w:t>
            </w:r>
          </w:p>
        </w:tc>
        <w:tc>
          <w:tcPr>
            <w:tcW w:w="0" w:type="dxa"/>
            <w:vAlign w:val="bottom"/>
          </w:tcPr>
          <w:p>
            <w:pPr>
              <w:spacing w:after="0"/>
              <w:rPr>
                <w:sz w:val="1"/>
                <w:szCs w:val="1"/>
                <w:color w:val="auto"/>
              </w:rPr>
            </w:pPr>
          </w:p>
        </w:tc>
      </w:tr>
      <w:tr>
        <w:trPr>
          <w:trHeight w:val="166"/>
        </w:trPr>
        <w:tc>
          <w:tcPr>
            <w:tcW w:w="1120" w:type="dxa"/>
            <w:vAlign w:val="bottom"/>
            <w:vMerge w:val="restart"/>
          </w:tcPr>
          <w:p>
            <w:pPr>
              <w:spacing w:after="0"/>
              <w:rPr>
                <w:sz w:val="20"/>
                <w:szCs w:val="20"/>
                <w:color w:val="auto"/>
              </w:rPr>
            </w:pPr>
            <w:r>
              <w:rPr>
                <w:rFonts w:ascii="Courier New" w:cs="Courier New" w:eastAsia="Courier New" w:hAnsi="Courier New"/>
                <w:sz w:val="4"/>
                <w:szCs w:val="4"/>
                <w:color w:val="auto"/>
                <w:w w:val="93"/>
              </w:rPr>
              <w:t>- ----------------------------------------</w:t>
            </w:r>
            <w:r>
              <w:rPr>
                <w:rFonts w:ascii="Courier New" w:cs="Courier New" w:eastAsia="Courier New" w:hAnsi="Courier New"/>
                <w:sz w:val="7"/>
                <w:szCs w:val="7"/>
                <w:color w:val="auto"/>
                <w:w w:val="93"/>
                <w:vertAlign w:val="subscript"/>
              </w:rPr>
              <w:t>(Last)</w:t>
            </w:r>
          </w:p>
        </w:tc>
        <w:tc>
          <w:tcPr>
            <w:tcW w:w="118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(First)</w:t>
            </w:r>
          </w:p>
        </w:tc>
        <w:tc>
          <w:tcPr>
            <w:tcW w:w="4000" w:type="dxa"/>
            <w:vAlign w:val="bottom"/>
          </w:tcPr>
          <w:p>
            <w:pPr>
              <w:ind w:left="1840"/>
              <w:spacing w:after="0"/>
              <w:rPr>
                <w:sz w:val="20"/>
                <w:szCs w:val="20"/>
                <w:color w:val="auto"/>
              </w:rPr>
            </w:pPr>
            <w:r>
              <w:rPr>
                <w:rFonts w:ascii="Courier New" w:cs="Courier New" w:eastAsia="Courier New" w:hAnsi="Courier New"/>
                <w:sz w:val="14"/>
                <w:szCs w:val="14"/>
                <w:color w:val="auto"/>
              </w:rPr>
              <w:t>(Month/Day/Year)</w:t>
            </w:r>
          </w:p>
        </w:tc>
        <w:tc>
          <w:tcPr>
            <w:tcW w:w="280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Take-Two Interactive Software,</w:t>
            </w:r>
          </w:p>
        </w:tc>
        <w:tc>
          <w:tcPr>
            <w:tcW w:w="2280" w:type="dxa"/>
            <w:vAlign w:val="bottom"/>
          </w:tcPr>
          <w:p>
            <w:pPr>
              <w:ind w:left="460"/>
              <w:spacing w:after="0"/>
              <w:rPr>
                <w:sz w:val="20"/>
                <w:szCs w:val="20"/>
                <w:color w:val="auto"/>
              </w:rPr>
            </w:pPr>
            <w:r>
              <w:rPr>
                <w:rFonts w:ascii="Courier New" w:cs="Courier New" w:eastAsia="Courier New" w:hAnsi="Courier New"/>
                <w:sz w:val="14"/>
                <w:szCs w:val="14"/>
                <w:color w:val="auto"/>
              </w:rPr>
              <w:t>(Month/Day/Year)</w:t>
            </w:r>
          </w:p>
        </w:tc>
        <w:tc>
          <w:tcPr>
            <w:tcW w:w="0" w:type="dxa"/>
            <w:vAlign w:val="bottom"/>
          </w:tcPr>
          <w:p>
            <w:pPr>
              <w:spacing w:after="0"/>
              <w:rPr>
                <w:sz w:val="1"/>
                <w:szCs w:val="1"/>
                <w:color w:val="auto"/>
              </w:rPr>
            </w:pPr>
          </w:p>
        </w:tc>
      </w:tr>
      <w:tr>
        <w:trPr>
          <w:trHeight w:val="166"/>
        </w:trPr>
        <w:tc>
          <w:tcPr>
            <w:tcW w:w="11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4000" w:type="dxa"/>
            <w:vAlign w:val="bottom"/>
          </w:tcPr>
          <w:p>
            <w:pPr>
              <w:jc w:val="right"/>
              <w:ind w:right="3130"/>
              <w:spacing w:after="0"/>
              <w:rPr>
                <w:sz w:val="20"/>
                <w:szCs w:val="20"/>
                <w:color w:val="auto"/>
              </w:rPr>
            </w:pPr>
            <w:r>
              <w:rPr>
                <w:rFonts w:ascii="Courier New" w:cs="Courier New" w:eastAsia="Courier New" w:hAnsi="Courier New"/>
                <w:sz w:val="14"/>
                <w:szCs w:val="14"/>
                <w:color w:val="auto"/>
              </w:rPr>
              <w:t>(Middle)</w:t>
            </w: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Inc.</w:t>
            </w:r>
          </w:p>
        </w:tc>
        <w:tc>
          <w:tcPr>
            <w:tcW w:w="2280" w:type="dxa"/>
            <w:vAlign w:val="bottom"/>
            <w:gridSpan w:val="3"/>
          </w:tcPr>
          <w:p>
            <w:pPr>
              <w:spacing w:after="0"/>
              <w:rPr>
                <w:sz w:val="20"/>
                <w:szCs w:val="20"/>
                <w:color w:val="auto"/>
              </w:rPr>
            </w:pPr>
            <w:r>
              <w:rPr>
                <w:rFonts w:ascii="Courier New" w:cs="Courier New" w:eastAsia="Courier New" w:hAnsi="Courier New"/>
                <w:sz w:val="14"/>
                <w:szCs w:val="14"/>
                <w:color w:val="auto"/>
              </w:rPr>
              <w:t>-- "TTWO" (NASDAQ)</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00" w:type="dxa"/>
            <w:vAlign w:val="bottom"/>
            <w:gridSpan w:val="2"/>
            <w:vMerge w:val="restart"/>
          </w:tcPr>
          <w:p>
            <w:pPr>
              <w:ind w:left="180"/>
              <w:spacing w:after="0"/>
              <w:rPr>
                <w:sz w:val="20"/>
                <w:szCs w:val="20"/>
                <w:color w:val="auto"/>
              </w:rPr>
            </w:pPr>
            <w:r>
              <w:rPr>
                <w:rFonts w:ascii="Courier New" w:cs="Courier New" w:eastAsia="Courier New" w:hAnsi="Courier New"/>
                <w:sz w:val="14"/>
                <w:szCs w:val="14"/>
                <w:color w:val="auto"/>
                <w:w w:val="74"/>
                <w:vertAlign w:val="superscript"/>
              </w:rPr>
              <w:t>1540</w:t>
            </w:r>
            <w:r>
              <w:rPr>
                <w:rFonts w:ascii="Courier New" w:cs="Courier New" w:eastAsia="Courier New" w:hAnsi="Courier New"/>
                <w:sz w:val="9"/>
                <w:szCs w:val="9"/>
                <w:color w:val="auto"/>
                <w:w w:val="74"/>
              </w:rPr>
              <w:t>----------------------------------------</w:t>
            </w:r>
            <w:r>
              <w:rPr>
                <w:rFonts w:ascii="Courier New" w:cs="Courier New" w:eastAsia="Courier New" w:hAnsi="Courier New"/>
                <w:sz w:val="14"/>
                <w:szCs w:val="14"/>
                <w:color w:val="auto"/>
                <w:w w:val="74"/>
                <w:vertAlign w:val="superscript"/>
              </w:rPr>
              <w:t>Broadway</w:t>
            </w:r>
          </w:p>
        </w:tc>
        <w:tc>
          <w:tcPr>
            <w:tcW w:w="4000" w:type="dxa"/>
            <w:vAlign w:val="bottom"/>
          </w:tcPr>
          <w:p>
            <w:pPr>
              <w:ind w:left="1840"/>
              <w:spacing w:after="0"/>
              <w:rPr>
                <w:sz w:val="20"/>
                <w:szCs w:val="20"/>
                <w:color w:val="auto"/>
              </w:rPr>
            </w:pPr>
            <w:r>
              <w:rPr>
                <w:rFonts w:ascii="Courier New" w:cs="Courier New" w:eastAsia="Courier New" w:hAnsi="Courier New"/>
                <w:sz w:val="14"/>
                <w:szCs w:val="14"/>
                <w:color w:val="auto"/>
              </w:rPr>
              <w:t>3/11/98</w:t>
            </w:r>
          </w:p>
        </w:tc>
        <w:tc>
          <w:tcPr>
            <w:tcW w:w="2800" w:type="dxa"/>
            <w:vAlign w:val="bottom"/>
            <w:gridSpan w:val="4"/>
            <w:vMerge w:val="restart"/>
          </w:tcPr>
          <w:p>
            <w:pPr>
              <w:spacing w:after="0"/>
              <w:rPr>
                <w:sz w:val="20"/>
                <w:szCs w:val="20"/>
                <w:color w:val="auto"/>
              </w:rPr>
            </w:pPr>
            <w:r>
              <w:rPr>
                <w:rFonts w:ascii="Courier New" w:cs="Courier New" w:eastAsia="Courier New" w:hAnsi="Courier New"/>
                <w:sz w:val="19"/>
                <w:szCs w:val="19"/>
                <w:color w:val="auto"/>
                <w:w w:val="71"/>
                <w:vertAlign w:val="subscript"/>
              </w:rPr>
              <w:t>5.</w:t>
            </w: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RelationshipofReporting</w:t>
            </w:r>
          </w:p>
        </w:tc>
        <w:tc>
          <w:tcPr>
            <w:tcW w:w="22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7. Individual or Joint/</w:t>
            </w:r>
          </w:p>
        </w:tc>
        <w:tc>
          <w:tcPr>
            <w:tcW w:w="0" w:type="dxa"/>
            <w:vAlign w:val="bottom"/>
          </w:tcPr>
          <w:p>
            <w:pPr>
              <w:spacing w:after="0"/>
              <w:rPr>
                <w:sz w:val="1"/>
                <w:szCs w:val="1"/>
                <w:color w:val="auto"/>
              </w:rPr>
            </w:pPr>
          </w:p>
        </w:tc>
      </w:tr>
      <w:tr>
        <w:trPr>
          <w:trHeight w:val="166"/>
        </w:trPr>
        <w:tc>
          <w:tcPr>
            <w:tcW w:w="2300" w:type="dxa"/>
            <w:vAlign w:val="bottom"/>
            <w:gridSpan w:val="2"/>
            <w:vMerge w:val="continue"/>
          </w:tcPr>
          <w:p>
            <w:pPr>
              <w:spacing w:after="0"/>
              <w:rPr>
                <w:sz w:val="14"/>
                <w:szCs w:val="14"/>
                <w:color w:val="auto"/>
              </w:rPr>
            </w:pPr>
          </w:p>
        </w:tc>
        <w:tc>
          <w:tcPr>
            <w:tcW w:w="4000" w:type="dxa"/>
            <w:vAlign w:val="bottom"/>
            <w:vMerge w:val="restart"/>
          </w:tcPr>
          <w:p>
            <w:pPr>
              <w:ind w:left="1420"/>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bscript"/>
              </w:rPr>
              <w:t>3.IRSorSocialSecurity</w:t>
            </w:r>
          </w:p>
        </w:tc>
        <w:tc>
          <w:tcPr>
            <w:tcW w:w="2800" w:type="dxa"/>
            <w:vAlign w:val="bottom"/>
            <w:gridSpan w:val="4"/>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80" w:type="dxa"/>
            <w:vAlign w:val="bottom"/>
            <w:vMerge w:val="restart"/>
          </w:tcPr>
          <w:p>
            <w:pPr>
              <w:spacing w:after="0"/>
              <w:rPr>
                <w:sz w:val="20"/>
                <w:szCs w:val="20"/>
                <w:color w:val="auto"/>
              </w:rPr>
            </w:pPr>
            <w:r>
              <w:rPr>
                <w:rFonts w:ascii="Courier New" w:cs="Courier New" w:eastAsia="Courier New" w:hAnsi="Courier New"/>
                <w:sz w:val="14"/>
                <w:szCs w:val="14"/>
                <w:color w:val="auto"/>
              </w:rPr>
              <w:t>(Street)</w:t>
            </w:r>
          </w:p>
        </w:tc>
        <w:tc>
          <w:tcPr>
            <w:tcW w:w="40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2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Person to Issuer</w:t>
            </w:r>
          </w:p>
        </w:tc>
        <w:tc>
          <w:tcPr>
            <w:tcW w:w="2280" w:type="dxa"/>
            <w:vAlign w:val="bottom"/>
          </w:tcPr>
          <w:p>
            <w:pPr>
              <w:ind w:left="460"/>
              <w:spacing w:after="0"/>
              <w:rPr>
                <w:sz w:val="20"/>
                <w:szCs w:val="20"/>
                <w:color w:val="auto"/>
              </w:rPr>
            </w:pPr>
            <w:r>
              <w:rPr>
                <w:rFonts w:ascii="Courier New" w:cs="Courier New" w:eastAsia="Courier New" w:hAnsi="Courier New"/>
                <w:sz w:val="14"/>
                <w:szCs w:val="14"/>
                <w:color w:val="auto"/>
              </w:rPr>
              <w:t>Group Filing (Check</w:t>
            </w:r>
          </w:p>
        </w:tc>
        <w:tc>
          <w:tcPr>
            <w:tcW w:w="0" w:type="dxa"/>
            <w:vAlign w:val="bottom"/>
          </w:tcPr>
          <w:p>
            <w:pPr>
              <w:spacing w:after="0"/>
              <w:rPr>
                <w:sz w:val="1"/>
                <w:szCs w:val="1"/>
                <w:color w:val="auto"/>
              </w:rPr>
            </w:pPr>
          </w:p>
        </w:tc>
      </w:tr>
      <w:tr>
        <w:trPr>
          <w:trHeight w:val="166"/>
        </w:trPr>
        <w:tc>
          <w:tcPr>
            <w:tcW w:w="1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4000" w:type="dxa"/>
            <w:vAlign w:val="bottom"/>
          </w:tcPr>
          <w:p>
            <w:pPr>
              <w:ind w:left="1680"/>
              <w:spacing w:after="0"/>
              <w:rPr>
                <w:sz w:val="20"/>
                <w:szCs w:val="20"/>
                <w:color w:val="auto"/>
              </w:rPr>
            </w:pPr>
            <w:r>
              <w:rPr>
                <w:rFonts w:ascii="Courier New" w:cs="Courier New" w:eastAsia="Courier New" w:hAnsi="Courier New"/>
                <w:sz w:val="14"/>
                <w:szCs w:val="14"/>
                <w:color w:val="auto"/>
              </w:rPr>
              <w:t>Number of Reporting</w:t>
            </w:r>
          </w:p>
        </w:tc>
        <w:tc>
          <w:tcPr>
            <w:tcW w:w="280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(Check all applicable)</w:t>
            </w:r>
          </w:p>
        </w:tc>
        <w:tc>
          <w:tcPr>
            <w:tcW w:w="2280" w:type="dxa"/>
            <w:vAlign w:val="bottom"/>
          </w:tcPr>
          <w:p>
            <w:pPr>
              <w:ind w:left="300"/>
              <w:spacing w:after="0"/>
              <w:rPr>
                <w:sz w:val="20"/>
                <w:szCs w:val="20"/>
                <w:color w:val="auto"/>
              </w:rPr>
            </w:pPr>
            <w:r>
              <w:rPr>
                <w:rFonts w:ascii="Courier New" w:cs="Courier New" w:eastAsia="Courier New" w:hAnsi="Courier New"/>
                <w:sz w:val="14"/>
                <w:szCs w:val="14"/>
                <w:color w:val="auto"/>
              </w:rPr>
              <w:t>Applicable Line)</w:t>
            </w:r>
          </w:p>
        </w:tc>
        <w:tc>
          <w:tcPr>
            <w:tcW w:w="0" w:type="dxa"/>
            <w:vAlign w:val="bottom"/>
          </w:tcPr>
          <w:p>
            <w:pPr>
              <w:spacing w:after="0"/>
              <w:rPr>
                <w:sz w:val="1"/>
                <w:szCs w:val="1"/>
                <w:color w:val="auto"/>
              </w:rPr>
            </w:pPr>
          </w:p>
        </w:tc>
      </w:tr>
      <w:tr>
        <w:trPr>
          <w:trHeight w:val="166"/>
        </w:trPr>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0" w:type="dxa"/>
            <w:vAlign w:val="bottom"/>
          </w:tcPr>
          <w:p>
            <w:pPr>
              <w:ind w:left="1680"/>
              <w:spacing w:after="0"/>
              <w:rPr>
                <w:sz w:val="20"/>
                <w:szCs w:val="20"/>
                <w:color w:val="auto"/>
              </w:rPr>
            </w:pPr>
            <w:r>
              <w:rPr>
                <w:rFonts w:ascii="Courier New" w:cs="Courier New" w:eastAsia="Courier New" w:hAnsi="Courier New"/>
                <w:sz w:val="14"/>
                <w:szCs w:val="14"/>
                <w:color w:val="auto"/>
              </w:rPr>
              <w:t>Person (Voluntary)</w:t>
            </w:r>
          </w:p>
        </w:tc>
        <w:tc>
          <w:tcPr>
            <w:tcW w:w="1280" w:type="dxa"/>
            <w:vAlign w:val="bottom"/>
            <w:gridSpan w:val="2"/>
          </w:tcPr>
          <w:p>
            <w:pPr>
              <w:spacing w:after="0"/>
              <w:rPr>
                <w:sz w:val="20"/>
                <w:szCs w:val="20"/>
                <w:color w:val="auto"/>
              </w:rPr>
            </w:pPr>
            <w:r>
              <w:rPr>
                <w:rFonts w:ascii="Courier New" w:cs="Courier New" w:eastAsia="Courier New" w:hAnsi="Courier New"/>
                <w:sz w:val="14"/>
                <w:szCs w:val="14"/>
                <w:color w:val="auto"/>
              </w:rPr>
              <w:t>___ Director</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_x_</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10% Owner</w:t>
            </w:r>
          </w:p>
        </w:tc>
        <w:tc>
          <w:tcPr>
            <w:tcW w:w="2280" w:type="dxa"/>
            <w:vAlign w:val="bottom"/>
          </w:tcPr>
          <w:p>
            <w:pPr>
              <w:ind w:left="300"/>
              <w:spacing w:after="0"/>
              <w:rPr>
                <w:sz w:val="20"/>
                <w:szCs w:val="20"/>
                <w:color w:val="auto"/>
              </w:rPr>
            </w:pPr>
            <w:r>
              <w:rPr>
                <w:rFonts w:ascii="Courier New" w:cs="Courier New" w:eastAsia="Courier New" w:hAnsi="Courier New"/>
                <w:sz w:val="14"/>
                <w:szCs w:val="14"/>
                <w:color w:val="auto"/>
              </w:rPr>
              <w:t>__ Form filed by One</w:t>
            </w:r>
          </w:p>
        </w:tc>
        <w:tc>
          <w:tcPr>
            <w:tcW w:w="0" w:type="dxa"/>
            <w:vAlign w:val="bottom"/>
          </w:tcPr>
          <w:p>
            <w:pPr>
              <w:spacing w:after="0"/>
              <w:rPr>
                <w:sz w:val="1"/>
                <w:szCs w:val="1"/>
                <w:color w:val="auto"/>
              </w:rPr>
            </w:pPr>
          </w:p>
        </w:tc>
      </w:tr>
      <w:tr>
        <w:trPr>
          <w:trHeight w:val="166"/>
        </w:trPr>
        <w:tc>
          <w:tcPr>
            <w:tcW w:w="6300" w:type="dxa"/>
            <w:vAlign w:val="bottom"/>
            <w:gridSpan w:val="3"/>
          </w:tcPr>
          <w:p>
            <w:pPr>
              <w:spacing w:after="0"/>
              <w:rPr>
                <w:sz w:val="20"/>
                <w:szCs w:val="20"/>
                <w:color w:val="auto"/>
              </w:rPr>
            </w:pPr>
            <w:r>
              <w:rPr>
                <w:rFonts w:ascii="Courier New" w:cs="Courier New" w:eastAsia="Courier New" w:hAnsi="Courier New"/>
                <w:sz w:val="14"/>
                <w:szCs w:val="14"/>
                <w:color w:val="auto"/>
              </w:rPr>
              <w:t>New York, New York 10036-4098</w:t>
            </w:r>
          </w:p>
        </w:tc>
        <w:tc>
          <w:tcPr>
            <w:tcW w:w="1280" w:type="dxa"/>
            <w:vAlign w:val="bottom"/>
            <w:gridSpan w:val="2"/>
          </w:tcPr>
          <w:p>
            <w:pPr>
              <w:spacing w:after="0"/>
              <w:rPr>
                <w:sz w:val="20"/>
                <w:szCs w:val="20"/>
                <w:color w:val="auto"/>
              </w:rPr>
            </w:pPr>
            <w:r>
              <w:rPr>
                <w:rFonts w:ascii="Courier New" w:cs="Courier New" w:eastAsia="Courier New" w:hAnsi="Courier New"/>
                <w:sz w:val="14"/>
                <w:szCs w:val="14"/>
                <w:color w:val="auto"/>
              </w:rPr>
              <w:t>___ Officer</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___</w:t>
            </w: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Other</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Reporting Person</w:t>
            </w:r>
          </w:p>
        </w:tc>
        <w:tc>
          <w:tcPr>
            <w:tcW w:w="0" w:type="dxa"/>
            <w:vAlign w:val="bottom"/>
          </w:tcPr>
          <w:p>
            <w:pPr>
              <w:spacing w:after="0"/>
              <w:rPr>
                <w:sz w:val="1"/>
                <w:szCs w:val="1"/>
                <w:color w:val="auto"/>
              </w:rPr>
            </w:pPr>
          </w:p>
        </w:tc>
      </w:tr>
      <w:tr>
        <w:trPr>
          <w:trHeight w:val="166"/>
        </w:trPr>
        <w:tc>
          <w:tcPr>
            <w:tcW w:w="1120" w:type="dxa"/>
            <w:vAlign w:val="bottom"/>
            <w:vMerge w:val="restart"/>
          </w:tcPr>
          <w:p>
            <w:pPr>
              <w:spacing w:after="0"/>
              <w:rPr>
                <w:sz w:val="20"/>
                <w:szCs w:val="20"/>
                <w:color w:val="auto"/>
              </w:rPr>
            </w:pPr>
            <w:r>
              <w:rPr>
                <w:rFonts w:ascii="Courier New" w:cs="Courier New" w:eastAsia="Courier New" w:hAnsi="Courier New"/>
                <w:sz w:val="4"/>
                <w:szCs w:val="4"/>
                <w:color w:val="auto"/>
                <w:w w:val="97"/>
              </w:rPr>
              <w:t>- --------------------------------------</w:t>
            </w:r>
            <w:r>
              <w:rPr>
                <w:rFonts w:ascii="Courier New" w:cs="Courier New" w:eastAsia="Courier New" w:hAnsi="Courier New"/>
                <w:sz w:val="7"/>
                <w:szCs w:val="7"/>
                <w:color w:val="auto"/>
                <w:w w:val="97"/>
                <w:vertAlign w:val="subscript"/>
              </w:rPr>
              <w:t>(City)</w:t>
            </w:r>
          </w:p>
        </w:tc>
        <w:tc>
          <w:tcPr>
            <w:tcW w:w="118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(State)</w:t>
            </w:r>
          </w:p>
        </w:tc>
        <w:tc>
          <w:tcPr>
            <w:tcW w:w="4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(give title below)</w:t>
            </w:r>
          </w:p>
        </w:tc>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(specify below) _x_Form filed by More</w:t>
            </w:r>
          </w:p>
        </w:tc>
        <w:tc>
          <w:tcPr>
            <w:tcW w:w="0" w:type="dxa"/>
            <w:vAlign w:val="bottom"/>
          </w:tcPr>
          <w:p>
            <w:pPr>
              <w:spacing w:after="0"/>
              <w:rPr>
                <w:sz w:val="1"/>
                <w:szCs w:val="1"/>
                <w:color w:val="auto"/>
              </w:rPr>
            </w:pPr>
          </w:p>
        </w:tc>
      </w:tr>
      <w:tr>
        <w:trPr>
          <w:trHeight w:val="166"/>
        </w:trPr>
        <w:tc>
          <w:tcPr>
            <w:tcW w:w="11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4000" w:type="dxa"/>
            <w:vAlign w:val="bottom"/>
          </w:tcPr>
          <w:p>
            <w:pPr>
              <w:jc w:val="right"/>
              <w:ind w:right="3130"/>
              <w:spacing w:after="0"/>
              <w:rPr>
                <w:sz w:val="20"/>
                <w:szCs w:val="20"/>
                <w:color w:val="auto"/>
              </w:rPr>
            </w:pPr>
            <w:r>
              <w:rPr>
                <w:rFonts w:ascii="Courier New" w:cs="Courier New" w:eastAsia="Courier New" w:hAnsi="Courier New"/>
                <w:sz w:val="14"/>
                <w:szCs w:val="14"/>
                <w:color w:val="auto"/>
              </w:rPr>
              <w:t>(Zip)</w:t>
            </w: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than One Reporting</w:t>
            </w: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Courier New" w:cs="Courier New" w:eastAsia="Courier New" w:hAnsi="Courier New"/>
                <w:sz w:val="10"/>
                <w:szCs w:val="10"/>
                <w:color w:val="auto"/>
                <w:w w:val="72"/>
              </w:rPr>
              <w:t>---------------------------</w:t>
            </w:r>
          </w:p>
        </w:tc>
        <w:tc>
          <w:tcPr>
            <w:tcW w:w="1080" w:type="dxa"/>
            <w:vAlign w:val="bottom"/>
          </w:tcPr>
          <w:p>
            <w:pPr>
              <w:spacing w:after="0"/>
              <w:rPr>
                <w:sz w:val="16"/>
                <w:szCs w:val="16"/>
                <w:color w:val="auto"/>
              </w:rPr>
            </w:pP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Person</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5320" w:val="left"/>
        </w:tabs>
        <w:rPr>
          <w:sz w:val="20"/>
          <w:szCs w:val="20"/>
          <w:color w:val="auto"/>
        </w:rPr>
      </w:pPr>
      <w:r>
        <w:rPr>
          <w:rFonts w:ascii="Courier New" w:cs="Courier New" w:eastAsia="Courier New" w:hAnsi="Courier New"/>
          <w:sz w:val="14"/>
          <w:szCs w:val="14"/>
          <w:color w:val="auto"/>
        </w:rPr>
        <w:t>See attachment.</w:t>
      </w:r>
      <w:r>
        <w:rPr>
          <w:sz w:val="20"/>
          <w:szCs w:val="20"/>
          <w:color w:val="auto"/>
        </w:rPr>
        <w:tab/>
      </w:r>
      <w:r>
        <w:rPr>
          <w:rFonts w:ascii="Courier New" w:cs="Courier New" w:eastAsia="Courier New" w:hAnsi="Courier New"/>
          <w:sz w:val="14"/>
          <w:szCs w:val="14"/>
          <w:color w:val="auto"/>
        </w:rPr>
        <w:t>TABLE 1 -- NON-DERIVATIVE SECURITIES BENEFICIALLY OWNED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ind w:left="100"/>
        <w:spacing w:after="0"/>
        <w:tabs>
          <w:tab w:leader="none" w:pos="3960" w:val="left"/>
          <w:tab w:leader="none" w:pos="6700" w:val="left"/>
          <w:tab w:leader="none" w:pos="9040" w:val="left"/>
        </w:tabs>
        <w:rPr>
          <w:sz w:val="20"/>
          <w:szCs w:val="20"/>
          <w:color w:val="auto"/>
        </w:rPr>
      </w:pPr>
      <w:r>
        <w:rPr>
          <w:rFonts w:ascii="Courier New" w:cs="Courier New" w:eastAsia="Courier New" w:hAnsi="Courier New"/>
          <w:sz w:val="14"/>
          <w:szCs w:val="14"/>
          <w:color w:val="auto"/>
        </w:rPr>
        <w:t>1. Title of Security</w:t>
      </w:r>
      <w:r>
        <w:rPr>
          <w:sz w:val="20"/>
          <w:szCs w:val="20"/>
          <w:color w:val="auto"/>
        </w:rPr>
        <w:tab/>
      </w:r>
      <w:r>
        <w:rPr>
          <w:rFonts w:ascii="Courier New" w:cs="Courier New" w:eastAsia="Courier New" w:hAnsi="Courier New"/>
          <w:sz w:val="14"/>
          <w:szCs w:val="14"/>
          <w:color w:val="auto"/>
        </w:rPr>
        <w:t>2. Amount of Securities</w:t>
      </w:r>
      <w:r>
        <w:rPr>
          <w:sz w:val="20"/>
          <w:szCs w:val="20"/>
          <w:color w:val="auto"/>
        </w:rPr>
        <w:tab/>
      </w:r>
      <w:r>
        <w:rPr>
          <w:rFonts w:ascii="Courier New" w:cs="Courier New" w:eastAsia="Courier New" w:hAnsi="Courier New"/>
          <w:sz w:val="14"/>
          <w:szCs w:val="14"/>
          <w:color w:val="auto"/>
        </w:rPr>
        <w:t>3. Ownership Form:</w:t>
      </w:r>
      <w:r>
        <w:rPr>
          <w:sz w:val="20"/>
          <w:szCs w:val="20"/>
          <w:color w:val="auto"/>
        </w:rPr>
        <w:tab/>
      </w:r>
      <w:r>
        <w:rPr>
          <w:rFonts w:ascii="Courier New" w:cs="Courier New" w:eastAsia="Courier New" w:hAnsi="Courier New"/>
          <w:sz w:val="14"/>
          <w:szCs w:val="14"/>
          <w:color w:val="auto"/>
        </w:rPr>
        <w:t>4. Nature of Indirect</w:t>
      </w:r>
    </w:p>
    <w:p>
      <w:pPr>
        <w:spacing w:after="0" w:line="7" w:lineRule="exact"/>
        <w:rPr>
          <w:sz w:val="24"/>
          <w:szCs w:val="24"/>
          <w:color w:val="auto"/>
        </w:rPr>
      </w:pPr>
    </w:p>
    <w:p>
      <w:pPr>
        <w:ind w:left="360"/>
        <w:spacing w:after="0"/>
        <w:tabs>
          <w:tab w:leader="none" w:pos="4200" w:val="left"/>
          <w:tab w:leader="none" w:pos="6960" w:val="left"/>
          <w:tab w:leader="none" w:pos="9300" w:val="left"/>
        </w:tabs>
        <w:rPr>
          <w:sz w:val="20"/>
          <w:szCs w:val="20"/>
          <w:color w:val="auto"/>
        </w:rPr>
      </w:pPr>
      <w:r>
        <w:rPr>
          <w:rFonts w:ascii="Courier New" w:cs="Courier New" w:eastAsia="Courier New" w:hAnsi="Courier New"/>
          <w:sz w:val="14"/>
          <w:szCs w:val="14"/>
          <w:color w:val="auto"/>
        </w:rPr>
        <w:t>(Instr. 4)</w:t>
      </w:r>
      <w:r>
        <w:rPr>
          <w:sz w:val="20"/>
          <w:szCs w:val="20"/>
          <w:color w:val="auto"/>
        </w:rPr>
        <w:tab/>
      </w:r>
      <w:r>
        <w:rPr>
          <w:rFonts w:ascii="Courier New" w:cs="Courier New" w:eastAsia="Courier New" w:hAnsi="Courier New"/>
          <w:sz w:val="14"/>
          <w:szCs w:val="14"/>
          <w:color w:val="auto"/>
        </w:rPr>
        <w:t>Beneficially Owned</w:t>
      </w:r>
      <w:r>
        <w:rPr>
          <w:sz w:val="20"/>
          <w:szCs w:val="20"/>
          <w:color w:val="auto"/>
        </w:rPr>
        <w:tab/>
      </w:r>
      <w:r>
        <w:rPr>
          <w:rFonts w:ascii="Courier New" w:cs="Courier New" w:eastAsia="Courier New" w:hAnsi="Courier New"/>
          <w:sz w:val="14"/>
          <w:szCs w:val="14"/>
          <w:color w:val="auto"/>
        </w:rPr>
        <w:t>Direct (D) or</w:t>
      </w:r>
      <w:r>
        <w:rPr>
          <w:sz w:val="20"/>
          <w:szCs w:val="20"/>
          <w:color w:val="auto"/>
        </w:rPr>
        <w:tab/>
      </w:r>
      <w:r>
        <w:rPr>
          <w:rFonts w:ascii="Courier New" w:cs="Courier New" w:eastAsia="Courier New" w:hAnsi="Courier New"/>
          <w:sz w:val="14"/>
          <w:szCs w:val="14"/>
          <w:color w:val="auto"/>
        </w:rPr>
        <w:t>Beneficial</w:t>
      </w:r>
    </w:p>
    <w:p>
      <w:pPr>
        <w:spacing w:after="0" w:line="7" w:lineRule="exact"/>
        <w:rPr>
          <w:sz w:val="24"/>
          <w:szCs w:val="24"/>
          <w:color w:val="auto"/>
        </w:rPr>
      </w:pPr>
    </w:p>
    <w:p>
      <w:pPr>
        <w:ind w:left="4220"/>
        <w:spacing w:after="0"/>
        <w:tabs>
          <w:tab w:leader="none" w:pos="6960" w:val="left"/>
          <w:tab w:leader="none" w:pos="9300" w:val="left"/>
        </w:tabs>
        <w:rPr>
          <w:sz w:val="20"/>
          <w:szCs w:val="20"/>
          <w:color w:val="auto"/>
        </w:rPr>
      </w:pPr>
      <w:r>
        <w:rPr>
          <w:rFonts w:ascii="Courier New" w:cs="Courier New" w:eastAsia="Courier New" w:hAnsi="Courier New"/>
          <w:sz w:val="14"/>
          <w:szCs w:val="14"/>
          <w:color w:val="auto"/>
        </w:rPr>
        <w:t>(Instr. 4)</w:t>
      </w:r>
      <w:r>
        <w:rPr>
          <w:sz w:val="20"/>
          <w:szCs w:val="20"/>
          <w:color w:val="auto"/>
        </w:rPr>
        <w:tab/>
      </w:r>
      <w:r>
        <w:rPr>
          <w:rFonts w:ascii="Courier New" w:cs="Courier New" w:eastAsia="Courier New" w:hAnsi="Courier New"/>
          <w:sz w:val="14"/>
          <w:szCs w:val="14"/>
          <w:color w:val="auto"/>
        </w:rPr>
        <w:t>Indirect (I)</w:t>
      </w:r>
      <w:r>
        <w:rPr>
          <w:sz w:val="20"/>
          <w:szCs w:val="20"/>
          <w:color w:val="auto"/>
        </w:rPr>
        <w:tab/>
      </w:r>
      <w:r>
        <w:rPr>
          <w:rFonts w:ascii="Courier New" w:cs="Courier New" w:eastAsia="Courier New" w:hAnsi="Courier New"/>
          <w:sz w:val="14"/>
          <w:szCs w:val="14"/>
          <w:color w:val="auto"/>
        </w:rPr>
        <w:t>Ownership (Instr. 5)</w:t>
      </w:r>
    </w:p>
    <w:p>
      <w:pPr>
        <w:spacing w:after="0" w:line="7" w:lineRule="exact"/>
        <w:rPr>
          <w:sz w:val="24"/>
          <w:szCs w:val="24"/>
          <w:color w:val="auto"/>
        </w:rPr>
      </w:pPr>
    </w:p>
    <w:p>
      <w:pPr>
        <w:ind w:left="6980"/>
        <w:spacing w:after="0"/>
        <w:rPr>
          <w:sz w:val="20"/>
          <w:szCs w:val="20"/>
          <w:color w:val="auto"/>
        </w:rPr>
      </w:pPr>
      <w:r>
        <w:rPr>
          <w:rFonts w:ascii="Courier New" w:cs="Courier New" w:eastAsia="Courier New" w:hAnsi="Courier New"/>
          <w:sz w:val="14"/>
          <w:szCs w:val="14"/>
          <w:color w:val="auto"/>
        </w:rPr>
        <w:t>(Instr. 5)</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460"/>
          </w:cols>
          <w:pgMar w:left="220" w:top="204" w:right="219" w:bottom="1440" w:gutter="0" w:footer="0" w:header="0"/>
        </w:sectPr>
      </w:pPr>
    </w:p>
    <w:p>
      <w:pPr>
        <w:spacing w:after="0" w:line="173" w:lineRule="exact"/>
        <w:rPr>
          <w:sz w:val="24"/>
          <w:szCs w:val="24"/>
          <w:color w:val="auto"/>
        </w:rPr>
      </w:pPr>
    </w:p>
    <w:p>
      <w:pPr>
        <w:ind w:left="6820" w:right="140" w:hanging="6803"/>
        <w:spacing w:after="0" w:line="376" w:lineRule="auto"/>
        <w:rPr>
          <w:sz w:val="20"/>
          <w:szCs w:val="20"/>
          <w:color w:val="auto"/>
        </w:rPr>
      </w:pPr>
      <w:r>
        <w:rPr>
          <w:rFonts w:ascii="Courier New" w:cs="Courier New" w:eastAsia="Courier New" w:hAnsi="Courier New"/>
          <w:sz w:val="14"/>
          <w:szCs w:val="14"/>
          <w:color w:val="auto"/>
        </w:rPr>
        <w:t>Reminder: Report on a separate line for each class of securities beneficially owned directly or indirectly. (Print or Type Responses)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right"/>
        <w:ind w:right="80"/>
        <w:spacing w:after="0"/>
        <w:rPr>
          <w:sz w:val="20"/>
          <w:szCs w:val="20"/>
          <w:color w:val="auto"/>
        </w:rPr>
      </w:pPr>
      <w:r>
        <w:rPr>
          <w:rFonts w:ascii="Courier New" w:cs="Courier New" w:eastAsia="Courier New" w:hAnsi="Courier New"/>
          <w:sz w:val="14"/>
          <w:szCs w:val="14"/>
          <w:color w:val="auto"/>
        </w:rPr>
        <w:t>(Over)</w:t>
      </w:r>
    </w:p>
    <w:p>
      <w:pPr>
        <w:spacing w:after="0" w:line="33" w:lineRule="exact"/>
        <w:rPr>
          <w:sz w:val="24"/>
          <w:szCs w:val="24"/>
          <w:color w:val="auto"/>
        </w:rPr>
      </w:pPr>
    </w:p>
    <w:p>
      <w:pPr>
        <w:jc w:val="right"/>
        <w:ind w:right="80"/>
        <w:spacing w:after="0"/>
        <w:rPr>
          <w:sz w:val="20"/>
          <w:szCs w:val="20"/>
          <w:color w:val="auto"/>
        </w:rPr>
      </w:pPr>
      <w:r>
        <w:rPr>
          <w:rFonts w:ascii="Courier New" w:cs="Courier New" w:eastAsia="Courier New" w:hAnsi="Courier New"/>
          <w:sz w:val="14"/>
          <w:szCs w:val="14"/>
          <w:color w:val="auto"/>
        </w:rPr>
        <w:t>SEC 1473 (8/92)</w:t>
      </w:r>
    </w:p>
    <w:p>
      <w:pPr>
        <w:sectPr>
          <w:pgSz w:w="11900" w:h="16838" w:orient="portrait"/>
          <w:cols w:equalWidth="0" w:num="2">
            <w:col w:w="9360" w:space="720"/>
            <w:col w:w="1380"/>
          </w:cols>
          <w:pgMar w:left="220" w:top="204" w:right="219"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1540"/>
          </w:cols>
          <w:pgMar w:left="220" w:top="259"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3 (CONTINUED)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TABLE II -- DERIVATIVE SECURITIES BENEFICIALLY OWNED</w:t>
      </w:r>
    </w:p>
    <w:p>
      <w:pPr>
        <w:spacing w:after="0" w:line="33"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(E.G., PUTS, CALLS, WARRANTS, OPTIONS, CONVERTIBLE SECURITIES)</w:t>
      </w:r>
    </w:p>
    <w:p>
      <w:pPr>
        <w:spacing w:after="0" w:line="200" w:lineRule="exact"/>
        <w:rPr>
          <w:sz w:val="20"/>
          <w:szCs w:val="20"/>
          <w:color w:val="auto"/>
        </w:rPr>
      </w:pPr>
    </w:p>
    <w:p>
      <w:pPr>
        <w:sectPr>
          <w:pgSz w:w="11900" w:h="16838" w:orient="portrait"/>
          <w:cols w:equalWidth="0" w:num="2">
            <w:col w:w="1700" w:space="720"/>
            <w:col w:w="9120"/>
          </w:cols>
          <w:pgMar w:left="220" w:top="259" w:right="139" w:bottom="1440" w:gutter="0" w:footer="0" w:header="0"/>
          <w:type w:val="continuous"/>
        </w:sectPr>
      </w:pPr>
    </w:p>
    <w:p>
      <w:pPr>
        <w:spacing w:after="0" w:line="1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760" w:type="dxa"/>
            <w:vAlign w:val="bottom"/>
          </w:tcPr>
          <w:p>
            <w:pPr>
              <w:spacing w:after="0"/>
              <w:rPr>
                <w:sz w:val="20"/>
                <w:szCs w:val="20"/>
                <w:color w:val="auto"/>
              </w:rPr>
            </w:pPr>
            <w:r>
              <w:rPr>
                <w:rFonts w:ascii="Courier New" w:cs="Courier New" w:eastAsia="Courier New" w:hAnsi="Courier New"/>
                <w:sz w:val="14"/>
                <w:szCs w:val="14"/>
                <w:color w:val="auto"/>
              </w:rPr>
              <w:t>1. Title of Derivative Security</w:t>
            </w:r>
          </w:p>
        </w:tc>
        <w:tc>
          <w:tcPr>
            <w:tcW w:w="1720" w:type="dxa"/>
            <w:vAlign w:val="bottom"/>
          </w:tcPr>
          <w:p>
            <w:pPr>
              <w:ind w:left="100"/>
              <w:spacing w:after="0"/>
              <w:rPr>
                <w:sz w:val="20"/>
                <w:szCs w:val="20"/>
                <w:color w:val="auto"/>
              </w:rPr>
            </w:pPr>
            <w:r>
              <w:rPr>
                <w:rFonts w:ascii="Courier New" w:cs="Courier New" w:eastAsia="Courier New" w:hAnsi="Courier New"/>
                <w:sz w:val="14"/>
                <w:szCs w:val="14"/>
                <w:color w:val="auto"/>
              </w:rPr>
              <w:t>2. Date</w:t>
            </w:r>
          </w:p>
        </w:tc>
        <w:tc>
          <w:tcPr>
            <w:tcW w:w="2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3. Title and Amount of</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4. Conver-</w:t>
            </w:r>
          </w:p>
        </w:tc>
        <w:tc>
          <w:tcPr>
            <w:tcW w:w="31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5. Owner-   6. Nature of Indirect</w:t>
            </w: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(Instr. 4)</w:t>
            </w:r>
          </w:p>
        </w:tc>
        <w:tc>
          <w:tcPr>
            <w:tcW w:w="1720" w:type="dxa"/>
            <w:vAlign w:val="bottom"/>
          </w:tcPr>
          <w:p>
            <w:pPr>
              <w:ind w:left="340"/>
              <w:spacing w:after="0"/>
              <w:rPr>
                <w:sz w:val="20"/>
                <w:szCs w:val="20"/>
                <w:color w:val="auto"/>
              </w:rPr>
            </w:pPr>
            <w:r>
              <w:rPr>
                <w:rFonts w:ascii="Courier New" w:cs="Courier New" w:eastAsia="Courier New" w:hAnsi="Courier New"/>
                <w:sz w:val="14"/>
                <w:szCs w:val="14"/>
                <w:color w:val="auto"/>
              </w:rPr>
              <w:t>Exercisable and</w:t>
            </w: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Securities</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Underlying</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sion or</w:t>
            </w:r>
          </w:p>
        </w:tc>
        <w:tc>
          <w:tcPr>
            <w:tcW w:w="1280" w:type="dxa"/>
            <w:vAlign w:val="bottom"/>
          </w:tcPr>
          <w:p>
            <w:pPr>
              <w:ind w:left="380"/>
              <w:spacing w:after="0"/>
              <w:rPr>
                <w:sz w:val="20"/>
                <w:szCs w:val="20"/>
                <w:color w:val="auto"/>
              </w:rPr>
            </w:pPr>
            <w:r>
              <w:rPr>
                <w:rFonts w:ascii="Courier New" w:cs="Courier New" w:eastAsia="Courier New" w:hAnsi="Courier New"/>
                <w:sz w:val="14"/>
                <w:szCs w:val="14"/>
                <w:color w:val="auto"/>
              </w:rPr>
              <w:t>ship</w:t>
            </w:r>
          </w:p>
        </w:tc>
        <w:tc>
          <w:tcPr>
            <w:tcW w:w="1860" w:type="dxa"/>
            <w:vAlign w:val="bottom"/>
          </w:tcPr>
          <w:p>
            <w:pPr>
              <w:ind w:left="140"/>
              <w:spacing w:after="0"/>
              <w:rPr>
                <w:sz w:val="20"/>
                <w:szCs w:val="20"/>
                <w:color w:val="auto"/>
              </w:rPr>
            </w:pPr>
            <w:r>
              <w:rPr>
                <w:rFonts w:ascii="Courier New" w:cs="Courier New" w:eastAsia="Courier New" w:hAnsi="Courier New"/>
                <w:sz w:val="14"/>
                <w:szCs w:val="14"/>
                <w:color w:val="auto"/>
              </w:rPr>
              <w:t>Beneficial Ownership</w:t>
            </w:r>
          </w:p>
        </w:tc>
      </w:tr>
      <w:tr>
        <w:trPr>
          <w:trHeight w:val="166"/>
        </w:trPr>
        <w:tc>
          <w:tcPr>
            <w:tcW w:w="2760" w:type="dxa"/>
            <w:vAlign w:val="bottom"/>
          </w:tcPr>
          <w:p>
            <w:pPr>
              <w:spacing w:after="0"/>
              <w:rPr>
                <w:sz w:val="14"/>
                <w:szCs w:val="14"/>
                <w:color w:val="auto"/>
              </w:rPr>
            </w:pPr>
          </w:p>
        </w:tc>
        <w:tc>
          <w:tcPr>
            <w:tcW w:w="1720" w:type="dxa"/>
            <w:vAlign w:val="bottom"/>
          </w:tcPr>
          <w:p>
            <w:pPr>
              <w:ind w:left="340"/>
              <w:spacing w:after="0"/>
              <w:rPr>
                <w:sz w:val="20"/>
                <w:szCs w:val="20"/>
                <w:color w:val="auto"/>
              </w:rPr>
            </w:pPr>
            <w:r>
              <w:rPr>
                <w:rFonts w:ascii="Courier New" w:cs="Courier New" w:eastAsia="Courier New" w:hAnsi="Courier New"/>
                <w:sz w:val="14"/>
                <w:szCs w:val="14"/>
                <w:color w:val="auto"/>
              </w:rPr>
              <w:t>Expiration Date</w:t>
            </w: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Derivative</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Security</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Exercise</w:t>
            </w:r>
          </w:p>
        </w:tc>
        <w:tc>
          <w:tcPr>
            <w:tcW w:w="1280" w:type="dxa"/>
            <w:vAlign w:val="bottom"/>
          </w:tcPr>
          <w:p>
            <w:pPr>
              <w:ind w:left="380"/>
              <w:spacing w:after="0"/>
              <w:rPr>
                <w:sz w:val="20"/>
                <w:szCs w:val="20"/>
                <w:color w:val="auto"/>
              </w:rPr>
            </w:pPr>
            <w:r>
              <w:rPr>
                <w:rFonts w:ascii="Courier New" w:cs="Courier New" w:eastAsia="Courier New" w:hAnsi="Courier New"/>
                <w:sz w:val="14"/>
                <w:szCs w:val="14"/>
                <w:color w:val="auto"/>
              </w:rPr>
              <w:t>Form of</w:t>
            </w:r>
          </w:p>
        </w:tc>
        <w:tc>
          <w:tcPr>
            <w:tcW w:w="1860" w:type="dxa"/>
            <w:vAlign w:val="bottom"/>
          </w:tcPr>
          <w:p>
            <w:pPr>
              <w:ind w:left="140"/>
              <w:spacing w:after="0"/>
              <w:rPr>
                <w:sz w:val="20"/>
                <w:szCs w:val="20"/>
                <w:color w:val="auto"/>
              </w:rPr>
            </w:pPr>
            <w:r>
              <w:rPr>
                <w:rFonts w:ascii="Courier New" w:cs="Courier New" w:eastAsia="Courier New" w:hAnsi="Courier New"/>
                <w:sz w:val="14"/>
                <w:szCs w:val="14"/>
                <w:color w:val="auto"/>
              </w:rPr>
              <w:t>(Instr. 5)</w:t>
            </w:r>
          </w:p>
        </w:tc>
      </w:tr>
      <w:tr>
        <w:trPr>
          <w:trHeight w:val="166"/>
        </w:trPr>
        <w:tc>
          <w:tcPr>
            <w:tcW w:w="2760" w:type="dxa"/>
            <w:vAlign w:val="bottom"/>
          </w:tcPr>
          <w:p>
            <w:pPr>
              <w:spacing w:after="0"/>
              <w:rPr>
                <w:sz w:val="14"/>
                <w:szCs w:val="14"/>
                <w:color w:val="auto"/>
              </w:rPr>
            </w:pPr>
          </w:p>
        </w:tc>
        <w:tc>
          <w:tcPr>
            <w:tcW w:w="1720" w:type="dxa"/>
            <w:vAlign w:val="bottom"/>
          </w:tcPr>
          <w:p>
            <w:pPr>
              <w:ind w:left="340"/>
              <w:spacing w:after="0"/>
              <w:rPr>
                <w:sz w:val="20"/>
                <w:szCs w:val="20"/>
                <w:color w:val="auto"/>
              </w:rPr>
            </w:pPr>
            <w:r>
              <w:rPr>
                <w:rFonts w:ascii="Courier New" w:cs="Courier New" w:eastAsia="Courier New" w:hAnsi="Courier New"/>
                <w:sz w:val="14"/>
                <w:szCs w:val="14"/>
                <w:color w:val="auto"/>
              </w:rPr>
              <w:t>(Month/Day/</w:t>
            </w: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(Instr. 4)</w:t>
            </w:r>
          </w:p>
        </w:tc>
        <w:tc>
          <w:tcPr>
            <w:tcW w:w="1200" w:type="dxa"/>
            <w:vAlign w:val="bottom"/>
          </w:tcPr>
          <w:p>
            <w:pPr>
              <w:spacing w:after="0"/>
              <w:rPr>
                <w:sz w:val="14"/>
                <w:szCs w:val="14"/>
                <w:color w:val="auto"/>
              </w:rPr>
            </w:pP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Price of</w:t>
            </w:r>
          </w:p>
        </w:tc>
        <w:tc>
          <w:tcPr>
            <w:tcW w:w="1280" w:type="dxa"/>
            <w:vAlign w:val="bottom"/>
          </w:tcPr>
          <w:p>
            <w:pPr>
              <w:ind w:left="380"/>
              <w:spacing w:after="0"/>
              <w:rPr>
                <w:sz w:val="20"/>
                <w:szCs w:val="20"/>
                <w:color w:val="auto"/>
              </w:rPr>
            </w:pPr>
            <w:r>
              <w:rPr>
                <w:rFonts w:ascii="Courier New" w:cs="Courier New" w:eastAsia="Courier New" w:hAnsi="Courier New"/>
                <w:sz w:val="14"/>
                <w:szCs w:val="14"/>
                <w:color w:val="auto"/>
              </w:rPr>
              <w:t>Deriv-</w:t>
            </w:r>
          </w:p>
        </w:tc>
        <w:tc>
          <w:tcPr>
            <w:tcW w:w="1860" w:type="dxa"/>
            <w:vAlign w:val="bottom"/>
          </w:tcPr>
          <w:p>
            <w:pPr>
              <w:spacing w:after="0"/>
              <w:rPr>
                <w:sz w:val="14"/>
                <w:szCs w:val="14"/>
                <w:color w:val="auto"/>
              </w:rPr>
            </w:pPr>
          </w:p>
        </w:tc>
      </w:tr>
      <w:tr>
        <w:trPr>
          <w:trHeight w:val="166"/>
        </w:trPr>
        <w:tc>
          <w:tcPr>
            <w:tcW w:w="2760" w:type="dxa"/>
            <w:vAlign w:val="bottom"/>
          </w:tcPr>
          <w:p>
            <w:pPr>
              <w:spacing w:after="0"/>
              <w:rPr>
                <w:sz w:val="14"/>
                <w:szCs w:val="14"/>
                <w:color w:val="auto"/>
              </w:rPr>
            </w:pPr>
          </w:p>
        </w:tc>
        <w:tc>
          <w:tcPr>
            <w:tcW w:w="1720" w:type="dxa"/>
            <w:vAlign w:val="bottom"/>
          </w:tcPr>
          <w:p>
            <w:pPr>
              <w:ind w:left="340"/>
              <w:spacing w:after="0"/>
              <w:rPr>
                <w:sz w:val="20"/>
                <w:szCs w:val="20"/>
                <w:color w:val="auto"/>
              </w:rPr>
            </w:pPr>
            <w:r>
              <w:rPr>
                <w:rFonts w:ascii="Courier New" w:cs="Courier New" w:eastAsia="Courier New" w:hAnsi="Courier New"/>
                <w:sz w:val="14"/>
                <w:szCs w:val="14"/>
                <w:color w:val="auto"/>
              </w:rPr>
              <w:t>Year)</w:t>
            </w: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Deri-</w:t>
            </w:r>
          </w:p>
        </w:tc>
        <w:tc>
          <w:tcPr>
            <w:tcW w:w="1280" w:type="dxa"/>
            <w:vAlign w:val="bottom"/>
          </w:tcPr>
          <w:p>
            <w:pPr>
              <w:ind w:left="380"/>
              <w:spacing w:after="0"/>
              <w:rPr>
                <w:sz w:val="20"/>
                <w:szCs w:val="20"/>
                <w:color w:val="auto"/>
              </w:rPr>
            </w:pPr>
            <w:r>
              <w:rPr>
                <w:rFonts w:ascii="Courier New" w:cs="Courier New" w:eastAsia="Courier New" w:hAnsi="Courier New"/>
                <w:sz w:val="14"/>
                <w:szCs w:val="14"/>
                <w:color w:val="auto"/>
              </w:rPr>
              <w:t>ative</w:t>
            </w:r>
          </w:p>
        </w:tc>
        <w:tc>
          <w:tcPr>
            <w:tcW w:w="1860" w:type="dxa"/>
            <w:vAlign w:val="bottom"/>
          </w:tcPr>
          <w:p>
            <w:pPr>
              <w:spacing w:after="0"/>
              <w:rPr>
                <w:sz w:val="14"/>
                <w:szCs w:val="14"/>
                <w:color w:val="auto"/>
              </w:rPr>
            </w:pPr>
          </w:p>
        </w:tc>
      </w:tr>
      <w:tr>
        <w:trPr>
          <w:trHeight w:val="166"/>
        </w:trPr>
        <w:tc>
          <w:tcPr>
            <w:tcW w:w="2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vative</w:t>
            </w:r>
          </w:p>
        </w:tc>
        <w:tc>
          <w:tcPr>
            <w:tcW w:w="1280" w:type="dxa"/>
            <w:vAlign w:val="bottom"/>
          </w:tcPr>
          <w:p>
            <w:pPr>
              <w:ind w:left="380"/>
              <w:spacing w:after="0"/>
              <w:rPr>
                <w:sz w:val="20"/>
                <w:szCs w:val="20"/>
                <w:color w:val="auto"/>
              </w:rPr>
            </w:pPr>
            <w:r>
              <w:rPr>
                <w:rFonts w:ascii="Courier New" w:cs="Courier New" w:eastAsia="Courier New" w:hAnsi="Courier New"/>
                <w:sz w:val="14"/>
                <w:szCs w:val="14"/>
                <w:color w:val="auto"/>
              </w:rPr>
              <w:t>Security:</w:t>
            </w:r>
          </w:p>
        </w:tc>
        <w:tc>
          <w:tcPr>
            <w:tcW w:w="1860" w:type="dxa"/>
            <w:vAlign w:val="bottom"/>
          </w:tcPr>
          <w:p>
            <w:pPr>
              <w:spacing w:after="0"/>
              <w:rPr>
                <w:sz w:val="14"/>
                <w:szCs w:val="14"/>
                <w:color w:val="auto"/>
              </w:rPr>
            </w:pPr>
          </w:p>
        </w:tc>
      </w:tr>
      <w:tr>
        <w:trPr>
          <w:trHeight w:val="166"/>
        </w:trPr>
        <w:tc>
          <w:tcPr>
            <w:tcW w:w="2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Security</w:t>
            </w:r>
          </w:p>
        </w:tc>
        <w:tc>
          <w:tcPr>
            <w:tcW w:w="1280" w:type="dxa"/>
            <w:vAlign w:val="bottom"/>
          </w:tcPr>
          <w:p>
            <w:pPr>
              <w:ind w:left="380"/>
              <w:spacing w:after="0"/>
              <w:rPr>
                <w:sz w:val="20"/>
                <w:szCs w:val="20"/>
                <w:color w:val="auto"/>
              </w:rPr>
            </w:pPr>
            <w:r>
              <w:rPr>
                <w:rFonts w:ascii="Courier New" w:cs="Courier New" w:eastAsia="Courier New" w:hAnsi="Courier New"/>
                <w:sz w:val="14"/>
                <w:szCs w:val="14"/>
                <w:color w:val="auto"/>
              </w:rPr>
              <w:t>Direct</w:t>
            </w:r>
          </w:p>
        </w:tc>
        <w:tc>
          <w:tcPr>
            <w:tcW w:w="1860" w:type="dxa"/>
            <w:vAlign w:val="bottom"/>
          </w:tcPr>
          <w:p>
            <w:pPr>
              <w:spacing w:after="0"/>
              <w:rPr>
                <w:sz w:val="14"/>
                <w:szCs w:val="14"/>
                <w:color w:val="auto"/>
              </w:rPr>
            </w:pPr>
          </w:p>
        </w:tc>
      </w:tr>
      <w:tr>
        <w:trPr>
          <w:trHeight w:val="192"/>
        </w:trPr>
        <w:tc>
          <w:tcPr>
            <w:tcW w:w="2760" w:type="dxa"/>
            <w:vAlign w:val="bottom"/>
          </w:tcPr>
          <w:p>
            <w:pPr>
              <w:spacing w:after="0"/>
              <w:rPr>
                <w:sz w:val="16"/>
                <w:szCs w:val="16"/>
                <w:color w:val="auto"/>
              </w:rPr>
            </w:pPr>
          </w:p>
        </w:tc>
        <w:tc>
          <w:tcPr>
            <w:tcW w:w="290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2"/>
              </w:rPr>
              <w:t>-------------------------------------------------</w:t>
            </w:r>
          </w:p>
        </w:tc>
        <w:tc>
          <w:tcPr>
            <w:tcW w:w="1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80" w:type="dxa"/>
            <w:vAlign w:val="bottom"/>
          </w:tcPr>
          <w:p>
            <w:pPr>
              <w:ind w:left="380"/>
              <w:spacing w:after="0"/>
              <w:rPr>
                <w:sz w:val="20"/>
                <w:szCs w:val="20"/>
                <w:color w:val="auto"/>
              </w:rPr>
            </w:pPr>
            <w:r>
              <w:rPr>
                <w:rFonts w:ascii="Courier New" w:cs="Courier New" w:eastAsia="Courier New" w:hAnsi="Courier New"/>
                <w:sz w:val="14"/>
                <w:szCs w:val="14"/>
                <w:color w:val="auto"/>
              </w:rPr>
              <w:t>(D) or</w:t>
            </w:r>
          </w:p>
        </w:tc>
        <w:tc>
          <w:tcPr>
            <w:tcW w:w="1860" w:type="dxa"/>
            <w:vAlign w:val="bottom"/>
          </w:tcPr>
          <w:p>
            <w:pPr>
              <w:spacing w:after="0"/>
              <w:rPr>
                <w:sz w:val="16"/>
                <w:szCs w:val="16"/>
                <w:color w:val="auto"/>
              </w:rPr>
            </w:pPr>
          </w:p>
        </w:tc>
      </w:tr>
    </w:tbl>
    <w:p>
      <w:pPr>
        <w:spacing w:after="0" w:line="1" w:lineRule="exact"/>
        <w:rPr>
          <w:sz w:val="20"/>
          <w:szCs w:val="20"/>
          <w:color w:val="auto"/>
        </w:rPr>
      </w:pPr>
    </w:p>
    <w:tbl>
      <w:tblPr>
        <w:tblLayout w:type="fixed"/>
        <w:tblInd w:w="2860" w:type="dxa"/>
        <w:tblCellMar>
          <w:top w:w="0" w:type="dxa"/>
          <w:left w:w="0" w:type="dxa"/>
          <w:bottom w:w="0" w:type="dxa"/>
          <w:right w:w="0" w:type="dxa"/>
        </w:tblCellMar>
      </w:tblPr>
      <w:tr>
        <w:trPr>
          <w:trHeight w:val="140"/>
        </w:trPr>
        <w:tc>
          <w:tcPr>
            <w:tcW w:w="760" w:type="dxa"/>
            <w:vAlign w:val="bottom"/>
          </w:tcPr>
          <w:p>
            <w:pPr>
              <w:spacing w:after="0" w:line="140" w:lineRule="exact"/>
              <w:rPr>
                <w:sz w:val="20"/>
                <w:szCs w:val="20"/>
                <w:color w:val="auto"/>
              </w:rPr>
            </w:pPr>
            <w:r>
              <w:rPr>
                <w:rFonts w:ascii="Courier New" w:cs="Courier New" w:eastAsia="Courier New" w:hAnsi="Courier New"/>
                <w:sz w:val="14"/>
                <w:szCs w:val="14"/>
                <w:color w:val="auto"/>
              </w:rPr>
              <w:t>Date</w:t>
            </w:r>
          </w:p>
        </w:tc>
        <w:tc>
          <w:tcPr>
            <w:tcW w:w="1120" w:type="dxa"/>
            <w:vAlign w:val="bottom"/>
          </w:tcPr>
          <w:p>
            <w:pPr>
              <w:ind w:left="100"/>
              <w:spacing w:after="0" w:line="140" w:lineRule="exact"/>
              <w:rPr>
                <w:sz w:val="20"/>
                <w:szCs w:val="20"/>
                <w:color w:val="auto"/>
              </w:rPr>
            </w:pPr>
            <w:r>
              <w:rPr>
                <w:rFonts w:ascii="Courier New" w:cs="Courier New" w:eastAsia="Courier New" w:hAnsi="Courier New"/>
                <w:sz w:val="14"/>
                <w:szCs w:val="14"/>
                <w:color w:val="auto"/>
              </w:rPr>
              <w:t>Expira-</w:t>
            </w:r>
          </w:p>
        </w:tc>
        <w:tc>
          <w:tcPr>
            <w:tcW w:w="122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Title</w:t>
            </w:r>
          </w:p>
        </w:tc>
        <w:tc>
          <w:tcPr>
            <w:tcW w:w="900" w:type="dxa"/>
            <w:vAlign w:val="bottom"/>
          </w:tcPr>
          <w:p>
            <w:pPr>
              <w:ind w:left="340"/>
              <w:spacing w:after="0" w:line="140" w:lineRule="exact"/>
              <w:rPr>
                <w:sz w:val="20"/>
                <w:szCs w:val="20"/>
                <w:color w:val="auto"/>
              </w:rPr>
            </w:pPr>
            <w:r>
              <w:rPr>
                <w:rFonts w:ascii="Courier New" w:cs="Courier New" w:eastAsia="Courier New" w:hAnsi="Courier New"/>
                <w:sz w:val="14"/>
                <w:szCs w:val="14"/>
                <w:color w:val="auto"/>
              </w:rPr>
              <w:t>Amount</w:t>
            </w:r>
          </w:p>
        </w:tc>
        <w:tc>
          <w:tcPr>
            <w:tcW w:w="980" w:type="dxa"/>
            <w:vAlign w:val="bottom"/>
          </w:tcPr>
          <w:p>
            <w:pPr>
              <w:ind w:left="40"/>
              <w:spacing w:after="0" w:line="140" w:lineRule="exact"/>
              <w:rPr>
                <w:sz w:val="20"/>
                <w:szCs w:val="20"/>
                <w:color w:val="auto"/>
              </w:rPr>
            </w:pPr>
            <w:r>
              <w:rPr>
                <w:rFonts w:ascii="Courier New" w:cs="Courier New" w:eastAsia="Courier New" w:hAnsi="Courier New"/>
                <w:sz w:val="14"/>
                <w:szCs w:val="14"/>
                <w:color w:val="auto"/>
              </w:rPr>
              <w:t>or</w:t>
            </w:r>
          </w:p>
        </w:tc>
        <w:tc>
          <w:tcPr>
            <w:tcW w:w="1820" w:type="dxa"/>
            <w:vAlign w:val="bottom"/>
          </w:tcPr>
          <w:p>
            <w:pPr>
              <w:ind w:left="780"/>
              <w:spacing w:after="0" w:line="140" w:lineRule="exact"/>
              <w:rPr>
                <w:sz w:val="20"/>
                <w:szCs w:val="20"/>
                <w:color w:val="auto"/>
              </w:rPr>
            </w:pPr>
            <w:r>
              <w:rPr>
                <w:rFonts w:ascii="Courier New" w:cs="Courier New" w:eastAsia="Courier New" w:hAnsi="Courier New"/>
                <w:sz w:val="14"/>
                <w:szCs w:val="14"/>
                <w:color w:val="auto"/>
              </w:rPr>
              <w:t>Indirect (I)</w:t>
            </w:r>
          </w:p>
        </w:tc>
        <w:tc>
          <w:tcPr>
            <w:tcW w:w="0" w:type="dxa"/>
            <w:vAlign w:val="bottom"/>
          </w:tcPr>
          <w:p>
            <w:pPr>
              <w:spacing w:after="0"/>
              <w:rPr>
                <w:sz w:val="1"/>
                <w:szCs w:val="1"/>
                <w:color w:val="auto"/>
              </w:rPr>
            </w:pPr>
          </w:p>
        </w:tc>
      </w:tr>
      <w:tr>
        <w:trPr>
          <w:trHeight w:val="166"/>
        </w:trPr>
        <w:tc>
          <w:tcPr>
            <w:tcW w:w="760" w:type="dxa"/>
            <w:vAlign w:val="bottom"/>
          </w:tcPr>
          <w:p>
            <w:pPr>
              <w:spacing w:after="0"/>
              <w:rPr>
                <w:sz w:val="20"/>
                <w:szCs w:val="20"/>
                <w:color w:val="auto"/>
              </w:rPr>
            </w:pPr>
            <w:r>
              <w:rPr>
                <w:rFonts w:ascii="Courier New" w:cs="Courier New" w:eastAsia="Courier New" w:hAnsi="Courier New"/>
                <w:sz w:val="14"/>
                <w:szCs w:val="14"/>
                <w:color w:val="auto"/>
              </w:rPr>
              <w:t>Exercis-</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tion</w:t>
            </w:r>
          </w:p>
        </w:tc>
        <w:tc>
          <w:tcPr>
            <w:tcW w:w="1220" w:type="dxa"/>
            <w:vAlign w:val="bottom"/>
            <w:vMerge w:val="continue"/>
          </w:tcPr>
          <w:p>
            <w:pPr>
              <w:spacing w:after="0"/>
              <w:rPr>
                <w:sz w:val="14"/>
                <w:szCs w:val="14"/>
                <w:color w:val="auto"/>
              </w:rPr>
            </w:pP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Number</w:t>
            </w:r>
          </w:p>
        </w:tc>
        <w:tc>
          <w:tcPr>
            <w:tcW w:w="980" w:type="dxa"/>
            <w:vAlign w:val="bottom"/>
          </w:tcPr>
          <w:p>
            <w:pPr>
              <w:spacing w:after="0"/>
              <w:rPr>
                <w:sz w:val="14"/>
                <w:szCs w:val="14"/>
                <w:color w:val="auto"/>
              </w:rPr>
            </w:pPr>
          </w:p>
        </w:tc>
        <w:tc>
          <w:tcPr>
            <w:tcW w:w="1820" w:type="dxa"/>
            <w:vAlign w:val="bottom"/>
          </w:tcPr>
          <w:p>
            <w:pPr>
              <w:ind w:left="780"/>
              <w:spacing w:after="0"/>
              <w:rPr>
                <w:sz w:val="20"/>
                <w:szCs w:val="20"/>
                <w:color w:val="auto"/>
              </w:rPr>
            </w:pPr>
            <w:r>
              <w:rPr>
                <w:rFonts w:ascii="Courier New" w:cs="Courier New" w:eastAsia="Courier New" w:hAnsi="Courier New"/>
                <w:sz w:val="14"/>
                <w:szCs w:val="14"/>
                <w:color w:val="auto"/>
              </w:rPr>
              <w:t>(Instr. 5)</w:t>
            </w:r>
          </w:p>
        </w:tc>
        <w:tc>
          <w:tcPr>
            <w:tcW w:w="0" w:type="dxa"/>
            <w:vAlign w:val="bottom"/>
          </w:tcPr>
          <w:p>
            <w:pPr>
              <w:spacing w:after="0"/>
              <w:rPr>
                <w:sz w:val="1"/>
                <w:szCs w:val="1"/>
                <w:color w:val="auto"/>
              </w:rPr>
            </w:pPr>
          </w:p>
        </w:tc>
      </w:tr>
      <w:tr>
        <w:trPr>
          <w:trHeight w:val="242"/>
        </w:trPr>
        <w:tc>
          <w:tcPr>
            <w:tcW w:w="760" w:type="dxa"/>
            <w:vAlign w:val="bottom"/>
          </w:tcPr>
          <w:p>
            <w:pPr>
              <w:spacing w:after="0"/>
              <w:rPr>
                <w:sz w:val="20"/>
                <w:szCs w:val="20"/>
                <w:color w:val="auto"/>
              </w:rPr>
            </w:pPr>
            <w:r>
              <w:rPr>
                <w:rFonts w:ascii="Courier New" w:cs="Courier New" w:eastAsia="Courier New" w:hAnsi="Courier New"/>
                <w:sz w:val="14"/>
                <w:szCs w:val="14"/>
                <w:color w:val="auto"/>
              </w:rPr>
              <w:t>able</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Date</w:t>
            </w:r>
          </w:p>
        </w:tc>
        <w:tc>
          <w:tcPr>
            <w:tcW w:w="1220" w:type="dxa"/>
            <w:vAlign w:val="bottom"/>
          </w:tcPr>
          <w:p>
            <w:pPr>
              <w:spacing w:after="0"/>
              <w:rPr>
                <w:sz w:val="21"/>
                <w:szCs w:val="21"/>
                <w:color w:val="auto"/>
              </w:rPr>
            </w:pPr>
          </w:p>
        </w:tc>
        <w:tc>
          <w:tcPr>
            <w:tcW w:w="18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of Shares</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60" w:type="dxa"/>
            <w:vAlign w:val="bottom"/>
          </w:tcPr>
          <w:p>
            <w:pPr>
              <w:spacing w:after="0"/>
              <w:rPr>
                <w:sz w:val="20"/>
                <w:szCs w:val="20"/>
                <w:color w:val="auto"/>
              </w:rPr>
            </w:pPr>
            <w:r>
              <w:rPr>
                <w:rFonts w:ascii="Courier New" w:cs="Courier New" w:eastAsia="Courier New" w:hAnsi="Courier New"/>
                <w:sz w:val="14"/>
                <w:szCs w:val="14"/>
                <w:color w:val="auto"/>
              </w:rPr>
              <w:t>Series A preferred stock,</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At any</w:t>
            </w:r>
          </w:p>
        </w:tc>
        <w:tc>
          <w:tcPr>
            <w:tcW w:w="82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None.</w:t>
            </w:r>
          </w:p>
        </w:tc>
        <w:tc>
          <w:tcPr>
            <w:tcW w:w="7060" w:type="dxa"/>
            <w:vAlign w:val="bottom"/>
          </w:tcPr>
          <w:p>
            <w:pPr>
              <w:ind w:left="160"/>
              <w:spacing w:after="0"/>
              <w:rPr>
                <w:sz w:val="20"/>
                <w:szCs w:val="20"/>
                <w:color w:val="auto"/>
              </w:rPr>
            </w:pPr>
            <w:r>
              <w:rPr>
                <w:rFonts w:ascii="Courier New" w:cs="Courier New" w:eastAsia="Courier New" w:hAnsi="Courier New"/>
                <w:sz w:val="14"/>
                <w:szCs w:val="14"/>
                <w:color w:val="auto"/>
              </w:rPr>
              <w:t>Common stock, par</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par value $.01 per share.</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time.</w:t>
            </w:r>
          </w:p>
        </w:tc>
        <w:tc>
          <w:tcPr>
            <w:tcW w:w="820" w:type="dxa"/>
            <w:vAlign w:val="bottom"/>
            <w:vMerge w:val="continue"/>
          </w:tcPr>
          <w:p>
            <w:pPr>
              <w:spacing w:after="0"/>
              <w:rPr>
                <w:sz w:val="14"/>
                <w:szCs w:val="14"/>
                <w:color w:val="auto"/>
              </w:rPr>
            </w:pPr>
          </w:p>
        </w:tc>
        <w:tc>
          <w:tcPr>
            <w:tcW w:w="7060" w:type="dxa"/>
            <w:vAlign w:val="bottom"/>
          </w:tcPr>
          <w:p>
            <w:pPr>
              <w:ind w:left="160"/>
              <w:spacing w:after="0"/>
              <w:rPr>
                <w:sz w:val="20"/>
                <w:szCs w:val="20"/>
                <w:color w:val="auto"/>
              </w:rPr>
            </w:pPr>
            <w:r>
              <w:rPr>
                <w:rFonts w:ascii="Courier New" w:cs="Courier New" w:eastAsia="Courier New" w:hAnsi="Courier New"/>
                <w:sz w:val="14"/>
                <w:szCs w:val="14"/>
                <w:color w:val="auto"/>
              </w:rPr>
              <w:t>value $.01 per share.  1,850,000  One-for-one   See attachment.  See attachment.</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60" w:type="dxa"/>
            <w:vAlign w:val="bottom"/>
          </w:tcPr>
          <w:p>
            <w:pPr>
              <w:ind w:left="3100"/>
              <w:spacing w:after="0"/>
              <w:rPr>
                <w:sz w:val="20"/>
                <w:szCs w:val="20"/>
                <w:color w:val="auto"/>
              </w:rPr>
            </w:pPr>
            <w:r>
              <w:rPr>
                <w:rFonts w:ascii="Courier New" w:cs="Courier New" w:eastAsia="Courier New" w:hAnsi="Courier New"/>
                <w:sz w:val="14"/>
                <w:szCs w:val="14"/>
                <w:color w:val="auto"/>
              </w:rPr>
              <w:t>(subject to</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60" w:type="dxa"/>
            <w:vAlign w:val="bottom"/>
          </w:tcPr>
          <w:p>
            <w:pPr>
              <w:ind w:left="3100"/>
              <w:spacing w:after="0"/>
              <w:rPr>
                <w:sz w:val="20"/>
                <w:szCs w:val="20"/>
                <w:color w:val="auto"/>
              </w:rPr>
            </w:pPr>
            <w:r>
              <w:rPr>
                <w:rFonts w:ascii="Courier New" w:cs="Courier New" w:eastAsia="Courier New" w:hAnsi="Courier New"/>
                <w:sz w:val="14"/>
                <w:szCs w:val="14"/>
                <w:color w:val="auto"/>
              </w:rPr>
              <w:t>anti-dilution</w:t>
            </w:r>
          </w:p>
        </w:tc>
        <w:tc>
          <w:tcPr>
            <w:tcW w:w="0" w:type="dxa"/>
            <w:vAlign w:val="bottom"/>
          </w:tcPr>
          <w:p>
            <w:pPr>
              <w:spacing w:after="0"/>
              <w:rPr>
                <w:sz w:val="1"/>
                <w:szCs w:val="1"/>
                <w:color w:val="auto"/>
              </w:rPr>
            </w:pPr>
          </w:p>
        </w:tc>
      </w:tr>
      <w:tr>
        <w:trPr>
          <w:trHeight w:val="192"/>
        </w:trPr>
        <w:tc>
          <w:tcPr>
            <w:tcW w:w="2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60" w:type="dxa"/>
            <w:vAlign w:val="bottom"/>
          </w:tcPr>
          <w:p>
            <w:pPr>
              <w:ind w:left="3100"/>
              <w:spacing w:after="0"/>
              <w:rPr>
                <w:sz w:val="20"/>
                <w:szCs w:val="20"/>
                <w:color w:val="auto"/>
              </w:rPr>
            </w:pPr>
            <w:r>
              <w:rPr>
                <w:rFonts w:ascii="Courier New" w:cs="Courier New" w:eastAsia="Courier New" w:hAnsi="Courier New"/>
                <w:sz w:val="14"/>
                <w:szCs w:val="14"/>
                <w:color w:val="auto"/>
              </w:rPr>
              <w:t>adjustment).</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Explanation of Responses:</w:t>
      </w:r>
    </w:p>
    <w:tbl>
      <w:tblPr>
        <w:tblLayout w:type="fixed"/>
        <w:tblInd w:w="0" w:type="dxa"/>
        <w:tblCellMar>
          <w:top w:w="0" w:type="dxa"/>
          <w:left w:w="0" w:type="dxa"/>
          <w:bottom w:w="0" w:type="dxa"/>
          <w:right w:w="0" w:type="dxa"/>
        </w:tblCellMar>
      </w:tblPr>
      <w:tr>
        <w:trPr>
          <w:trHeight w:val="147"/>
        </w:trPr>
        <w:tc>
          <w:tcPr>
            <w:tcW w:w="118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**Intentional</w:t>
            </w:r>
          </w:p>
        </w:tc>
        <w:tc>
          <w:tcPr>
            <w:tcW w:w="232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misstatements or omissions</w:t>
            </w:r>
          </w:p>
        </w:tc>
        <w:tc>
          <w:tcPr>
            <w:tcW w:w="3480" w:type="dxa"/>
            <w:vAlign w:val="bottom"/>
            <w:gridSpan w:val="2"/>
            <w:vMerge w:val="restart"/>
          </w:tcPr>
          <w:p>
            <w:pPr>
              <w:ind w:left="40"/>
              <w:spacing w:after="0"/>
              <w:rPr>
                <w:sz w:val="20"/>
                <w:szCs w:val="20"/>
                <w:color w:val="auto"/>
              </w:rPr>
            </w:pPr>
            <w:r>
              <w:rPr>
                <w:rFonts w:ascii="Courier New" w:cs="Courier New" w:eastAsia="Courier New" w:hAnsi="Courier New"/>
                <w:sz w:val="14"/>
                <w:szCs w:val="14"/>
                <w:color w:val="auto"/>
              </w:rPr>
              <w:t>of facts constitute Federal Criminal</w:t>
            </w:r>
          </w:p>
        </w:tc>
        <w:tc>
          <w:tcPr>
            <w:tcW w:w="3580" w:type="dxa"/>
            <w:vAlign w:val="bottom"/>
          </w:tcPr>
          <w:p>
            <w:pPr>
              <w:ind w:left="340"/>
              <w:spacing w:after="0" w:line="147" w:lineRule="exact"/>
              <w:rPr>
                <w:sz w:val="20"/>
                <w:szCs w:val="20"/>
                <w:color w:val="auto"/>
              </w:rPr>
            </w:pPr>
            <w:r>
              <w:rPr>
                <w:rFonts w:ascii="Courier New" w:cs="Courier New" w:eastAsia="Courier New" w:hAnsi="Courier New"/>
                <w:sz w:val="14"/>
                <w:szCs w:val="14"/>
                <w:color w:val="auto"/>
              </w:rPr>
              <w:t>See attachment.</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180" w:type="dxa"/>
            <w:vAlign w:val="bottom"/>
            <w:gridSpan w:val="2"/>
            <w:vMerge w:val="continue"/>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3480" w:type="dxa"/>
            <w:vAlign w:val="bottom"/>
            <w:gridSpan w:val="2"/>
            <w:vMerge w:val="continue"/>
          </w:tcPr>
          <w:p>
            <w:pPr>
              <w:spacing w:after="0"/>
              <w:rPr>
                <w:sz w:val="14"/>
                <w:szCs w:val="14"/>
                <w:color w:val="auto"/>
              </w:rPr>
            </w:pPr>
          </w:p>
        </w:tc>
        <w:tc>
          <w:tcPr>
            <w:tcW w:w="44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242"/>
        </w:trPr>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Violations.</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See 18 U.S.C. 1001 and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U.S.C. 78ff(a).</w:t>
            </w:r>
          </w:p>
        </w:tc>
        <w:tc>
          <w:tcPr>
            <w:tcW w:w="1940" w:type="dxa"/>
            <w:vAlign w:val="bottom"/>
          </w:tcPr>
          <w:p>
            <w:pPr>
              <w:spacing w:after="0"/>
              <w:rPr>
                <w:sz w:val="21"/>
                <w:szCs w:val="21"/>
                <w:color w:val="auto"/>
              </w:rPr>
            </w:pPr>
          </w:p>
        </w:tc>
        <w:tc>
          <w:tcPr>
            <w:tcW w:w="3580" w:type="dxa"/>
            <w:vAlign w:val="bottom"/>
          </w:tcPr>
          <w:p>
            <w:pPr>
              <w:ind w:left="340"/>
              <w:spacing w:after="0"/>
              <w:rPr>
                <w:sz w:val="20"/>
                <w:szCs w:val="20"/>
                <w:color w:val="auto"/>
              </w:rPr>
            </w:pPr>
            <w:r>
              <w:rPr>
                <w:rFonts w:ascii="Courier New" w:cs="Courier New" w:eastAsia="Courier New" w:hAnsi="Courier New"/>
                <w:sz w:val="14"/>
                <w:szCs w:val="14"/>
                <w:color w:val="auto"/>
              </w:rPr>
              <w:t>**Signature of Reporting Person</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Date</w:t>
            </w:r>
          </w:p>
        </w:tc>
        <w:tc>
          <w:tcPr>
            <w:tcW w:w="0" w:type="dxa"/>
            <w:vAlign w:val="bottom"/>
          </w:tcPr>
          <w:p>
            <w:pPr>
              <w:spacing w:after="0"/>
              <w:rPr>
                <w:sz w:val="1"/>
                <w:szCs w:val="1"/>
                <w:color w:val="auto"/>
              </w:rPr>
            </w:pPr>
          </w:p>
        </w:tc>
      </w:tr>
      <w:tr>
        <w:trPr>
          <w:trHeight w:val="255"/>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Note. File</w:t>
            </w:r>
          </w:p>
        </w:tc>
        <w:tc>
          <w:tcPr>
            <w:tcW w:w="2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three copies of this Form,</w:t>
            </w:r>
          </w:p>
        </w:tc>
        <w:tc>
          <w:tcPr>
            <w:tcW w:w="1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one of which must be</w:t>
            </w:r>
          </w:p>
        </w:tc>
        <w:tc>
          <w:tcPr>
            <w:tcW w:w="1940" w:type="dxa"/>
            <w:vAlign w:val="bottom"/>
          </w:tcPr>
          <w:p>
            <w:pPr>
              <w:ind w:left="60"/>
              <w:spacing w:after="0"/>
              <w:rPr>
                <w:sz w:val="20"/>
                <w:szCs w:val="20"/>
                <w:color w:val="auto"/>
              </w:rPr>
            </w:pPr>
            <w:r>
              <w:rPr>
                <w:rFonts w:ascii="Courier New" w:cs="Courier New" w:eastAsia="Courier New" w:hAnsi="Courier New"/>
                <w:sz w:val="14"/>
                <w:szCs w:val="14"/>
                <w:color w:val="auto"/>
              </w:rPr>
              <w:t>manually signed.</w:t>
            </w:r>
          </w:p>
        </w:tc>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r>
        <w:trPr>
          <w:trHeight w:val="242"/>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If space</w:t>
            </w:r>
          </w:p>
        </w:tc>
        <w:tc>
          <w:tcPr>
            <w:tcW w:w="25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provided is insufficient, See</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Instruction 6 for</w:t>
            </w:r>
          </w:p>
        </w:tc>
        <w:tc>
          <w:tcPr>
            <w:tcW w:w="1940" w:type="dxa"/>
            <w:vAlign w:val="bottom"/>
          </w:tcPr>
          <w:p>
            <w:pPr>
              <w:ind w:left="60"/>
              <w:spacing w:after="0"/>
              <w:rPr>
                <w:sz w:val="20"/>
                <w:szCs w:val="20"/>
                <w:color w:val="auto"/>
              </w:rPr>
            </w:pPr>
            <w:r>
              <w:rPr>
                <w:rFonts w:ascii="Courier New" w:cs="Courier New" w:eastAsia="Courier New" w:hAnsi="Courier New"/>
                <w:sz w:val="14"/>
                <w:szCs w:val="14"/>
                <w:color w:val="auto"/>
              </w:rPr>
              <w:t>procedure.</w:t>
            </w:r>
          </w:p>
        </w:tc>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SEC 1473</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(8/92)</w:t>
            </w:r>
          </w:p>
        </w:tc>
        <w:tc>
          <w:tcPr>
            <w:tcW w:w="0" w:type="dxa"/>
            <w:vAlign w:val="bottom"/>
          </w:tcPr>
          <w:p>
            <w:pPr>
              <w:spacing w:after="0"/>
              <w:rPr>
                <w:sz w:val="1"/>
                <w:szCs w:val="1"/>
                <w:color w:val="auto"/>
              </w:rPr>
            </w:pPr>
          </w:p>
        </w:tc>
      </w:tr>
    </w:tbl>
    <w:p>
      <w:pPr>
        <w:sectPr>
          <w:pgSz w:w="11900" w:h="16838" w:orient="portrait"/>
          <w:cols w:equalWidth="0" w:num="1">
            <w:col w:w="11540"/>
          </w:cols>
          <w:pgMar w:left="220" w:top="259" w:right="139" w:bottom="144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1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w:t>
            </w:r>
          </w:p>
        </w:tc>
        <w:tc>
          <w:tcPr>
            <w:tcW w:w="23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Form 3</w:t>
            </w:r>
          </w:p>
        </w:tc>
        <w:tc>
          <w:tcPr>
            <w:tcW w:w="33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Page 1 of 3</w:t>
            </w:r>
          </w:p>
        </w:tc>
        <w:tc>
          <w:tcPr>
            <w:tcW w:w="0" w:type="dxa"/>
            <w:vAlign w:val="bottom"/>
          </w:tcPr>
          <w:p>
            <w:pPr>
              <w:spacing w:after="0"/>
              <w:rPr>
                <w:sz w:val="1"/>
                <w:szCs w:val="1"/>
                <w:color w:val="auto"/>
              </w:rPr>
            </w:pPr>
          </w:p>
        </w:tc>
      </w:tr>
      <w:tr>
        <w:trPr>
          <w:trHeight w:val="242"/>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Attachment to</w:t>
            </w:r>
          </w:p>
        </w:tc>
        <w:tc>
          <w:tcPr>
            <w:tcW w:w="2360" w:type="dxa"/>
            <w:vAlign w:val="bottom"/>
            <w:vMerge w:val="continue"/>
          </w:tcPr>
          <w:p>
            <w:pPr>
              <w:spacing w:after="0"/>
              <w:rPr>
                <w:sz w:val="21"/>
                <w:szCs w:val="21"/>
                <w:color w:val="auto"/>
              </w:rPr>
            </w:pPr>
          </w:p>
        </w:tc>
        <w:tc>
          <w:tcPr>
            <w:tcW w:w="3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Reporting</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Person: BMG Music</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2360" w:type="dxa"/>
            <w:vAlign w:val="bottom"/>
          </w:tcPr>
          <w:p>
            <w:pPr>
              <w:ind w:left="720"/>
              <w:spacing w:after="0"/>
              <w:rPr>
                <w:sz w:val="20"/>
                <w:szCs w:val="20"/>
                <w:color w:val="auto"/>
              </w:rPr>
            </w:pPr>
            <w:r>
              <w:rPr>
                <w:rFonts w:ascii="Courier New" w:cs="Courier New" w:eastAsia="Courier New" w:hAnsi="Courier New"/>
                <w:sz w:val="14"/>
                <w:szCs w:val="14"/>
                <w:color w:val="auto"/>
              </w:rPr>
              <w:t>1540 Broadway</w:t>
            </w:r>
          </w:p>
        </w:tc>
        <w:tc>
          <w:tcPr>
            <w:tcW w:w="3360" w:type="dxa"/>
            <w:vAlign w:val="bottom"/>
            <w:vMerge w:val="restart"/>
          </w:tcPr>
          <w:p>
            <w:pPr>
              <w:jc w:val="right"/>
              <w:ind w:right="2348"/>
              <w:spacing w:after="0"/>
              <w:rPr>
                <w:sz w:val="20"/>
                <w:szCs w:val="20"/>
                <w:color w:val="auto"/>
              </w:rPr>
            </w:pPr>
            <w:r>
              <w:rPr>
                <w:rFonts w:ascii="Courier New" w:cs="Courier New" w:eastAsia="Courier New" w:hAnsi="Courier New"/>
                <w:sz w:val="14"/>
                <w:szCs w:val="14"/>
                <w:color w:val="auto"/>
              </w:rPr>
              <w:t>10036-4098</w:t>
            </w:r>
          </w:p>
        </w:tc>
        <w:tc>
          <w:tcPr>
            <w:tcW w:w="0" w:type="dxa"/>
            <w:vAlign w:val="bottom"/>
          </w:tcPr>
          <w:p>
            <w:pPr>
              <w:spacing w:after="0"/>
              <w:rPr>
                <w:sz w:val="1"/>
                <w:szCs w:val="1"/>
                <w:color w:val="auto"/>
              </w:rPr>
            </w:pPr>
          </w:p>
        </w:tc>
      </w:tr>
      <w:tr>
        <w:trPr>
          <w:trHeight w:val="242"/>
        </w:trPr>
        <w:tc>
          <w:tcPr>
            <w:tcW w:w="1180" w:type="dxa"/>
            <w:vAlign w:val="bottom"/>
          </w:tcPr>
          <w:p>
            <w:pPr>
              <w:spacing w:after="0"/>
              <w:rPr>
                <w:sz w:val="21"/>
                <w:szCs w:val="21"/>
                <w:color w:val="auto"/>
              </w:rPr>
            </w:pPr>
          </w:p>
        </w:tc>
        <w:tc>
          <w:tcPr>
            <w:tcW w:w="2360" w:type="dxa"/>
            <w:vAlign w:val="bottom"/>
          </w:tcPr>
          <w:p>
            <w:pPr>
              <w:ind w:left="720"/>
              <w:spacing w:after="0"/>
              <w:rPr>
                <w:sz w:val="20"/>
                <w:szCs w:val="20"/>
                <w:color w:val="auto"/>
              </w:rPr>
            </w:pPr>
            <w:r>
              <w:rPr>
                <w:rFonts w:ascii="Courier New" w:cs="Courier New" w:eastAsia="Courier New" w:hAnsi="Courier New"/>
                <w:sz w:val="14"/>
                <w:szCs w:val="14"/>
                <w:color w:val="auto"/>
              </w:rPr>
              <w:t>New York, New York</w:t>
            </w:r>
          </w:p>
        </w:tc>
        <w:tc>
          <w:tcPr>
            <w:tcW w:w="3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Date of Event</w:t>
      </w:r>
    </w:p>
    <w:p>
      <w:pPr>
        <w:spacing w:after="0" w:line="3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Requiring Statement: March 11, 1998</w:t>
      </w:r>
    </w:p>
    <w:p>
      <w:pPr>
        <w:spacing w:after="0" w:line="14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Issuer: Take-Two Interactive Software, Inc.</w:t>
      </w:r>
    </w:p>
    <w:p>
      <w:pPr>
        <w:spacing w:after="0" w:line="3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"TTWO" (NASDAQ)</w:t>
      </w:r>
    </w:p>
    <w:p>
      <w:pPr>
        <w:spacing w:after="0" w:line="147"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Reporting Persons</w:t>
      </w:r>
    </w:p>
    <w:p>
      <w:pPr>
        <w:spacing w:after="0" w:line="173" w:lineRule="exact"/>
        <w:rPr>
          <w:sz w:val="20"/>
          <w:szCs w:val="20"/>
          <w:color w:val="auto"/>
        </w:rPr>
      </w:pPr>
    </w:p>
    <w:p>
      <w:pPr>
        <w:ind w:right="3339" w:firstLine="517"/>
        <w:spacing w:after="0" w:line="260" w:lineRule="auto"/>
        <w:rPr>
          <w:sz w:val="20"/>
          <w:szCs w:val="20"/>
          <w:color w:val="auto"/>
        </w:rPr>
      </w:pPr>
      <w:r>
        <w:rPr>
          <w:rFonts w:ascii="Courier New" w:cs="Courier New" w:eastAsia="Courier New" w:hAnsi="Courier New"/>
          <w:sz w:val="14"/>
          <w:szCs w:val="14"/>
          <w:color w:val="auto"/>
        </w:rPr>
        <w:t>The initial statement of beneficial ownership of securities to which this is attached is filed on behalf of: BMG Music, a general partnership organized under the laws of the State of New York; BMG Music's controlling general partner, Bertelsmann Music Group, Inc., a corporation organized under the laws of the State of Delaware; Bertelsmann Music Group, Inc.'s sole stockholder, Bertelsmann, Inc., a corporation organized under the laws of the State of Delaware; Bertelsmann, Inc.'s sole stockholder, Bertelsmann AG, a corporation organized under the laws of the Federal Republic of Germany; Bertelsmann AG's controlling shareholder, Johannes Mohn GmbH, a limited liability company organized under the laws of the Federal Republic of Germany; and Johannes Mohn GmbH's controlling shareholder, Reinhard Mohn, an individual citizen of the Federal Republic of Germany. (Mr. Mohn, Johannes Mohn GmbH, Bertelsmann AG, Bertelsmann, Inc., Bertelsmann Music Group, Inc., and BMG Music are collectively referred to herein as "Reporting Persons").</w:t>
      </w:r>
    </w:p>
    <w:p>
      <w:pPr>
        <w:spacing w:after="0" w:line="79" w:lineRule="exact"/>
        <w:rPr>
          <w:sz w:val="20"/>
          <w:szCs w:val="20"/>
          <w:color w:val="auto"/>
        </w:rPr>
      </w:pPr>
    </w:p>
    <w:p>
      <w:pPr>
        <w:jc w:val="both"/>
        <w:ind w:right="3679" w:firstLine="517"/>
        <w:spacing w:after="0" w:line="282" w:lineRule="auto"/>
        <w:rPr>
          <w:sz w:val="20"/>
          <w:szCs w:val="20"/>
          <w:color w:val="auto"/>
        </w:rPr>
      </w:pPr>
      <w:r>
        <w:rPr>
          <w:rFonts w:ascii="Courier New" w:cs="Courier New" w:eastAsia="Courier New" w:hAnsi="Courier New"/>
          <w:sz w:val="14"/>
          <w:szCs w:val="14"/>
          <w:color w:val="auto"/>
        </w:rPr>
        <w:t>The principal business offices of BMG Music, Bertelsmann Music Group, Inc., and Bertelsmann, Inc. are located at 1540 Broadway, New York, New York 10036-4098. The principal business offices of Bertelsmann AG, Johannes Mohn GmbH, and Reinhard Mohn, are located at Carl Bertelsmann Strasse 270, 33311 Gutersloh, Federal Republic of Germany.</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II, Item 5</w:t>
      </w:r>
    </w:p>
    <w:p>
      <w:pPr>
        <w:spacing w:after="0" w:line="173" w:lineRule="exact"/>
        <w:rPr>
          <w:sz w:val="20"/>
          <w:szCs w:val="20"/>
          <w:color w:val="auto"/>
        </w:rPr>
      </w:pPr>
    </w:p>
    <w:p>
      <w:pPr>
        <w:ind w:right="3339" w:firstLine="517"/>
        <w:spacing w:after="0" w:line="256" w:lineRule="auto"/>
        <w:rPr>
          <w:sz w:val="20"/>
          <w:szCs w:val="20"/>
          <w:color w:val="auto"/>
        </w:rPr>
      </w:pPr>
      <w:r>
        <w:rPr>
          <w:rFonts w:ascii="Courier New" w:cs="Courier New" w:eastAsia="Courier New" w:hAnsi="Courier New"/>
          <w:sz w:val="14"/>
          <w:szCs w:val="14"/>
          <w:color w:val="auto"/>
        </w:rPr>
        <w:t>BMG Music (through its division BMG Entertainment) is the record holder of, and each other Reporting Person may be deemed to be the beneficial owner of, 1,850,000 shares of series A preferred stock (the "Preferred Stock") of Take-Two Interactive Software, Inc. ("Issuer") convertible into 1,850,000 shares of common stock, par value $.01 per share, of Issuer (the "Common Stock"). As a result of its ownership of 1,850,000 shares of Preferred Stock, BMG Music and each other Reporting Person may be deemed to be the beneficial owner of</w:t>
      </w:r>
    </w:p>
    <w:p>
      <w:pPr>
        <w:spacing w:after="0" w:line="1" w:lineRule="exact"/>
        <w:rPr>
          <w:sz w:val="20"/>
          <w:szCs w:val="20"/>
          <w:color w:val="auto"/>
        </w:rPr>
      </w:pPr>
    </w:p>
    <w:p>
      <w:pPr>
        <w:ind w:right="3339"/>
        <w:spacing w:after="0" w:line="279" w:lineRule="auto"/>
        <w:rPr>
          <w:sz w:val="20"/>
          <w:szCs w:val="20"/>
          <w:color w:val="auto"/>
        </w:rPr>
      </w:pPr>
      <w:r>
        <w:rPr>
          <w:rFonts w:ascii="Courier New" w:cs="Courier New" w:eastAsia="Courier New" w:hAnsi="Courier New"/>
          <w:sz w:val="14"/>
          <w:szCs w:val="14"/>
          <w:color w:val="auto"/>
        </w:rPr>
        <w:t>1,850,000 shares of Common Stock. The 1,850,000 shares of Common Stock which BMG Music and each other Reporting Person may be deemed to beneficially own represent approximately 15.8 percent of the total number of shares of Common Stock outstanding (after giving effect to the conversion of</w:t>
      </w:r>
    </w:p>
    <w:p>
      <w:pPr>
        <w:sectPr>
          <w:pgSz w:w="11900" w:h="16838" w:orient="portrait"/>
          <w:cols w:equalWidth="0" w:num="1">
            <w:col w:w="10239"/>
          </w:cols>
          <w:pgMar w:left="220" w:top="25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6"/>
        </w:trPr>
        <w:tc>
          <w:tcPr>
            <w:tcW w:w="11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w:t>
            </w:r>
          </w:p>
        </w:tc>
        <w:tc>
          <w:tcPr>
            <w:tcW w:w="23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Form 3</w:t>
            </w:r>
          </w:p>
        </w:tc>
        <w:tc>
          <w:tcPr>
            <w:tcW w:w="33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Page 2 of 3</w:t>
            </w:r>
          </w:p>
        </w:tc>
        <w:tc>
          <w:tcPr>
            <w:tcW w:w="0" w:type="dxa"/>
            <w:vAlign w:val="bottom"/>
          </w:tcPr>
          <w:p>
            <w:pPr>
              <w:spacing w:after="0"/>
              <w:rPr>
                <w:sz w:val="1"/>
                <w:szCs w:val="1"/>
                <w:color w:val="auto"/>
              </w:rPr>
            </w:pPr>
          </w:p>
        </w:tc>
      </w:tr>
      <w:tr>
        <w:trPr>
          <w:trHeight w:val="242"/>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Attachment to</w:t>
            </w:r>
          </w:p>
        </w:tc>
        <w:tc>
          <w:tcPr>
            <w:tcW w:w="2360" w:type="dxa"/>
            <w:vAlign w:val="bottom"/>
            <w:vMerge w:val="continue"/>
          </w:tcPr>
          <w:p>
            <w:pPr>
              <w:spacing w:after="0"/>
              <w:rPr>
                <w:sz w:val="21"/>
                <w:szCs w:val="21"/>
                <w:color w:val="auto"/>
              </w:rPr>
            </w:pPr>
          </w:p>
        </w:tc>
        <w:tc>
          <w:tcPr>
            <w:tcW w:w="3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Reporting</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Person: BMG Music</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2360" w:type="dxa"/>
            <w:vAlign w:val="bottom"/>
          </w:tcPr>
          <w:p>
            <w:pPr>
              <w:ind w:left="720"/>
              <w:spacing w:after="0"/>
              <w:rPr>
                <w:sz w:val="20"/>
                <w:szCs w:val="20"/>
                <w:color w:val="auto"/>
              </w:rPr>
            </w:pPr>
            <w:r>
              <w:rPr>
                <w:rFonts w:ascii="Courier New" w:cs="Courier New" w:eastAsia="Courier New" w:hAnsi="Courier New"/>
                <w:sz w:val="14"/>
                <w:szCs w:val="14"/>
                <w:color w:val="auto"/>
              </w:rPr>
              <w:t>1540 Broadway</w:t>
            </w:r>
          </w:p>
        </w:tc>
        <w:tc>
          <w:tcPr>
            <w:tcW w:w="3360" w:type="dxa"/>
            <w:vAlign w:val="bottom"/>
            <w:vMerge w:val="restart"/>
          </w:tcPr>
          <w:p>
            <w:pPr>
              <w:jc w:val="right"/>
              <w:ind w:right="2348"/>
              <w:spacing w:after="0"/>
              <w:rPr>
                <w:sz w:val="20"/>
                <w:szCs w:val="20"/>
                <w:color w:val="auto"/>
              </w:rPr>
            </w:pPr>
            <w:r>
              <w:rPr>
                <w:rFonts w:ascii="Courier New" w:cs="Courier New" w:eastAsia="Courier New" w:hAnsi="Courier New"/>
                <w:sz w:val="14"/>
                <w:szCs w:val="14"/>
                <w:color w:val="auto"/>
              </w:rPr>
              <w:t>10036-4098</w:t>
            </w:r>
          </w:p>
        </w:tc>
        <w:tc>
          <w:tcPr>
            <w:tcW w:w="0" w:type="dxa"/>
            <w:vAlign w:val="bottom"/>
          </w:tcPr>
          <w:p>
            <w:pPr>
              <w:spacing w:after="0"/>
              <w:rPr>
                <w:sz w:val="1"/>
                <w:szCs w:val="1"/>
                <w:color w:val="auto"/>
              </w:rPr>
            </w:pPr>
          </w:p>
        </w:tc>
      </w:tr>
      <w:tr>
        <w:trPr>
          <w:trHeight w:val="242"/>
        </w:trPr>
        <w:tc>
          <w:tcPr>
            <w:tcW w:w="1180" w:type="dxa"/>
            <w:vAlign w:val="bottom"/>
          </w:tcPr>
          <w:p>
            <w:pPr>
              <w:spacing w:after="0"/>
              <w:rPr>
                <w:sz w:val="21"/>
                <w:szCs w:val="21"/>
                <w:color w:val="auto"/>
              </w:rPr>
            </w:pPr>
          </w:p>
        </w:tc>
        <w:tc>
          <w:tcPr>
            <w:tcW w:w="2360" w:type="dxa"/>
            <w:vAlign w:val="bottom"/>
          </w:tcPr>
          <w:p>
            <w:pPr>
              <w:ind w:left="720"/>
              <w:spacing w:after="0"/>
              <w:rPr>
                <w:sz w:val="20"/>
                <w:szCs w:val="20"/>
                <w:color w:val="auto"/>
              </w:rPr>
            </w:pPr>
            <w:r>
              <w:rPr>
                <w:rFonts w:ascii="Courier New" w:cs="Courier New" w:eastAsia="Courier New" w:hAnsi="Courier New"/>
                <w:sz w:val="14"/>
                <w:szCs w:val="14"/>
                <w:color w:val="auto"/>
              </w:rPr>
              <w:t>New York, New York</w:t>
            </w:r>
          </w:p>
        </w:tc>
        <w:tc>
          <w:tcPr>
            <w:tcW w:w="3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Date of Event</w:t>
      </w:r>
    </w:p>
    <w:p>
      <w:pPr>
        <w:spacing w:after="0" w:line="3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Requiring Statement: March 11, 1998</w:t>
      </w:r>
    </w:p>
    <w:p>
      <w:pPr>
        <w:spacing w:after="0" w:line="14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Issuer: Take-Two Interactive Software, Inc.</w:t>
      </w:r>
    </w:p>
    <w:p>
      <w:pPr>
        <w:spacing w:after="0" w:line="3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"TTWO" (NASDAQ)</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3" w:lineRule="exact"/>
        <w:rPr>
          <w:sz w:val="20"/>
          <w:szCs w:val="20"/>
          <w:color w:val="auto"/>
        </w:rPr>
      </w:pPr>
    </w:p>
    <w:p>
      <w:pPr>
        <w:jc w:val="both"/>
        <w:ind w:right="3939"/>
        <w:spacing w:after="0" w:line="313" w:lineRule="auto"/>
        <w:rPr>
          <w:sz w:val="20"/>
          <w:szCs w:val="20"/>
          <w:color w:val="auto"/>
        </w:rPr>
      </w:pPr>
      <w:r>
        <w:rPr>
          <w:rFonts w:ascii="Courier New" w:cs="Courier New" w:eastAsia="Courier New" w:hAnsi="Courier New"/>
          <w:sz w:val="14"/>
          <w:szCs w:val="14"/>
          <w:color w:val="auto"/>
        </w:rPr>
        <w:t>the 1,850,000 shares of Preferred Stock held by BMG Music, and based upon information contained in Issuer's quarterly report on Form 10-QSB for the quarterly period ended January 31, 1998).</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II, Item 6</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See above under "Additional Reporting Persons".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Signatures</w:t>
      </w:r>
    </w:p>
    <w:p>
      <w:pPr>
        <w:sectPr>
          <w:pgSz w:w="11900" w:h="16838" w:orient="portrait"/>
          <w:cols w:equalWidth="0" w:num="1">
            <w:col w:w="10239"/>
          </w:cols>
          <w:pgMar w:left="220" w:top="259"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March 23, 1998:</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REINHARD MOHN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REINHARD MOHN</w:t>
      </w:r>
    </w:p>
    <w:p>
      <w:pPr>
        <w:spacing w:after="0" w:line="200" w:lineRule="exact"/>
        <w:rPr>
          <w:sz w:val="20"/>
          <w:szCs w:val="20"/>
          <w:color w:val="auto"/>
        </w:rPr>
      </w:pPr>
    </w:p>
    <w:p>
      <w:pPr>
        <w:sectPr>
          <w:pgSz w:w="11900" w:h="16838" w:orient="portrait"/>
          <w:cols w:equalWidth="0" w:num="2">
            <w:col w:w="2380" w:space="720"/>
            <w:col w:w="7139"/>
          </w:cols>
          <w:pgMar w:left="220" w:top="259" w:right="1440" w:bottom="1440" w:gutter="0" w:footer="0" w:header="0"/>
          <w:type w:val="continuous"/>
        </w:sectPr>
      </w:pPr>
    </w:p>
    <w:p>
      <w:pPr>
        <w:spacing w:after="0" w:line="11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JOHANNES MOHN GMBH</w:t>
      </w:r>
    </w:p>
    <w:p>
      <w:pPr>
        <w:sectPr>
          <w:pgSz w:w="11900" w:h="16838" w:orient="portrait"/>
          <w:cols w:equalWidth="0" w:num="1">
            <w:col w:w="10239"/>
          </w:cols>
          <w:pgMar w:left="220" w:top="259"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March 23, 1998:</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REINHARD MOHN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Reinhard Mohn</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Chairman</w:t>
      </w:r>
    </w:p>
    <w:p>
      <w:pPr>
        <w:spacing w:after="0" w:line="200" w:lineRule="exact"/>
        <w:rPr>
          <w:sz w:val="20"/>
          <w:szCs w:val="20"/>
          <w:color w:val="auto"/>
        </w:rPr>
      </w:pPr>
    </w:p>
    <w:p>
      <w:pPr>
        <w:sectPr>
          <w:pgSz w:w="11900" w:h="16838" w:orient="portrait"/>
          <w:cols w:equalWidth="0" w:num="2">
            <w:col w:w="2380" w:space="720"/>
            <w:col w:w="7139"/>
          </w:cols>
          <w:pgMar w:left="220" w:top="259" w:right="1440" w:bottom="1440" w:gutter="0" w:footer="0" w:header="0"/>
          <w:type w:val="continuous"/>
        </w:sectPr>
      </w:pPr>
    </w:p>
    <w:p>
      <w:pPr>
        <w:spacing w:after="0" w:line="11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BERTELSMANN AG</w:t>
      </w:r>
    </w:p>
    <w:p>
      <w:pPr>
        <w:sectPr>
          <w:pgSz w:w="11900" w:h="16838" w:orient="portrait"/>
          <w:cols w:equalWidth="0" w:num="1">
            <w:col w:w="10239"/>
          </w:cols>
          <w:pgMar w:left="220" w:top="259"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March 23, 1998:</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MARK WOESSNER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Mark Woessner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200" w:lineRule="exact"/>
        <w:rPr>
          <w:sz w:val="20"/>
          <w:szCs w:val="20"/>
          <w:color w:val="auto"/>
        </w:rPr>
      </w:pPr>
    </w:p>
    <w:p>
      <w:pPr>
        <w:sectPr>
          <w:pgSz w:w="11900" w:h="16838" w:orient="portrait"/>
          <w:cols w:equalWidth="0" w:num="2">
            <w:col w:w="2300" w:space="720"/>
            <w:col w:w="7219"/>
          </w:cols>
          <w:pgMar w:left="220" w:top="259" w:right="1440" w:bottom="1440" w:gutter="0" w:footer="0" w:header="0"/>
          <w:type w:val="continuous"/>
        </w:sectPr>
      </w:pPr>
    </w:p>
    <w:p>
      <w:pPr>
        <w:spacing w:after="0" w:line="11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BERTELSMANN, INC.</w:t>
      </w:r>
    </w:p>
    <w:p>
      <w:pPr>
        <w:sectPr>
          <w:pgSz w:w="11900" w:h="16838" w:orient="portrait"/>
          <w:cols w:equalWidth="0" w:num="1">
            <w:col w:w="10239"/>
          </w:cols>
          <w:pgMar w:left="220" w:top="259"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March 23, 1998:</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JACQUELINE CHASEY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Jacqueline Chasey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Secretary</w:t>
      </w:r>
    </w:p>
    <w:p>
      <w:pPr>
        <w:sectPr>
          <w:pgSz w:w="11900" w:h="16838" w:orient="portrait"/>
          <w:cols w:equalWidth="0" w:num="3">
            <w:col w:w="2380" w:space="720"/>
            <w:col w:w="260" w:space="180"/>
            <w:col w:w="6699"/>
          </w:cols>
          <w:pgMar w:left="220" w:top="259"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6"/>
        </w:trPr>
        <w:tc>
          <w:tcPr>
            <w:tcW w:w="11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w:t>
            </w:r>
          </w:p>
        </w:tc>
        <w:tc>
          <w:tcPr>
            <w:tcW w:w="23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Form 3</w:t>
            </w:r>
          </w:p>
        </w:tc>
        <w:tc>
          <w:tcPr>
            <w:tcW w:w="33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Page 3 of 3</w:t>
            </w:r>
          </w:p>
        </w:tc>
        <w:tc>
          <w:tcPr>
            <w:tcW w:w="0" w:type="dxa"/>
            <w:vAlign w:val="bottom"/>
          </w:tcPr>
          <w:p>
            <w:pPr>
              <w:spacing w:after="0"/>
              <w:rPr>
                <w:sz w:val="1"/>
                <w:szCs w:val="1"/>
                <w:color w:val="auto"/>
              </w:rPr>
            </w:pPr>
          </w:p>
        </w:tc>
      </w:tr>
      <w:tr>
        <w:trPr>
          <w:trHeight w:val="242"/>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Attachment to</w:t>
            </w:r>
          </w:p>
        </w:tc>
        <w:tc>
          <w:tcPr>
            <w:tcW w:w="2360" w:type="dxa"/>
            <w:vAlign w:val="bottom"/>
            <w:vMerge w:val="continue"/>
          </w:tcPr>
          <w:p>
            <w:pPr>
              <w:spacing w:after="0"/>
              <w:rPr>
                <w:sz w:val="21"/>
                <w:szCs w:val="21"/>
                <w:color w:val="auto"/>
              </w:rPr>
            </w:pPr>
          </w:p>
        </w:tc>
        <w:tc>
          <w:tcPr>
            <w:tcW w:w="3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Reporting</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Person: BMG Music</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2360" w:type="dxa"/>
            <w:vAlign w:val="bottom"/>
          </w:tcPr>
          <w:p>
            <w:pPr>
              <w:ind w:left="720"/>
              <w:spacing w:after="0"/>
              <w:rPr>
                <w:sz w:val="20"/>
                <w:szCs w:val="20"/>
                <w:color w:val="auto"/>
              </w:rPr>
            </w:pPr>
            <w:r>
              <w:rPr>
                <w:rFonts w:ascii="Courier New" w:cs="Courier New" w:eastAsia="Courier New" w:hAnsi="Courier New"/>
                <w:sz w:val="14"/>
                <w:szCs w:val="14"/>
                <w:color w:val="auto"/>
              </w:rPr>
              <w:t>1540 Broadway</w:t>
            </w:r>
          </w:p>
        </w:tc>
        <w:tc>
          <w:tcPr>
            <w:tcW w:w="3360" w:type="dxa"/>
            <w:vAlign w:val="bottom"/>
            <w:vMerge w:val="restart"/>
          </w:tcPr>
          <w:p>
            <w:pPr>
              <w:jc w:val="right"/>
              <w:ind w:right="2348"/>
              <w:spacing w:after="0"/>
              <w:rPr>
                <w:sz w:val="20"/>
                <w:szCs w:val="20"/>
                <w:color w:val="auto"/>
              </w:rPr>
            </w:pPr>
            <w:r>
              <w:rPr>
                <w:rFonts w:ascii="Courier New" w:cs="Courier New" w:eastAsia="Courier New" w:hAnsi="Courier New"/>
                <w:sz w:val="14"/>
                <w:szCs w:val="14"/>
                <w:color w:val="auto"/>
              </w:rPr>
              <w:t>10036-4098</w:t>
            </w:r>
          </w:p>
        </w:tc>
        <w:tc>
          <w:tcPr>
            <w:tcW w:w="0" w:type="dxa"/>
            <w:vAlign w:val="bottom"/>
          </w:tcPr>
          <w:p>
            <w:pPr>
              <w:spacing w:after="0"/>
              <w:rPr>
                <w:sz w:val="1"/>
                <w:szCs w:val="1"/>
                <w:color w:val="auto"/>
              </w:rPr>
            </w:pPr>
          </w:p>
        </w:tc>
      </w:tr>
      <w:tr>
        <w:trPr>
          <w:trHeight w:val="242"/>
        </w:trPr>
        <w:tc>
          <w:tcPr>
            <w:tcW w:w="1180" w:type="dxa"/>
            <w:vAlign w:val="bottom"/>
          </w:tcPr>
          <w:p>
            <w:pPr>
              <w:spacing w:after="0"/>
              <w:rPr>
                <w:sz w:val="21"/>
                <w:szCs w:val="21"/>
                <w:color w:val="auto"/>
              </w:rPr>
            </w:pPr>
          </w:p>
        </w:tc>
        <w:tc>
          <w:tcPr>
            <w:tcW w:w="2360" w:type="dxa"/>
            <w:vAlign w:val="bottom"/>
          </w:tcPr>
          <w:p>
            <w:pPr>
              <w:ind w:left="720"/>
              <w:spacing w:after="0"/>
              <w:rPr>
                <w:sz w:val="20"/>
                <w:szCs w:val="20"/>
                <w:color w:val="auto"/>
              </w:rPr>
            </w:pPr>
            <w:r>
              <w:rPr>
                <w:rFonts w:ascii="Courier New" w:cs="Courier New" w:eastAsia="Courier New" w:hAnsi="Courier New"/>
                <w:sz w:val="14"/>
                <w:szCs w:val="14"/>
                <w:color w:val="auto"/>
              </w:rPr>
              <w:t>New York, New York</w:t>
            </w:r>
          </w:p>
        </w:tc>
        <w:tc>
          <w:tcPr>
            <w:tcW w:w="3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Date of Event</w:t>
      </w:r>
    </w:p>
    <w:p>
      <w:pPr>
        <w:spacing w:after="0" w:line="3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Requiring Statement: March 11, 1998</w:t>
      </w:r>
    </w:p>
    <w:p>
      <w:pPr>
        <w:spacing w:after="0" w:line="14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Issuer: Take-Two Interactive Software, Inc.</w:t>
      </w:r>
    </w:p>
    <w:p>
      <w:pPr>
        <w:spacing w:after="0" w:line="3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"TTWO" (NASDAQ)</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BERTELSMANN MUSIC GROUP, INC.</w:t>
      </w:r>
    </w:p>
    <w:p>
      <w:pPr>
        <w:sectPr>
          <w:pgSz w:w="11900" w:h="16838" w:orient="portrait"/>
          <w:cols w:equalWidth="0" w:num="1">
            <w:col w:w="10239"/>
          </w:cols>
          <w:pgMar w:left="220" w:top="259"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March 23, 1998:</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THOMAS W. MCINTYRE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Thomas W. McIntyre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Senior Vice President and Treasurer</w:t>
      </w:r>
    </w:p>
    <w:p>
      <w:pPr>
        <w:spacing w:after="0" w:line="200" w:lineRule="exact"/>
        <w:rPr>
          <w:sz w:val="20"/>
          <w:szCs w:val="20"/>
          <w:color w:val="auto"/>
        </w:rPr>
      </w:pPr>
    </w:p>
    <w:p>
      <w:pPr>
        <w:sectPr>
          <w:pgSz w:w="11900" w:h="16838" w:orient="portrait"/>
          <w:cols w:equalWidth="0" w:num="2">
            <w:col w:w="2380" w:space="720"/>
            <w:col w:w="7139"/>
          </w:cols>
          <w:pgMar w:left="220" w:top="259" w:right="1440" w:bottom="1440" w:gutter="0" w:footer="0" w:header="0"/>
          <w:type w:val="continuous"/>
        </w:sectPr>
      </w:pPr>
    </w:p>
    <w:p>
      <w:pPr>
        <w:spacing w:after="0" w:line="11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BMG MUSIC</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 BERTELSMANN MUSIC</w:t>
      </w:r>
    </w:p>
    <w:p>
      <w:pPr>
        <w:spacing w:after="0" w:line="3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GROUP, INC., as general partner</w:t>
      </w:r>
    </w:p>
    <w:p>
      <w:pPr>
        <w:sectPr>
          <w:pgSz w:w="11900" w:h="16838" w:orient="portrait"/>
          <w:cols w:equalWidth="0" w:num="1">
            <w:col w:w="10239"/>
          </w:cols>
          <w:pgMar w:left="220" w:top="259" w:right="1440"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March 23, 1998:</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THOMAS W. MCINTYRE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Thomas W. McIntyre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Senior Vice President and Treasurer</w:t>
      </w:r>
    </w:p>
    <w:sectPr>
      <w:pgSz w:w="11900" w:h="16838" w:orient="portrait"/>
      <w:cols w:equalWidth="0" w:num="2">
        <w:col w:w="2380" w:space="720"/>
        <w:col w:w="7139"/>
      </w:cols>
      <w:pgMar w:left="220" w:top="2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2019-12-14T05:46:42Z</dcterms:created>
  <dcterms:modified xsi:type="dcterms:W3CDTF">2019-12-14T05:46:42Z</dcterms:modified>
</cp:coreProperties>
</file>