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369"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10-QSB</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862" w:right="2599" w:hanging="862"/>
        <w:spacing w:after="0" w:line="239" w:lineRule="auto"/>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under Section 13 or 15(d) of the Securities Exchange Act of 1934 For the quarterly period ended January 31, 1998</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862" w:right="2779" w:hanging="862"/>
        <w:spacing w:after="0" w:line="239" w:lineRule="auto"/>
        <w:tabs>
          <w:tab w:leader="none" w:pos="19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6"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For the transition period from __________to__________</w:t>
      </w:r>
    </w:p>
    <w:p>
      <w:pPr>
        <w:spacing w:after="0" w:line="369"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Commission File Number 0-29230</w:t>
      </w:r>
    </w:p>
    <w:p>
      <w:pPr>
        <w:spacing w:after="0" w:line="186"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TAKE-TWO INTERACTIVE SOFTWARE, INC.</w:t>
      </w:r>
    </w:p>
    <w:p>
      <w:pPr>
        <w:sectPr>
          <w:pgSz w:w="11900" w:h="16838" w:orient="portrait"/>
          <w:cols w:equalWidth="0" w:num="1">
            <w:col w:w="10221"/>
          </w:cols>
          <w:pgMar w:left="238" w:top="420" w:right="1440" w:bottom="1440" w:gutter="0" w:footer="0" w:header="0"/>
        </w:sectPr>
      </w:pP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51-0350842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194" w:lineRule="exact"/>
        <w:rPr>
          <w:sz w:val="24"/>
          <w:szCs w:val="24"/>
          <w:color w:val="auto"/>
        </w:rPr>
      </w:pPr>
    </w:p>
    <w:p>
      <w:pPr>
        <w:sectPr>
          <w:pgSz w:w="11900" w:h="16838" w:orient="portrait"/>
          <w:cols w:equalWidth="0" w:num="2">
            <w:col w:w="3822" w:space="660"/>
            <w:col w:w="5739"/>
          </w:cols>
          <w:pgMar w:left="238" w:top="420" w:right="1440" w:bottom="1440" w:gutter="0" w:footer="0" w:header="0"/>
          <w:type w:val="continuous"/>
        </w:sectPr>
      </w:pPr>
    </w:p>
    <w:p>
      <w:pPr>
        <w:ind w:left="2"/>
        <w:spacing w:after="0"/>
        <w:tabs>
          <w:tab w:leader="none" w:pos="1402" w:val="left"/>
        </w:tabs>
        <w:rPr>
          <w:sz w:val="20"/>
          <w:szCs w:val="20"/>
          <w:color w:val="auto"/>
        </w:rPr>
      </w:pPr>
      <w:r>
        <w:rPr>
          <w:rFonts w:ascii="Courier New" w:cs="Courier New" w:eastAsia="Courier New" w:hAnsi="Courier New"/>
          <w:sz w:val="16"/>
          <w:szCs w:val="16"/>
          <w:color w:val="auto"/>
        </w:rPr>
        <w:t>575 Broadway,</w:t>
        <w:tab/>
        <w:t>New York, NY</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10012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7" w:lineRule="exact"/>
        <w:rPr>
          <w:sz w:val="24"/>
          <w:szCs w:val="24"/>
          <w:color w:val="auto"/>
        </w:rPr>
      </w:pPr>
    </w:p>
    <w:p>
      <w:pPr>
        <w:sectPr>
          <w:pgSz w:w="11900" w:h="16838" w:orient="portrait"/>
          <w:cols w:equalWidth="0" w:num="2">
            <w:col w:w="3822" w:space="660"/>
            <w:col w:w="5739"/>
          </w:cols>
          <w:pgMar w:left="238" w:top="420" w:right="1440" w:bottom="144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(212) 941-2988</w:t>
      </w:r>
    </w:p>
    <w:p>
      <w:pPr>
        <w:spacing w:after="0" w:line="197" w:lineRule="exact"/>
        <w:rPr>
          <w:sz w:val="24"/>
          <w:szCs w:val="24"/>
          <w:color w:val="auto"/>
        </w:rPr>
      </w:pPr>
    </w:p>
    <w:p>
      <w:pPr>
        <w:sectPr>
          <w:pgSz w:w="11900" w:h="16838" w:orient="portrait"/>
          <w:cols w:equalWidth="0" w:num="2">
            <w:col w:w="5202" w:space="720"/>
            <w:col w:w="4299"/>
          </w:cols>
          <w:pgMar w:left="238" w:top="420" w:right="1440" w:bottom="1440" w:gutter="0" w:footer="0" w:header="0"/>
          <w:type w:val="continuous"/>
        </w:sectPr>
      </w:pPr>
    </w:p>
    <w:p>
      <w:pPr>
        <w:jc w:val="both"/>
        <w:ind w:left="2" w:right="259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_X_ No __</w:t>
      </w:r>
    </w:p>
    <w:p>
      <w:pPr>
        <w:spacing w:after="0" w:line="189" w:lineRule="exact"/>
        <w:rPr>
          <w:sz w:val="24"/>
          <w:szCs w:val="24"/>
          <w:color w:val="auto"/>
        </w:rPr>
      </w:pPr>
    </w:p>
    <w:p>
      <w:pPr>
        <w:jc w:val="both"/>
        <w:ind w:left="2" w:right="2599"/>
        <w:spacing w:after="0" w:line="239" w:lineRule="auto"/>
        <w:rPr>
          <w:sz w:val="20"/>
          <w:szCs w:val="20"/>
          <w:color w:val="auto"/>
        </w:rPr>
      </w:pPr>
      <w:r>
        <w:rPr>
          <w:rFonts w:ascii="Courier New" w:cs="Courier New" w:eastAsia="Courier New" w:hAnsi="Courier New"/>
          <w:sz w:val="16"/>
          <w:szCs w:val="16"/>
          <w:color w:val="auto"/>
        </w:rPr>
        <w:t>As of February 20, 1998, there were 9,850,043 shares of the registrant's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THREE MONTHS ENDED JANUARY 31, 1998</w:t>
      </w:r>
    </w:p>
    <w:p>
      <w:pPr>
        <w:spacing w:after="0" w:line="186"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FORM 10-QSB</w:t>
      </w:r>
    </w:p>
    <w:p>
      <w:pPr>
        <w:spacing w:after="0" w:line="186"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INDEX</w:t>
      </w:r>
    </w:p>
    <w:p>
      <w:pPr>
        <w:spacing w:after="0" w:line="369" w:lineRule="exact"/>
        <w:rPr>
          <w:sz w:val="24"/>
          <w:szCs w:val="24"/>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4"/>
          <w:szCs w:val="24"/>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Interim Condensed Consolidated Financial Statements (unaudited)</w:t>
      </w:r>
    </w:p>
    <w:p>
      <w:pPr>
        <w:spacing w:after="0" w:line="186"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Condensed Consolidated Balance Sheet - As of January 31, 1998</w:t>
      </w:r>
    </w:p>
    <w:p>
      <w:pPr>
        <w:spacing w:after="0" w:line="188" w:lineRule="exact"/>
        <w:rPr>
          <w:sz w:val="24"/>
          <w:szCs w:val="24"/>
          <w:color w:val="auto"/>
        </w:rPr>
      </w:pPr>
    </w:p>
    <w:p>
      <w:pPr>
        <w:ind w:left="862" w:right="3359"/>
        <w:spacing w:after="0" w:line="239" w:lineRule="auto"/>
        <w:rPr>
          <w:sz w:val="20"/>
          <w:szCs w:val="20"/>
          <w:color w:val="auto"/>
        </w:rPr>
      </w:pPr>
      <w:r>
        <w:rPr>
          <w:rFonts w:ascii="Courier New" w:cs="Courier New" w:eastAsia="Courier New" w:hAnsi="Courier New"/>
          <w:sz w:val="16"/>
          <w:szCs w:val="16"/>
          <w:color w:val="auto"/>
        </w:rPr>
        <w:t>Condensed Consolidated Statements of Operations - For the three months ended January 31, 1997 and 1998</w:t>
      </w:r>
    </w:p>
    <w:p>
      <w:pPr>
        <w:spacing w:after="0" w:line="189" w:lineRule="exact"/>
        <w:rPr>
          <w:sz w:val="24"/>
          <w:szCs w:val="24"/>
          <w:color w:val="auto"/>
        </w:rPr>
      </w:pPr>
    </w:p>
    <w:p>
      <w:pPr>
        <w:ind w:left="862" w:right="3359"/>
        <w:spacing w:after="0" w:line="239" w:lineRule="auto"/>
        <w:rPr>
          <w:sz w:val="20"/>
          <w:szCs w:val="20"/>
          <w:color w:val="auto"/>
        </w:rPr>
      </w:pPr>
      <w:r>
        <w:rPr>
          <w:rFonts w:ascii="Courier New" w:cs="Courier New" w:eastAsia="Courier New" w:hAnsi="Courier New"/>
          <w:sz w:val="16"/>
          <w:szCs w:val="16"/>
          <w:color w:val="auto"/>
        </w:rPr>
        <w:t>Condensed Consolidated Statements of Cash Flows - For the three months ended January 31, 1997 and 1998</w:t>
      </w:r>
    </w:p>
    <w:p>
      <w:pPr>
        <w:spacing w:after="0" w:line="186"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Notes to Interim Condensed Consolidated Financial Statements</w:t>
      </w:r>
    </w:p>
    <w:p>
      <w:pPr>
        <w:spacing w:after="0" w:line="188" w:lineRule="exact"/>
        <w:rPr>
          <w:sz w:val="24"/>
          <w:szCs w:val="24"/>
          <w:color w:val="auto"/>
        </w:rPr>
      </w:pPr>
    </w:p>
    <w:p>
      <w:pPr>
        <w:ind w:left="862" w:right="335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4"/>
          <w:szCs w:val="24"/>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Changes in Securities</w:t>
      </w:r>
    </w:p>
    <w:p>
      <w:pPr>
        <w:spacing w:after="0" w:line="186" w:lineRule="exact"/>
        <w:rPr>
          <w:sz w:val="24"/>
          <w:szCs w:val="24"/>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ectPr>
          <w:pgSz w:w="11900" w:h="16838" w:orient="portrait"/>
          <w:cols w:equalWidth="0" w:num="1">
            <w:col w:w="10221"/>
          </w:cols>
          <w:pgMar w:left="238" w:top="420"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2"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As of January 31, 1998</w:t>
        <w:tab/>
        <w:t>(unaudited)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4180" w:type="dxa"/>
            <w:vAlign w:val="bottom"/>
          </w:tcPr>
          <w:p>
            <w:pPr>
              <w:jc w:val="center"/>
              <w:ind w:right="1441"/>
              <w:spacing w:after="0"/>
              <w:rPr>
                <w:sz w:val="20"/>
                <w:szCs w:val="20"/>
                <w:color w:val="auto"/>
              </w:rPr>
            </w:pPr>
            <w:r>
              <w:rPr>
                <w:rFonts w:ascii="Courier New" w:cs="Courier New" w:eastAsia="Courier New" w:hAnsi="Courier New"/>
                <w:sz w:val="16"/>
                <w:szCs w:val="16"/>
                <w:color w:val="auto"/>
                <w:w w:val="98"/>
              </w:rPr>
              <w:t>ASSETS:</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31, 1998</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(unaudited)</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4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1,087,321</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Accounts receivable, net of returns and allowances of $404,911</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7,226,898</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6,067,152</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Prepaid royalties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1,590,706</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3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(including inventory advances of $1,295,672)</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2,147,125</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ind w:left="1140"/>
              <w:spacing w:after="0"/>
              <w:rPr>
                <w:sz w:val="20"/>
                <w:szCs w:val="20"/>
                <w:color w:val="auto"/>
              </w:rPr>
            </w:pPr>
            <w:r>
              <w:rPr>
                <w:rFonts w:ascii="Courier New" w:cs="Courier New" w:eastAsia="Courier New" w:hAnsi="Courier New"/>
                <w:sz w:val="16"/>
                <w:szCs w:val="16"/>
                <w:color w:val="auto"/>
              </w:rPr>
              <w:t>Total current assets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18,119,202</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Fixed assets, net</w:t>
            </w: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1,226,420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Prepaid royalties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197,500</w:t>
            </w:r>
          </w:p>
        </w:tc>
      </w:tr>
      <w:tr>
        <w:trPr>
          <w:trHeight w:val="183"/>
        </w:trPr>
        <w:tc>
          <w:tcPr>
            <w:tcW w:w="7380" w:type="dxa"/>
            <w:vAlign w:val="bottom"/>
            <w:gridSpan w:val="2"/>
          </w:tcPr>
          <w:p>
            <w:pPr>
              <w:spacing w:after="0"/>
              <w:rPr>
                <w:sz w:val="20"/>
                <w:szCs w:val="20"/>
                <w:color w:val="auto"/>
              </w:rPr>
            </w:pPr>
            <w:r>
              <w:rPr>
                <w:rFonts w:ascii="Courier New" w:cs="Courier New" w:eastAsia="Courier New" w:hAnsi="Courier New"/>
                <w:sz w:val="16"/>
                <w:szCs w:val="16"/>
                <w:color w:val="auto"/>
              </w:rPr>
              <w:t>Capitalized software development costs, net</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3,008,824</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Intangibles, net</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8,034,464</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61,551</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ind w:left="1140"/>
              <w:spacing w:after="0"/>
              <w:rPr>
                <w:sz w:val="20"/>
                <w:szCs w:val="20"/>
                <w:color w:val="auto"/>
              </w:rPr>
            </w:pPr>
            <w:r>
              <w:rPr>
                <w:rFonts w:ascii="Courier New" w:cs="Courier New" w:eastAsia="Courier New" w:hAnsi="Courier New"/>
                <w:sz w:val="16"/>
                <w:szCs w:val="16"/>
                <w:color w:val="auto"/>
              </w:rPr>
              <w:t>Total assets</w:t>
            </w: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$ 30,647,961</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7380" w:type="dxa"/>
            <w:vAlign w:val="bottom"/>
            <w:gridSpan w:val="2"/>
          </w:tcPr>
          <w:p>
            <w:pPr>
              <w:jc w:val="center"/>
              <w:ind w:left="1601"/>
              <w:spacing w:after="0"/>
              <w:rPr>
                <w:sz w:val="20"/>
                <w:szCs w:val="20"/>
                <w:color w:val="auto"/>
              </w:rPr>
            </w:pPr>
            <w:r>
              <w:rPr>
                <w:rFonts w:ascii="Courier New" w:cs="Courier New" w:eastAsia="Courier New" w:hAnsi="Courier New"/>
                <w:sz w:val="16"/>
                <w:szCs w:val="16"/>
                <w:color w:val="auto"/>
                <w:w w:val="99"/>
              </w:rPr>
              <w:t>LIABILITIES and STOCKHOLDERS' EQUITY:</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Current portion of notes payable, net of discount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2,146,820</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Current portion of notes payable due to related parties, net of discount</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238,024</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Current portion of capital lease obligation</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169,724</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Lines of credit, current portion</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5,642,289</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5,254,319</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Accrued expenses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2,925,219</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Due to related parties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131,789</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Advances - principally distributors</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652,719</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738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17,160,903</w:t>
            </w:r>
          </w:p>
        </w:tc>
      </w:tr>
      <w:tr>
        <w:trPr>
          <w:trHeight w:val="367"/>
        </w:trPr>
        <w:tc>
          <w:tcPr>
            <w:tcW w:w="7380" w:type="dxa"/>
            <w:vAlign w:val="bottom"/>
            <w:gridSpan w:val="2"/>
          </w:tcPr>
          <w:p>
            <w:pPr>
              <w:spacing w:after="0"/>
              <w:rPr>
                <w:sz w:val="20"/>
                <w:szCs w:val="20"/>
                <w:color w:val="auto"/>
              </w:rPr>
            </w:pPr>
            <w:r>
              <w:rPr>
                <w:rFonts w:ascii="Courier New" w:cs="Courier New" w:eastAsia="Courier New" w:hAnsi="Courier New"/>
                <w:sz w:val="16"/>
                <w:szCs w:val="16"/>
                <w:color w:val="auto"/>
              </w:rPr>
              <w:t>Note payable, net of current portion</w:t>
            </w:r>
          </w:p>
        </w:tc>
        <w:tc>
          <w:tcPr>
            <w:tcW w:w="340" w:type="dxa"/>
            <w:vAlign w:val="bottom"/>
          </w:tcPr>
          <w:p>
            <w:pPr>
              <w:spacing w:after="0"/>
              <w:rPr>
                <w:sz w:val="24"/>
                <w:szCs w:val="24"/>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250,000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Line of credit</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123,499</w:t>
            </w:r>
          </w:p>
        </w:tc>
      </w:tr>
      <w:tr>
        <w:trPr>
          <w:trHeight w:val="183"/>
        </w:trPr>
        <w:tc>
          <w:tcPr>
            <w:tcW w:w="7380" w:type="dxa"/>
            <w:vAlign w:val="bottom"/>
            <w:gridSpan w:val="2"/>
          </w:tcPr>
          <w:p>
            <w:pPr>
              <w:spacing w:after="0"/>
              <w:rPr>
                <w:sz w:val="20"/>
                <w:szCs w:val="20"/>
                <w:color w:val="auto"/>
              </w:rPr>
            </w:pPr>
            <w:r>
              <w:rPr>
                <w:rFonts w:ascii="Courier New" w:cs="Courier New" w:eastAsia="Courier New" w:hAnsi="Courier New"/>
                <w:sz w:val="16"/>
                <w:szCs w:val="16"/>
                <w:color w:val="auto"/>
              </w:rPr>
              <w:t>Notes payable due to related parties, net of discount</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78,734</w:t>
            </w:r>
          </w:p>
        </w:tc>
      </w:tr>
      <w:tr>
        <w:trPr>
          <w:trHeight w:val="183"/>
        </w:trPr>
        <w:tc>
          <w:tcPr>
            <w:tcW w:w="7380" w:type="dxa"/>
            <w:vAlign w:val="bottom"/>
            <w:gridSpan w:val="2"/>
          </w:tcPr>
          <w:p>
            <w:pPr>
              <w:spacing w:after="0"/>
              <w:rPr>
                <w:sz w:val="20"/>
                <w:szCs w:val="20"/>
                <w:color w:val="auto"/>
              </w:rPr>
            </w:pPr>
            <w:r>
              <w:rPr>
                <w:rFonts w:ascii="Courier New" w:cs="Courier New" w:eastAsia="Courier New" w:hAnsi="Courier New"/>
                <w:sz w:val="16"/>
                <w:szCs w:val="16"/>
                <w:color w:val="auto"/>
              </w:rPr>
              <w:t>Capital lease obligation, net of current portion</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257,667</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ind w:left="1140"/>
              <w:spacing w:after="0"/>
              <w:rPr>
                <w:sz w:val="20"/>
                <w:szCs w:val="20"/>
                <w:color w:val="auto"/>
              </w:rPr>
            </w:pPr>
            <w:r>
              <w:rPr>
                <w:rFonts w:ascii="Courier New" w:cs="Courier New" w:eastAsia="Courier New" w:hAnsi="Courier New"/>
                <w:sz w:val="16"/>
                <w:szCs w:val="16"/>
                <w:color w:val="auto"/>
              </w:rPr>
              <w:t>Total liabilities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17,870,803</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Common stock, par value $.01 per share; 15,000,000 shares authorized;</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98,500</w:t>
            </w:r>
          </w:p>
        </w:tc>
      </w:tr>
      <w:tr>
        <w:trPr>
          <w:trHeight w:val="183"/>
        </w:trPr>
        <w:tc>
          <w:tcPr>
            <w:tcW w:w="73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9,850,043 shares issued and outstanding</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Additional paid-in capital</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17,495,334</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Deferred compensation</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(266,232)</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Accumulated deficit</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(4,540,026)</w:t>
            </w:r>
          </w:p>
        </w:tc>
      </w:tr>
      <w:tr>
        <w:trPr>
          <w:trHeight w:val="183"/>
        </w:trPr>
        <w:tc>
          <w:tcPr>
            <w:tcW w:w="7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Foreign currency translation adjustment</w:t>
            </w:r>
          </w:p>
        </w:tc>
        <w:tc>
          <w:tcPr>
            <w:tcW w:w="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(10,418)</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738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Total stockholders' equity</w:t>
            </w:r>
          </w:p>
        </w:tc>
        <w:tc>
          <w:tcPr>
            <w:tcW w:w="34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12,777,158</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ind w:left="1140"/>
              <w:spacing w:after="0"/>
              <w:rPr>
                <w:sz w:val="20"/>
                <w:szCs w:val="20"/>
                <w:color w:val="auto"/>
              </w:rPr>
            </w:pPr>
            <w:r>
              <w:rPr>
                <w:rFonts w:ascii="Courier New" w:cs="Courier New" w:eastAsia="Courier New" w:hAnsi="Courier New"/>
                <w:sz w:val="16"/>
                <w:szCs w:val="16"/>
                <w:color w:val="auto"/>
              </w:rPr>
              <w:t>Total liabilities and</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stockholders' equity</w:t>
            </w: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$ 30,647,961</w:t>
            </w:r>
          </w:p>
        </w:tc>
      </w:tr>
      <w:tr>
        <w:trPr>
          <w:trHeight w:val="183"/>
        </w:trPr>
        <w:tc>
          <w:tcPr>
            <w:tcW w:w="32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917"/>
        </w:trPr>
        <w:tc>
          <w:tcPr>
            <w:tcW w:w="3200" w:type="dxa"/>
            <w:vAlign w:val="bottom"/>
          </w:tcPr>
          <w:p>
            <w:pPr>
              <w:spacing w:after="0"/>
              <w:rPr>
                <w:sz w:val="20"/>
                <w:szCs w:val="20"/>
                <w:color w:val="auto"/>
              </w:rPr>
            </w:pPr>
            <w:r>
              <w:rPr>
                <w:rFonts w:ascii="Courier New" w:cs="Courier New" w:eastAsia="Courier New" w:hAnsi="Courier New"/>
                <w:sz w:val="16"/>
                <w:szCs w:val="16"/>
                <w:color w:val="auto"/>
              </w:rPr>
              <w:t>The  accompanying  notes  are an</w:t>
            </w:r>
          </w:p>
        </w:tc>
        <w:tc>
          <w:tcPr>
            <w:tcW w:w="4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integral  part of the  condensed  consolidated</w:t>
            </w:r>
          </w:p>
        </w:tc>
        <w:tc>
          <w:tcPr>
            <w:tcW w:w="1240" w:type="dxa"/>
            <w:vAlign w:val="bottom"/>
          </w:tcPr>
          <w:p>
            <w:pPr>
              <w:spacing w:after="0"/>
              <w:rPr>
                <w:sz w:val="24"/>
                <w:szCs w:val="24"/>
                <w:color w:val="auto"/>
              </w:rPr>
            </w:pP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ectPr>
          <w:pgSz w:w="11900" w:h="16838" w:orient="portrait"/>
          <w:cols w:equalWidth="0" w:num="1">
            <w:col w:w="10219"/>
          </w:cols>
          <w:pgMar w:left="240" w:top="66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2" w:lineRule="exact"/>
        <w:rPr>
          <w:sz w:val="20"/>
          <w:szCs w:val="20"/>
          <w:color w:val="auto"/>
        </w:rPr>
      </w:pPr>
    </w:p>
    <w:p>
      <w:pPr>
        <w:spacing w:after="0"/>
        <w:tabs>
          <w:tab w:leader="none" w:pos="1020" w:val="left"/>
          <w:tab w:leader="none" w:pos="2360" w:val="left"/>
          <w:tab w:leader="none" w:pos="3500" w:val="left"/>
          <w:tab w:leader="none" w:pos="3880" w:val="left"/>
        </w:tabs>
        <w:rPr>
          <w:sz w:val="20"/>
          <w:szCs w:val="20"/>
          <w:color w:val="auto"/>
        </w:rPr>
      </w:pPr>
      <w:r>
        <w:rPr>
          <w:rFonts w:ascii="Courier New" w:cs="Courier New" w:eastAsia="Courier New" w:hAnsi="Courier New"/>
          <w:sz w:val="16"/>
          <w:szCs w:val="16"/>
          <w:color w:val="auto"/>
        </w:rPr>
        <w:t>Condensed</w:t>
        <w:tab/>
        <w:t>Consolidated</w:t>
        <w:tab/>
        <w:t>Statements</w:t>
        <w:tab/>
        <w:t>of</w:t>
        <w:tab/>
        <w:t>Operations</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For the three</w:t>
      </w:r>
      <w:r>
        <w:rPr>
          <w:sz w:val="20"/>
          <w:szCs w:val="20"/>
          <w:color w:val="auto"/>
        </w:rPr>
        <w:tab/>
      </w:r>
      <w:r>
        <w:rPr>
          <w:rFonts w:ascii="Courier New" w:cs="Courier New" w:eastAsia="Courier New" w:hAnsi="Courier New"/>
          <w:sz w:val="15"/>
          <w:szCs w:val="15"/>
          <w:color w:val="auto"/>
        </w:rPr>
        <w:t>months ended January 31, 1997 and 1998 (unaudited)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Three Months Ended January 31,</w:t>
            </w:r>
          </w:p>
        </w:tc>
      </w:tr>
      <w:tr>
        <w:trPr>
          <w:trHeight w:val="183"/>
        </w:trPr>
        <w:tc>
          <w:tcPr>
            <w:tcW w:w="634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6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$ 6,132,050</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$22,068,437</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2,975,966</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14,981,636</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3,156,084</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7,086,801</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 costs</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287,571</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454,248</w:t>
            </w: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Selling and marketing</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1,569,969</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2,328,079</w:t>
            </w: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570,643</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1,554,238</w:t>
            </w: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155,959</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337,135</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Total operating expenses</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2,584,142</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4,673,700</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Income from operations</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571,942</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2,413,101</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284,787</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1,131,129</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Income before income taxes</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287,155</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1,281,972</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14,991</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40,983</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272,164</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1,240,989</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38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(4,383)</w:t>
            </w:r>
          </w:p>
        </w:tc>
        <w:tc>
          <w:tcPr>
            <w:tcW w:w="24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Distributions paid to S corporation shareholders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prior to acquisition</w:t>
            </w:r>
          </w:p>
        </w:tc>
        <w:tc>
          <w:tcPr>
            <w:tcW w:w="38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(53,637)</w:t>
            </w:r>
          </w:p>
        </w:tc>
        <w:tc>
          <w:tcPr>
            <w:tcW w:w="24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Net income attributable to common stockholders' - Basic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214,144</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$ 1,240,989</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w w:val="99"/>
              </w:rPr>
              <w:t>Net income attributable to common stockholders' - Diluted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214,144</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$ 1,337,319</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50"/>
        </w:trPr>
        <w:tc>
          <w:tcPr>
            <w:tcW w:w="63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7,671,064</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9,475,043</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Net income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38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7,671,064</w:t>
            </w:r>
          </w:p>
        </w:tc>
        <w:tc>
          <w:tcPr>
            <w:tcW w:w="2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11,089,175</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860"/>
              <w:spacing w:after="0"/>
              <w:rPr>
                <w:sz w:val="20"/>
                <w:szCs w:val="20"/>
                <w:color w:val="auto"/>
              </w:rPr>
            </w:pPr>
            <w:r>
              <w:rPr>
                <w:rFonts w:ascii="Courier New" w:cs="Courier New" w:eastAsia="Courier New" w:hAnsi="Courier New"/>
                <w:sz w:val="16"/>
                <w:szCs w:val="16"/>
                <w:color w:val="auto"/>
              </w:rPr>
              <w:t>Net income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r>
      <w:tr>
        <w:trPr>
          <w:trHeight w:val="183"/>
        </w:trPr>
        <w:tc>
          <w:tcPr>
            <w:tcW w:w="63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734"/>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The  accompanying  notes  are an  integral  part of the  condensed</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consolidated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ectPr>
          <w:pgSz w:w="11900" w:h="16838" w:orient="portrait"/>
          <w:cols w:equalWidth="0" w:num="1">
            <w:col w:w="10219"/>
          </w:cols>
          <w:pgMar w:left="240" w:top="665"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580" w:type="dxa"/>
            <w:vAlign w:val="bottom"/>
            <w:gridSpan w:val="4"/>
          </w:tcPr>
          <w:p>
            <w:pPr>
              <w:spacing w:after="0"/>
              <w:rPr>
                <w:sz w:val="20"/>
                <w:szCs w:val="20"/>
                <w:color w:val="auto"/>
              </w:rPr>
            </w:pPr>
            <w:r>
              <w:rPr>
                <w:rFonts w:ascii="Courier New" w:cs="Courier New" w:eastAsia="Courier New" w:hAnsi="Courier New"/>
                <w:sz w:val="16"/>
                <w:szCs w:val="16"/>
                <w:color w:val="auto"/>
              </w:rPr>
              <w:t>TAKE-TWO INTERACTIVE SOFTWARE, INC. and SUBSIDIARIES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Condensed  Consolidated  Statements  of Cash</w:t>
            </w:r>
          </w:p>
        </w:tc>
        <w:tc>
          <w:tcPr>
            <w:tcW w:w="4300" w:type="dxa"/>
            <w:vAlign w:val="bottom"/>
          </w:tcPr>
          <w:p>
            <w:pPr>
              <w:ind w:left="100"/>
              <w:spacing w:after="0"/>
              <w:rPr>
                <w:sz w:val="20"/>
                <w:szCs w:val="20"/>
                <w:color w:val="auto"/>
              </w:rPr>
            </w:pPr>
            <w:r>
              <w:rPr>
                <w:rFonts w:ascii="Courier New" w:cs="Courier New" w:eastAsia="Courier New" w:hAnsi="Courier New"/>
                <w:sz w:val="16"/>
                <w:szCs w:val="16"/>
                <w:color w:val="auto"/>
              </w:rPr>
              <w:t>Flows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For the three</w:t>
            </w:r>
          </w:p>
        </w:tc>
        <w:tc>
          <w:tcPr>
            <w:tcW w:w="580" w:type="dxa"/>
            <w:vAlign w:val="bottom"/>
          </w:tcPr>
          <w:p>
            <w:pPr>
              <w:jc w:val="center"/>
              <w:spacing w:after="0"/>
              <w:rPr>
                <w:sz w:val="20"/>
                <w:szCs w:val="20"/>
                <w:color w:val="auto"/>
              </w:rPr>
            </w:pPr>
            <w:r>
              <w:rPr>
                <w:rFonts w:ascii="Courier New" w:cs="Courier New" w:eastAsia="Courier New" w:hAnsi="Courier New"/>
                <w:sz w:val="16"/>
                <w:szCs w:val="16"/>
                <w:color w:val="auto"/>
              </w:rPr>
              <w:t>months</w:t>
            </w:r>
          </w:p>
        </w:tc>
        <w:tc>
          <w:tcPr>
            <w:tcW w:w="6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ended January 31, 1997 and 1998 (unaudited)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8580" w:type="dxa"/>
            <w:vAlign w:val="bottom"/>
            <w:gridSpan w:val="4"/>
          </w:tcPr>
          <w:p>
            <w:pPr>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734"/>
        </w:trPr>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 January 31,</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1420" w:type="dxa"/>
            <w:vAlign w:val="bottom"/>
          </w:tcPr>
          <w:p>
            <w:pPr>
              <w:ind w:left="480"/>
              <w:spacing w:after="0"/>
              <w:rPr>
                <w:sz w:val="20"/>
                <w:szCs w:val="20"/>
                <w:color w:val="auto"/>
              </w:rPr>
            </w:pPr>
            <w:r>
              <w:rPr>
                <w:rFonts w:ascii="Courier New" w:cs="Courier New" w:eastAsia="Courier New" w:hAnsi="Courier New"/>
                <w:sz w:val="16"/>
                <w:szCs w:val="16"/>
                <w:color w:val="auto"/>
                <w:w w:val="95"/>
              </w:rPr>
              <w:t>Net income</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272,164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1,240,989</w:t>
            </w:r>
          </w:p>
        </w:tc>
      </w:tr>
      <w:tr>
        <w:trPr>
          <w:trHeight w:val="183"/>
        </w:trPr>
        <w:tc>
          <w:tcPr>
            <w:tcW w:w="858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Adjustment to reconcile net income to net cash provided by operating activities: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28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Depreciation and amortization</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155,959</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337,135</w:t>
            </w:r>
          </w:p>
        </w:tc>
      </w:tr>
      <w:tr>
        <w:trPr>
          <w:trHeight w:val="183"/>
        </w:trPr>
        <w:tc>
          <w:tcPr>
            <w:tcW w:w="428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Gain on disposal of equipment</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(14,100)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28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Provision for returns and allowances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199,500</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404,911</w:t>
            </w:r>
          </w:p>
        </w:tc>
      </w:tr>
      <w:tr>
        <w:trPr>
          <w:trHeight w:val="183"/>
        </w:trPr>
        <w:tc>
          <w:tcPr>
            <w:tcW w:w="4280" w:type="dxa"/>
            <w:vAlign w:val="bottom"/>
            <w:gridSpan w:val="3"/>
          </w:tcPr>
          <w:p>
            <w:pPr>
              <w:ind w:left="760"/>
              <w:spacing w:after="0"/>
              <w:rPr>
                <w:sz w:val="20"/>
                <w:szCs w:val="20"/>
                <w:color w:val="auto"/>
              </w:rPr>
            </w:pPr>
            <w:r>
              <w:rPr>
                <w:rFonts w:ascii="Courier New" w:cs="Courier New" w:eastAsia="Courier New" w:hAnsi="Courier New"/>
                <w:sz w:val="16"/>
                <w:szCs w:val="16"/>
                <w:color w:val="auto"/>
                <w:w w:val="98"/>
              </w:rPr>
              <w:t>Amortization of deferred compensation</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4,312</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4,312</w:t>
            </w:r>
          </w:p>
        </w:tc>
      </w:tr>
      <w:tr>
        <w:trPr>
          <w:trHeight w:val="183"/>
        </w:trPr>
        <w:tc>
          <w:tcPr>
            <w:tcW w:w="428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Amortization of loan discounts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227,977</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664,580</w:t>
            </w:r>
          </w:p>
        </w:tc>
      </w:tr>
      <w:tr>
        <w:trPr>
          <w:trHeight w:val="183"/>
        </w:trPr>
        <w:tc>
          <w:tcPr>
            <w:tcW w:w="20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Amortization</w:t>
            </w:r>
          </w:p>
        </w:tc>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of deferred financing costs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184,653</w:t>
            </w:r>
          </w:p>
        </w:tc>
      </w:tr>
      <w:tr>
        <w:trPr>
          <w:trHeight w:val="183"/>
        </w:trPr>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w w:val="95"/>
              </w:rPr>
              <w:t>Changes</w:t>
            </w:r>
          </w:p>
        </w:tc>
        <w:tc>
          <w:tcPr>
            <w:tcW w:w="580" w:type="dxa"/>
            <w:vAlign w:val="bottom"/>
          </w:tcPr>
          <w:p>
            <w:pPr>
              <w:jc w:val="center"/>
              <w:spacing w:after="0"/>
              <w:rPr>
                <w:sz w:val="20"/>
                <w:szCs w:val="20"/>
                <w:color w:val="auto"/>
              </w:rPr>
            </w:pPr>
            <w:r>
              <w:rPr>
                <w:rFonts w:ascii="Courier New" w:cs="Courier New" w:eastAsia="Courier New" w:hAnsi="Courier New"/>
                <w:sz w:val="16"/>
                <w:szCs w:val="16"/>
                <w:color w:val="auto"/>
                <w:w w:val="93"/>
              </w:rPr>
              <w:t>in</w:t>
            </w:r>
          </w:p>
        </w:tc>
        <w:tc>
          <w:tcPr>
            <w:tcW w:w="2280" w:type="dxa"/>
            <w:vAlign w:val="bottom"/>
          </w:tcPr>
          <w:p>
            <w:pPr>
              <w:spacing w:after="0"/>
              <w:rPr>
                <w:sz w:val="20"/>
                <w:szCs w:val="20"/>
                <w:color w:val="auto"/>
              </w:rPr>
            </w:pPr>
            <w:r>
              <w:rPr>
                <w:rFonts w:ascii="Courier New" w:cs="Courier New" w:eastAsia="Courier New" w:hAnsi="Courier New"/>
                <w:sz w:val="16"/>
                <w:szCs w:val="16"/>
                <w:color w:val="auto"/>
              </w:rPr>
              <w:t>operating  assets  and</w:t>
            </w:r>
          </w:p>
        </w:tc>
        <w:tc>
          <w:tcPr>
            <w:tcW w:w="4300" w:type="dxa"/>
            <w:vAlign w:val="bottom"/>
          </w:tcPr>
          <w:p>
            <w:pPr>
              <w:spacing w:after="0"/>
              <w:rPr>
                <w:sz w:val="20"/>
                <w:szCs w:val="20"/>
                <w:color w:val="auto"/>
              </w:rPr>
            </w:pPr>
            <w:r>
              <w:rPr>
                <w:rFonts w:ascii="Courier New" w:cs="Courier New" w:eastAsia="Courier New" w:hAnsi="Courier New"/>
                <w:sz w:val="16"/>
                <w:szCs w:val="16"/>
                <w:color w:val="auto"/>
              </w:rPr>
              <w:t>liabilities, net of effects of acquisitions: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Decrease (increase) in accounts receivable</w:t>
            </w: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(1,796,353)</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(322,646)</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Decrease (increase) in capitalized software development costs</w:t>
            </w: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(56,757)</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1,306,904</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Decrease (increase) in prepaid royalties</w:t>
            </w: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(596,956)</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Decrease (increase) in prepaid expenses and other current assets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69,091</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2,141,464</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Decrease (increase) in inventories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29,895</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1,836,377</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Decrease (increase) in due from related affiliate</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8,000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Increase (decrease) in accounts payable</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249,283</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(4,797,813)</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Increase (decrease) in accrued expenses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1,039,722</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785,894</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Increase (decrease) in advances-principally distributors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433,802</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(595,050)</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Increase (decrease) in due to/from related parties</w:t>
            </w: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(11,697)</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(32,727)</w:t>
            </w:r>
          </w:p>
        </w:tc>
      </w:tr>
      <w:tr>
        <w:trPr>
          <w:trHeight w:val="183"/>
        </w:trPr>
        <w:tc>
          <w:tcPr>
            <w:tcW w:w="8580" w:type="dxa"/>
            <w:vAlign w:val="bottom"/>
            <w:gridSpan w:val="4"/>
          </w:tcPr>
          <w:p>
            <w:pPr>
              <w:ind w:left="1140"/>
              <w:spacing w:after="0"/>
              <w:rPr>
                <w:sz w:val="20"/>
                <w:szCs w:val="20"/>
                <w:color w:val="auto"/>
              </w:rPr>
            </w:pPr>
            <w:r>
              <w:rPr>
                <w:rFonts w:ascii="Courier New" w:cs="Courier New" w:eastAsia="Courier New" w:hAnsi="Courier New"/>
                <w:sz w:val="16"/>
                <w:szCs w:val="16"/>
                <w:color w:val="auto"/>
              </w:rPr>
              <w:t>Increase (decrease) in other liabilities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3,716</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(87,343)</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559,514</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2,474,684</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Purchase of fixed assets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(6,257)</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(29,669)</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Proceeds from sale of equipment</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47,000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Acquisition, net cash paid</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(1,186,874)</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40,743</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(1,216,543)</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858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Costs associated with proposed initial public offering</w:t>
            </w: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(202,261)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858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Proceeds from Security Purchase Agreement - convertible notes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803,800</w:t>
            </w:r>
          </w:p>
        </w:tc>
      </w:tr>
      <w:tr>
        <w:trPr>
          <w:trHeight w:val="183"/>
        </w:trPr>
        <w:tc>
          <w:tcPr>
            <w:tcW w:w="858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Repayments of Security Purchase Agreement - convertible notes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(2,886,133)</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Proceeds from line of credit</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40,000</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1,061,839</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Repayments for line of credit</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(150,000)</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Repayments on 1996 Financing</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(20,224)</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Repayments of short-term notes payable</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(740,000)</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Proceeds from exercise of stock options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45,000</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Principal payments on note payable</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(27,320)</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(27,486)</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Loans to stockholders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(97,891)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Payment from stockholders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50,000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Repayment of capital lease obligation</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(30,113)</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Distributions to stockholders</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(53,637)</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cash used in financing activities</w:t>
            </w:r>
          </w:p>
        </w:tc>
        <w:tc>
          <w:tcPr>
            <w:tcW w:w="34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(441,109)</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(2,043,317)</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Effect of foreign exchange rates</w:t>
            </w: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(10,418)</w:t>
            </w:r>
          </w:p>
        </w:tc>
      </w:tr>
      <w:tr>
        <w:trPr>
          <w:trHeight w:val="367"/>
        </w:trPr>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increase (decrease) in cash for the period</w:t>
            </w:r>
          </w:p>
        </w:tc>
        <w:tc>
          <w:tcPr>
            <w:tcW w:w="340" w:type="dxa"/>
            <w:vAlign w:val="bottom"/>
          </w:tcPr>
          <w:p>
            <w:pPr>
              <w:spacing w:after="0"/>
              <w:rPr>
                <w:sz w:val="24"/>
                <w:szCs w:val="24"/>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159,148</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(795,594)</w:t>
            </w:r>
          </w:p>
        </w:tc>
      </w:tr>
      <w:tr>
        <w:trPr>
          <w:trHeight w:val="183"/>
        </w:trPr>
        <w:tc>
          <w:tcPr>
            <w:tcW w:w="8580" w:type="dxa"/>
            <w:vAlign w:val="bottom"/>
            <w:gridSpan w:val="4"/>
          </w:tcPr>
          <w:p>
            <w:pPr>
              <w:spacing w:after="0"/>
              <w:rPr>
                <w:sz w:val="20"/>
                <w:szCs w:val="20"/>
                <w:color w:val="auto"/>
              </w:rPr>
            </w:pPr>
            <w:r>
              <w:rPr>
                <w:rFonts w:ascii="Courier New" w:cs="Courier New" w:eastAsia="Courier New" w:hAnsi="Courier New"/>
                <w:sz w:val="16"/>
                <w:szCs w:val="16"/>
                <w:color w:val="auto"/>
              </w:rPr>
              <w:t>Cash and cash equivalents, beginning of the period</w:t>
            </w:r>
          </w:p>
        </w:tc>
        <w:tc>
          <w:tcPr>
            <w:tcW w:w="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692,362</w:t>
            </w: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1,882,915</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Cash and cash equivalents, end of the period</w:t>
            </w:r>
          </w:p>
        </w:tc>
        <w:tc>
          <w:tcPr>
            <w:tcW w:w="4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851,510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1,087,321</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917"/>
        </w:trPr>
        <w:tc>
          <w:tcPr>
            <w:tcW w:w="8580" w:type="dxa"/>
            <w:vAlign w:val="bottom"/>
            <w:gridSpan w:val="4"/>
          </w:tcPr>
          <w:p>
            <w:pPr>
              <w:spacing w:after="0"/>
              <w:rPr>
                <w:sz w:val="20"/>
                <w:szCs w:val="20"/>
                <w:color w:val="auto"/>
              </w:rPr>
            </w:pPr>
            <w:r>
              <w:rPr>
                <w:rFonts w:ascii="Courier New" w:cs="Courier New" w:eastAsia="Courier New" w:hAnsi="Courier New"/>
                <w:sz w:val="16"/>
                <w:szCs w:val="16"/>
                <w:color w:val="auto"/>
              </w:rPr>
              <w:t>The Company accrued an additional amount relating to the purchase of Mission Studios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460,000</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5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50"/>
        </w:trPr>
        <w:tc>
          <w:tcPr>
            <w:tcW w:w="8580" w:type="dxa"/>
            <w:vAlign w:val="bottom"/>
            <w:gridSpan w:val="4"/>
          </w:tcPr>
          <w:p>
            <w:pPr>
              <w:spacing w:after="0"/>
              <w:rPr>
                <w:sz w:val="20"/>
                <w:szCs w:val="20"/>
                <w:color w:val="auto"/>
              </w:rPr>
            </w:pPr>
            <w:r>
              <w:rPr>
                <w:rFonts w:ascii="Courier New" w:cs="Courier New" w:eastAsia="Courier New" w:hAnsi="Courier New"/>
                <w:sz w:val="16"/>
                <w:szCs w:val="16"/>
                <w:color w:val="auto"/>
              </w:rPr>
              <w:t>Supplemental information on business acquired:</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Fair value of assets acquired</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$ 12,181,948</w:t>
            </w:r>
          </w:p>
        </w:tc>
      </w:tr>
      <w:tr>
        <w:trPr>
          <w:trHeight w:val="183"/>
        </w:trPr>
        <w:tc>
          <w:tcPr>
            <w:tcW w:w="4280" w:type="dxa"/>
            <w:vAlign w:val="bottom"/>
            <w:gridSpan w:val="3"/>
          </w:tcPr>
          <w:p>
            <w:pPr>
              <w:ind w:left="760"/>
              <w:spacing w:after="0"/>
              <w:rPr>
                <w:sz w:val="20"/>
                <w:szCs w:val="20"/>
                <w:color w:val="auto"/>
              </w:rPr>
            </w:pPr>
            <w:r>
              <w:rPr>
                <w:rFonts w:ascii="Courier New" w:cs="Courier New" w:eastAsia="Courier New" w:hAnsi="Courier New"/>
                <w:sz w:val="16"/>
                <w:szCs w:val="16"/>
                <w:color w:val="auto"/>
              </w:rPr>
              <w:t>Less, liabilities assumed</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(8,812,948)</w:t>
            </w:r>
          </w:p>
        </w:tc>
      </w:tr>
      <w:tr>
        <w:trPr>
          <w:trHeight w:val="183"/>
        </w:trPr>
        <w:tc>
          <w:tcPr>
            <w:tcW w:w="4280" w:type="dxa"/>
            <w:vAlign w:val="bottom"/>
            <w:gridSpan w:val="3"/>
          </w:tcPr>
          <w:p>
            <w:pPr>
              <w:ind w:left="1140"/>
              <w:spacing w:after="0"/>
              <w:rPr>
                <w:sz w:val="20"/>
                <w:szCs w:val="20"/>
                <w:color w:val="auto"/>
              </w:rPr>
            </w:pPr>
            <w:r>
              <w:rPr>
                <w:rFonts w:ascii="Courier New" w:cs="Courier New" w:eastAsia="Courier New" w:hAnsi="Courier New"/>
                <w:sz w:val="16"/>
                <w:szCs w:val="16"/>
                <w:color w:val="auto"/>
              </w:rPr>
              <w:t>Stock issued</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(1,612,500)</w:t>
            </w:r>
          </w:p>
        </w:tc>
      </w:tr>
      <w:tr>
        <w:trPr>
          <w:trHeight w:val="183"/>
        </w:trPr>
        <w:tc>
          <w:tcPr>
            <w:tcW w:w="4280" w:type="dxa"/>
            <w:vAlign w:val="bottom"/>
            <w:gridSpan w:val="3"/>
          </w:tcPr>
          <w:p>
            <w:pPr>
              <w:ind w:left="1140"/>
              <w:spacing w:after="0"/>
              <w:rPr>
                <w:sz w:val="20"/>
                <w:szCs w:val="20"/>
                <w:color w:val="auto"/>
              </w:rPr>
            </w:pPr>
            <w:r>
              <w:rPr>
                <w:rFonts w:ascii="Courier New" w:cs="Courier New" w:eastAsia="Courier New" w:hAnsi="Courier New"/>
                <w:sz w:val="16"/>
                <w:szCs w:val="16"/>
                <w:color w:val="auto"/>
              </w:rPr>
              <w:t>Options issued</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(256,500)</w:t>
            </w:r>
          </w:p>
        </w:tc>
      </w:tr>
      <w:tr>
        <w:trPr>
          <w:trHeight w:val="183"/>
        </w:trPr>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Cash paid</w:t>
            </w: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1,500,000</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Less, cash acquired</w:t>
            </w: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(313,126)</w:t>
            </w:r>
          </w:p>
        </w:tc>
      </w:tr>
    </w:tbl>
    <w:p>
      <w:pPr>
        <w:sectPr>
          <w:pgSz w:w="11900" w:h="16838" w:orient="portrait"/>
          <w:cols w:equalWidth="0" w:num="1">
            <w:col w:w="11520"/>
          </w:cols>
          <w:pgMar w:left="240" w:top="665" w:right="139" w:bottom="0" w:gutter="0" w:footer="0" w:header="0"/>
        </w:sectPr>
      </w:pPr>
    </w:p>
    <w:bookmarkStart w:id="4" w:name="page5"/>
    <w:bookmarkEnd w:id="4"/>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paid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1,186,874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9580" w:space="720"/>
            <w:col w:w="1140"/>
          </w:cols>
          <w:pgMar w:left="240" w:top="142" w:right="21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tabs>
          <w:tab w:leader="none" w:pos="460" w:val="left"/>
          <w:tab w:leader="none" w:pos="1780" w:val="left"/>
        </w:tabs>
        <w:rPr>
          <w:sz w:val="20"/>
          <w:szCs w:val="20"/>
          <w:color w:val="auto"/>
        </w:rPr>
      </w:pPr>
      <w:r>
        <w:rPr>
          <w:rFonts w:ascii="Courier New" w:cs="Courier New" w:eastAsia="Courier New" w:hAnsi="Courier New"/>
          <w:sz w:val="16"/>
          <w:szCs w:val="16"/>
          <w:color w:val="auto"/>
        </w:rPr>
        <w:t>The</w:t>
        <w:tab/>
        <w:t>accompanying</w:t>
        <w:tab/>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are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integral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part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condensed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w:t>
      </w:r>
    </w:p>
    <w:p>
      <w:pPr>
        <w:spacing w:after="0" w:line="13" w:lineRule="exact"/>
        <w:rPr>
          <w:sz w:val="20"/>
          <w:szCs w:val="20"/>
          <w:color w:val="auto"/>
        </w:rPr>
      </w:pPr>
    </w:p>
    <w:p>
      <w:pPr>
        <w:sectPr>
          <w:pgSz w:w="11900" w:h="16838" w:orient="portrait"/>
          <w:cols w:equalWidth="0" w:num="6">
            <w:col w:w="2280" w:space="200"/>
            <w:col w:w="560" w:space="200"/>
            <w:col w:w="760" w:space="200"/>
            <w:col w:w="1040" w:space="200"/>
            <w:col w:w="860" w:space="180"/>
            <w:col w:w="4960"/>
          </w:cols>
          <w:pgMar w:left="240" w:top="142"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1440"/>
          </w:cols>
          <w:pgMar w:left="240" w:top="142" w:right="219" w:bottom="1440" w:gutter="0" w:footer="0" w:header="0"/>
          <w:type w:val="continuous"/>
        </w:sectPr>
      </w:pPr>
    </w:p>
    <w:bookmarkStart w:id="5" w:name="page6"/>
    <w:bookmarkEnd w:id="5"/>
    <w:p>
      <w:pPr>
        <w:ind w:left="1342"/>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(Information at January 31, 1998 and for the three month periods ended</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January 31, 1997 and 1998 is unaudited)</w:t>
      </w:r>
    </w:p>
    <w:p>
      <w:pPr>
        <w:spacing w:after="0" w:line="186" w:lineRule="exact"/>
        <w:rPr>
          <w:sz w:val="20"/>
          <w:szCs w:val="20"/>
          <w:color w:val="auto"/>
        </w:rPr>
      </w:pPr>
    </w:p>
    <w:p>
      <w:pPr>
        <w:ind w:left="382" w:hanging="382"/>
        <w:spacing w:after="0"/>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8" w:lineRule="exact"/>
        <w:rPr>
          <w:sz w:val="20"/>
          <w:szCs w:val="20"/>
          <w:color w:val="auto"/>
        </w:rPr>
      </w:pPr>
    </w:p>
    <w:p>
      <w:pPr>
        <w:jc w:val="both"/>
        <w:ind w:left="2" w:right="2599"/>
        <w:spacing w:after="0" w:line="242" w:lineRule="auto"/>
        <w:rPr>
          <w:sz w:val="20"/>
          <w:szCs w:val="20"/>
          <w:color w:val="auto"/>
        </w:rPr>
      </w:pPr>
      <w:r>
        <w:rPr>
          <w:rFonts w:ascii="Courier New" w:cs="Courier New" w:eastAsia="Courier New" w:hAnsi="Courier New"/>
          <w:sz w:val="16"/>
          <w:szCs w:val="16"/>
          <w:color w:val="auto"/>
        </w:rPr>
        <w:t>Take-Two Interactive Software, Inc. (the "Company") was incorporated in the State of Delaware on September 30, 1993. Take-Two and its wholly owned subsidiaries, Mission Studios Corporation ("Mission"), Take-Two Interactive Software Europe Limited ("TTE"), Alternative Reality Technologies ("ART"), Inventory Management Systems, Inc.("IMSI"), Alliance Inventory Management ("AIM") and Creative Alliance Group Inc. ("CAG") design, develop, publish, market and distribute interactive software games for use on multimedia personal computer and video game console platforms. The Company's interactive software games are sold primarily in the United States, Europe and Asia.</w:t>
      </w:r>
    </w:p>
    <w:p>
      <w:pPr>
        <w:spacing w:after="0" w:line="189" w:lineRule="exact"/>
        <w:rPr>
          <w:sz w:val="20"/>
          <w:szCs w:val="20"/>
          <w:color w:val="auto"/>
        </w:rPr>
      </w:pPr>
    </w:p>
    <w:p>
      <w:pPr>
        <w:ind w:left="2" w:right="5159" w:hanging="2"/>
        <w:spacing w:after="0" w:line="481" w:lineRule="auto"/>
        <w:tabs>
          <w:tab w:leader="none" w:pos="3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 and Transactions: Basis of Presentation in Accordance</w:t>
      </w:r>
    </w:p>
    <w:p>
      <w:pPr>
        <w:spacing w:after="0" w:line="7" w:lineRule="exact"/>
        <w:rPr>
          <w:sz w:val="20"/>
          <w:szCs w:val="20"/>
          <w:color w:val="auto"/>
        </w:rPr>
      </w:pPr>
    </w:p>
    <w:p>
      <w:pPr>
        <w:jc w:val="both"/>
        <w:ind w:left="2" w:right="2599"/>
        <w:spacing w:after="0" w:line="262" w:lineRule="auto"/>
        <w:rPr>
          <w:sz w:val="20"/>
          <w:szCs w:val="20"/>
          <w:color w:val="auto"/>
        </w:rPr>
      </w:pPr>
      <w:r>
        <w:rPr>
          <w:rFonts w:ascii="Courier New" w:cs="Courier New" w:eastAsia="Courier New" w:hAnsi="Courier New"/>
          <w:sz w:val="15"/>
          <w:szCs w:val="15"/>
          <w:color w:val="auto"/>
        </w:rPr>
        <w:t>The accompanying unaudited financial statements have been prepared in accordance with generally accepted accounting principles for interim financial information with the instructions to Form 10-QSB and Item 310 of Regulation S-B. Accordingly, they do not include all of the information and footnotes required by generally accepted accounting principles for complete financial statements.</w:t>
      </w:r>
    </w:p>
    <w:p>
      <w:pPr>
        <w:spacing w:after="0" w:line="173" w:lineRule="exact"/>
        <w:rPr>
          <w:sz w:val="20"/>
          <w:szCs w:val="20"/>
          <w:color w:val="auto"/>
        </w:rPr>
      </w:pPr>
    </w:p>
    <w:p>
      <w:pPr>
        <w:jc w:val="both"/>
        <w:ind w:left="2" w:right="2599"/>
        <w:spacing w:after="0" w:line="242" w:lineRule="auto"/>
        <w:rPr>
          <w:sz w:val="20"/>
          <w:szCs w:val="20"/>
          <w:color w:val="auto"/>
        </w:rPr>
      </w:pPr>
      <w:r>
        <w:rPr>
          <w:rFonts w:ascii="Courier New" w:cs="Courier New" w:eastAsia="Courier New" w:hAnsi="Courier New"/>
          <w:sz w:val="16"/>
          <w:szCs w:val="16"/>
          <w:color w:val="auto"/>
        </w:rPr>
        <w:t>In the opinion of management, all adjustments, consisting only of normal recurring entries necessary for a fair presentation have been included. Operating results for the three month period ended January 31, 1998 are not necessarily indicative of the results that may be expected for the year ended October 31, 1998. For further information, refer to the consolidated financial statements and footnotes included in the Company's Annual Report on Form 10-KSB for the year ended October 31, 1997.</w:t>
      </w:r>
    </w:p>
    <w:p>
      <w:pPr>
        <w:spacing w:after="0" w:line="188" w:lineRule="exact"/>
        <w:rPr>
          <w:sz w:val="20"/>
          <w:szCs w:val="20"/>
          <w:color w:val="auto"/>
        </w:rPr>
      </w:pPr>
    </w:p>
    <w:p>
      <w:pPr>
        <w:jc w:val="both"/>
        <w:ind w:left="2" w:right="2599"/>
        <w:spacing w:after="0" w:line="242" w:lineRule="auto"/>
        <w:rPr>
          <w:sz w:val="20"/>
          <w:szCs w:val="20"/>
          <w:color w:val="auto"/>
        </w:rPr>
      </w:pPr>
      <w:r>
        <w:rPr>
          <w:rFonts w:ascii="Courier New" w:cs="Courier New" w:eastAsia="Courier New" w:hAnsi="Courier New"/>
          <w:sz w:val="16"/>
          <w:szCs w:val="16"/>
          <w:color w:val="auto"/>
        </w:rPr>
        <w:t>On July 31, 1997, the Company acquired all the outstanding stock of IMSI and CAG. IMSI and CAG are engaged in the wholesale distribution of interactive software games. To effect the acquisition, all of the outstanding shares of common stock of each of IMSI and CAG were exchanged for 900,000 shares of restricted common stock of the Company. The acquisition has been accounted for as a pooling of interests in accordance with APB No. 16 and accordingly, the accompanying financial statements have been restated to include the results of operations and financial position of IMSI and CAG for all periods presented prior to the business combination.</w:t>
      </w:r>
    </w:p>
    <w:p>
      <w:pPr>
        <w:sectPr>
          <w:pgSz w:w="11900" w:h="16838" w:orient="portrait"/>
          <w:cols w:equalWidth="0" w:num="1">
            <w:col w:w="10221"/>
          </w:cols>
          <w:pgMar w:left="238" w:top="66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Risk and Uncertainties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most significant estimates and assumptions relate to the recoverability of capitalized software development costs, goodwill, allowances for returns and income taxes. Actual amounts could differ from those estimates.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Prepaid Royalties</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Prepaid royalties were written down $50,000 in the first quarter of 1998 to net realizable value. Royalty expense for the three months ended January 31, 1998 amounted to $1,777,086 relating primarily to the release of Wheel of Fortune and the Monty Python series.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Prepaid Expenses and Other Current Assets</w:t>
      </w:r>
    </w:p>
    <w:p>
      <w:pPr>
        <w:spacing w:after="0" w:line="188"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Prepaid expenses and other current assets consist primarily of inventory advances made to a vendor for the costs of manufacturing a Nintendo 64 game title that will be released in the second quarter of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Capitalized Software Development Costs (Including Film Production Costs)</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Capitalized software costs were written down by $272,834 for the three months ended January 31, 1998 to net realizable value. Amortization of capitalized software costs amounted to $1,373,107 for the three months ended January 31,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(Loss) per Share</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Company has adopted SFAS No. 128 "Earnings Per Share" effective November 1, 1997. As required by SFAS No. 128, the Company has provided a reconciliation of basic earnings per share to dilutive earnings per share within the table outlined below. This statement also eliminates the presentation of primary EPS and requires the presentation of basic EPS (the principal difference being that common stock equivalents are not considered in the computation of basic EPS). It also requires the presentation of diluted EPS which gives effect to all dilutive potential common shares that were outstanding during the period.</w:t>
      </w:r>
    </w:p>
    <w:p>
      <w:pPr>
        <w:spacing w:after="0" w:line="189"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inclusion of the potential effect of the conversion of dilutive securities that resulted from the issuance of $4,200,000 principal amount of convertible promissory notes ("the Convertible Notes") in October 1997 were included in the Company's computation of diluted earnings per share because the options exercise prices were lower than the average market price of the common shares.</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For periods prior to the initial public offering, pursuant to Securities and Exchange Commission Staff Accounting Bulletin No. 83, equity securities, including options and warrants, issued at prices below the public offering price of $5.00 during the 12-month period prior to the offering have been included in the calculation as if they were outstanding for all periods presented, including years that have losses where the impact of the incremental shares is anti-dilutive.</w:t>
      </w:r>
    </w:p>
    <w:p>
      <w:pPr>
        <w:sectPr>
          <w:pgSz w:w="11900" w:h="16838" w:orient="portrait"/>
          <w:cols w:equalWidth="0" w:num="1">
            <w:col w:w="10219"/>
          </w:cols>
          <w:pgMar w:left="240" w:top="84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4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Per Share</w:t>
            </w:r>
          </w:p>
        </w:tc>
      </w:tr>
      <w:tr>
        <w:trPr>
          <w:trHeight w:val="183"/>
        </w:trPr>
        <w:tc>
          <w:tcPr>
            <w:tcW w:w="4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Income</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Shares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Amount</w:t>
            </w:r>
          </w:p>
        </w:tc>
      </w:tr>
      <w:tr>
        <w:trPr>
          <w:trHeight w:val="183"/>
        </w:trPr>
        <w:tc>
          <w:tcPr>
            <w:tcW w:w="4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20"/>
                <w:szCs w:val="20"/>
                <w:color w:val="auto"/>
              </w:rPr>
            </w:pPr>
            <w:r>
              <w:rPr>
                <w:rFonts w:ascii="Courier New" w:cs="Courier New" w:eastAsia="Courier New" w:hAnsi="Courier New"/>
                <w:sz w:val="16"/>
                <w:szCs w:val="16"/>
                <w:color w:val="auto"/>
              </w:rPr>
              <w:t>Net income attributable to common</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100" w:type="dxa"/>
            <w:vAlign w:val="bottom"/>
          </w:tcPr>
          <w:p>
            <w:pPr>
              <w:ind w:left="480"/>
              <w:spacing w:after="0"/>
              <w:rPr>
                <w:sz w:val="20"/>
                <w:szCs w:val="20"/>
                <w:color w:val="auto"/>
              </w:rPr>
            </w:pPr>
            <w:r>
              <w:rPr>
                <w:rFonts w:ascii="Courier New" w:cs="Courier New" w:eastAsia="Courier New" w:hAnsi="Courier New"/>
                <w:sz w:val="16"/>
                <w:szCs w:val="16"/>
                <w:color w:val="auto"/>
              </w:rPr>
              <w:t>stockholders' - Basic</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$1,240,989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9,475,043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rPr>
              <w:t>Plus: Impact from assumed conversion</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100" w:type="dxa"/>
            <w:vAlign w:val="bottom"/>
          </w:tcPr>
          <w:p>
            <w:pPr>
              <w:ind w:left="480"/>
              <w:spacing w:after="0"/>
              <w:rPr>
                <w:sz w:val="20"/>
                <w:szCs w:val="20"/>
                <w:color w:val="auto"/>
              </w:rPr>
            </w:pPr>
            <w:r>
              <w:rPr>
                <w:rFonts w:ascii="Courier New" w:cs="Courier New" w:eastAsia="Courier New" w:hAnsi="Courier New"/>
                <w:sz w:val="16"/>
                <w:szCs w:val="16"/>
                <w:color w:val="auto"/>
              </w:rPr>
              <w:t>on 10% convertible notes</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   96,330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65,338</w:t>
            </w:r>
          </w:p>
        </w:tc>
        <w:tc>
          <w:tcPr>
            <w:tcW w:w="860" w:type="dxa"/>
            <w:vAlign w:val="bottom"/>
          </w:tcPr>
          <w:p>
            <w:pPr>
              <w:spacing w:after="0"/>
              <w:rPr>
                <w:sz w:val="15"/>
                <w:szCs w:val="15"/>
                <w:color w:val="auto"/>
              </w:rPr>
            </w:pPr>
          </w:p>
        </w:tc>
      </w:tr>
      <w:tr>
        <w:trPr>
          <w:trHeight w:val="550"/>
        </w:trPr>
        <w:tc>
          <w:tcPr>
            <w:tcW w:w="4100" w:type="dxa"/>
            <w:vAlign w:val="bottom"/>
          </w:tcPr>
          <w:p>
            <w:pPr>
              <w:spacing w:after="0"/>
              <w:rPr>
                <w:sz w:val="20"/>
                <w:szCs w:val="20"/>
                <w:color w:val="auto"/>
              </w:rPr>
            </w:pPr>
            <w:r>
              <w:rPr>
                <w:rFonts w:ascii="Courier New" w:cs="Courier New" w:eastAsia="Courier New" w:hAnsi="Courier New"/>
                <w:sz w:val="16"/>
                <w:szCs w:val="16"/>
                <w:color w:val="auto"/>
              </w:rPr>
              <w:t>Options and warrants</w:t>
            </w:r>
          </w:p>
        </w:tc>
        <w:tc>
          <w:tcPr>
            <w:tcW w:w="1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1,548,794</w:t>
            </w:r>
          </w:p>
        </w:tc>
        <w:tc>
          <w:tcPr>
            <w:tcW w:w="860" w:type="dxa"/>
            <w:vAlign w:val="bottom"/>
          </w:tcPr>
          <w:p>
            <w:pPr>
              <w:spacing w:after="0"/>
              <w:rPr>
                <w:sz w:val="24"/>
                <w:szCs w:val="24"/>
                <w:color w:val="auto"/>
              </w:rPr>
            </w:pPr>
          </w:p>
        </w:tc>
      </w:tr>
      <w:tr>
        <w:trPr>
          <w:trHeight w:val="183"/>
        </w:trPr>
        <w:tc>
          <w:tcPr>
            <w:tcW w:w="4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rPr>
              <w:t>Net income attributable to common</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100" w:type="dxa"/>
            <w:vAlign w:val="bottom"/>
          </w:tcPr>
          <w:p>
            <w:pPr>
              <w:ind w:left="480"/>
              <w:spacing w:after="0"/>
              <w:rPr>
                <w:sz w:val="20"/>
                <w:szCs w:val="20"/>
                <w:color w:val="auto"/>
              </w:rPr>
            </w:pPr>
            <w:r>
              <w:rPr>
                <w:rFonts w:ascii="Courier New" w:cs="Courier New" w:eastAsia="Courier New" w:hAnsi="Courier New"/>
                <w:sz w:val="16"/>
                <w:szCs w:val="16"/>
                <w:color w:val="auto"/>
              </w:rPr>
              <w:t>stockholders' - Diluted</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$1,337,319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11,089,175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3"/>
        </w:trPr>
        <w:tc>
          <w:tcPr>
            <w:tcW w:w="4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rPr>
              <w:t>Recently Issued Accounting Pronouncements</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In February 1997, FASB issued SFAS No. 129, "Disclosure of Information About Capital Structure". Under SFAS No. 129, an entity shall explain, in summary form within the financial statements, the pertinent rights and privileges of the various securities outstanding. This standard is effective for financial statement periods ending after December 15, 1997.</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Business Acquisitions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On December 22, 1997, the Company acquired all the outstanding stock of L&amp;J Marketing Inc. d/b/a Alliance Distributors ("Alliance"). Alliance is engaged in the wholesale distribution of interactive software games and videos. Alliance was merged into Alliance Inventory Management, Inc. ("AIM"), a newly formed wholly-owned subsidiary of IMSI. The total cost of the acquisition was $3,369,000, consisting of a cash payment of $1,500,000, issuance of 500,000 shares of restricted common stock valued at $1,612,500 and issuance of 76,000 options valued at $256,500. A Form 8-K has been filed on December 24, 1997 with the Securities and Exchange Commission in connection with the acquisition. The allocation of the cost of the acquisition, financial statements of Alliance, and unaudited pro forma information will be filed by amendment within 60 days of the date the Form 8-K was filed.</w:t>
      </w:r>
    </w:p>
    <w:p>
      <w:pPr>
        <w:spacing w:after="0" w:line="191"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The acquisition described above has been accounted for as a purchase transaction in accordance with APB No. 16 and accordingly, the results of operations and financial position of the acquisition is included in the Company's consolidated financial statements from the date of acquisition.</w:t>
      </w:r>
    </w:p>
    <w:p>
      <w:pPr>
        <w:sectPr>
          <w:pgSz w:w="11900" w:h="16838" w:orient="portrait"/>
          <w:cols w:equalWidth="0" w:num="1">
            <w:col w:w="10219"/>
          </w:cols>
          <w:pgMar w:left="240" w:top="84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Item 2.</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8" w:lineRule="exact"/>
        <w:rPr>
          <w:sz w:val="20"/>
          <w:szCs w:val="20"/>
          <w:color w:val="auto"/>
        </w:rPr>
      </w:pPr>
    </w:p>
    <w:p>
      <w:pPr>
        <w:jc w:val="both"/>
        <w:ind w:right="2599" w:firstLine="858"/>
        <w:spacing w:after="0" w:line="260"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The statements contained herein which are not historical facts are forward looking statements that involve risks and uncertainties, including but not limited to, risks associated with the Company's future growth and operating results, the ability of the Company to successfully integrate the businesses and personnel of newly acquired entities into its operations, the shift in business focus from software development to publishing and distribution, changes in consumer preferences and demographics, technological change, inventory obsolescence, competitive factors and unfavorable general economic conditions. Actual results may vary significantly from such forward looking statements.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Three Months Ended January 31, 1997 Compared to Three Months Ended January 31, 1998</w:t>
      </w:r>
    </w:p>
    <w:p>
      <w:pPr>
        <w:spacing w:after="0" w:line="189"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Net sales increased by $15,936,387, or 259.9%, from $6,132,050 for the three months ended January 31, 1997 to $22,068,437 for the three months ended January 31, 1998. This growth in net sales was primarily due to the distribution of Wheel of Fortune for the Nintendo 64 platform and the TTE and AIM acquisitions.</w:t>
      </w:r>
    </w:p>
    <w:p>
      <w:pPr>
        <w:spacing w:after="0" w:line="189" w:lineRule="exact"/>
        <w:rPr>
          <w:sz w:val="20"/>
          <w:szCs w:val="20"/>
          <w:color w:val="auto"/>
        </w:rPr>
      </w:pPr>
    </w:p>
    <w:p>
      <w:pPr>
        <w:jc w:val="both"/>
        <w:ind w:right="2599"/>
        <w:spacing w:after="0" w:line="260" w:lineRule="auto"/>
        <w:rPr>
          <w:sz w:val="20"/>
          <w:szCs w:val="20"/>
          <w:color w:val="auto"/>
        </w:rPr>
      </w:pPr>
      <w:r>
        <w:rPr>
          <w:rFonts w:ascii="Courier New" w:cs="Courier New" w:eastAsia="Courier New" w:hAnsi="Courier New"/>
          <w:sz w:val="15"/>
          <w:szCs w:val="15"/>
          <w:color w:val="auto"/>
        </w:rPr>
        <w:t>Cost of sales increased by $12,005,670, or 403.4%, from $2,975,966 for the three months ended January 31, 1997 to $14,981,636 for the three months ended January 31, 1998. Cost of sales as a percentage of net sales increased to 67.9% for the three months ended January 31, 1998 from 48.5% for the three months ended January 31, 1997. The increase in both absolute dollars and as a percentage of net sales is primarily attributable to the higher unit cost of manufacturing Nintendo 64 products such as Wheel of Fortune, AIM's lower margin distribution operations and the write-off of $322,834 of capitalized software costs and prepaid royalties in excess of their net realizable value. In future periods, cost of sales may be adversely affected by manufacturing and other costs, price competition and by changes in the mix of products and distribution channels. Nintendo 64 products which are cartridge based have a much higher cost and typically achieve lower gross margin than the Company's PC CD-ROM products.</w:t>
      </w:r>
    </w:p>
    <w:p>
      <w:pPr>
        <w:spacing w:after="0" w:line="175"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Research and development costs increased by $166,677, or 58.0%, from $287,571 for the three months ended January 31, 1997 to $454,248 for the three months ended January 31, 1998. This increase is primarily attributable to the acquisition of ART, a software developer, in July 1997. Research and development costs as a percentage of net sales decreased to 2.1% for the three months ended January 31, 1998 from 4.7% for the three months ended January 31, 1997. This decrease is attributable to the increase in net sales.</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Selling and marketing expenses increased by $758,110, or 48.3%, from $1,569,969 for the three months ended January 31, 1997 to $2,328,079 for the three months ended January 31, 1998. The increase was primarily attributable to the acquisition of TTE's and AIM's distribution operations, which accounted for $415,363 of the increase and sales commissions and market development expenses incurred in</w:t>
      </w:r>
    </w:p>
    <w:p>
      <w:pPr>
        <w:sectPr>
          <w:pgSz w:w="11900" w:h="16838" w:orient="portrait"/>
          <w:cols w:equalWidth="0" w:num="1">
            <w:col w:w="10219"/>
          </w:cols>
          <w:pgMar w:left="240" w:top="848" w:right="1440" w:bottom="1440" w:gutter="0" w:footer="0" w:header="0"/>
        </w:sectPr>
      </w:pPr>
    </w:p>
    <w:bookmarkStart w:id="9" w:name="page10"/>
    <w:bookmarkEnd w:id="9"/>
    <w:p>
      <w:pPr>
        <w:jc w:val="both"/>
        <w:ind w:right="2599"/>
        <w:spacing w:after="0" w:line="242" w:lineRule="auto"/>
        <w:rPr>
          <w:sz w:val="20"/>
          <w:szCs w:val="20"/>
          <w:color w:val="auto"/>
        </w:rPr>
      </w:pPr>
      <w:r>
        <w:rPr>
          <w:rFonts w:ascii="Courier New" w:cs="Courier New" w:eastAsia="Courier New" w:hAnsi="Courier New"/>
          <w:sz w:val="16"/>
          <w:szCs w:val="16"/>
          <w:color w:val="auto"/>
        </w:rPr>
        <w:t>connection with the distribution of Wheel of Fortune and the Monty Python series. Selling and marketing expenses as a percentage of net sales decreased to 10.5% for the three months ended January 31, 1998 from 25.6% for the three months ended January 31, 1997. This decrease is attributable to the increase in net sales. The Company anticipates that future selling and marketing expenses will increase as a result of the newly acquired operations of TTE and AIM, as well as increased marketing expenses associated with future Nintendo 64 products.</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General and administrative expenses increased by $983,595, or 172.4%, from $570,643 for the three months ended January 31, 1997 to $1,554,238 for the three months ended January 31, 1998. This increase is primarily attributable to salaries, rent, insurance premiums and professional fees associated with the Company's expanded operations. Also, general and administrative expenses for the three months ended January 31, 1998 included $184,653 of deferred financing costs in connection with the Convertible Notes. General and administrative expenses as a percentage of net sales decreased to 7.0% for the three months ended January 31, 1998 from 9.3% for the three months ended January 31, 1997. This decrease is attributable to the increase in net sales.</w:t>
      </w:r>
    </w:p>
    <w:p>
      <w:pPr>
        <w:spacing w:after="0" w:line="190"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Depreciation and amortization expense increased by $181,176, or 116.2%, from $155,959 for the three months ended January 31, 1997 to $337,135 for the three months ended January 31, 1998. Amortization of intangible assets that resulted from the TTE and AIM acquisitions accounted for $118,657 of this increase.</w:t>
      </w:r>
    </w:p>
    <w:p>
      <w:pPr>
        <w:spacing w:after="0" w:line="189"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Interest expense increased by $846,342, or 297.2%, from $284,787 for the three months ended January 31, 1997 to $1,131,129 for the three months ended January 31, 1998. The increase resulted primarily from the issuance of the Convertible Notes.</w:t>
      </w:r>
    </w:p>
    <w:p>
      <w:pPr>
        <w:spacing w:after="0" w:line="189"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Income taxes increased by $25,992, or 173.4%, from $14,991 for the three months ended January 31, 1997 to $40,983 for the three months ended January 31, 1998. The increase resulted primarily from the accrual of state income taxes.</w:t>
      </w:r>
    </w:p>
    <w:p>
      <w:pPr>
        <w:spacing w:after="0" w:line="190"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As a result of the foregoing, the Company achieved net income of $1,240,989 for the three months ended January 31, 1998, as compared to net income of $272,164 for the three months ended January 31, 1997.</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The Company's primary capital requirements have been and will continue to be to fund the acquisition, development, manufacture and commercialization of its software products. The Company has historically financed its operations through advances made by distributors, the issuance of debt and equity securities and bank borrowings. At January 31, 1998, the Company had working capital of $958,299 as compared to a working capital deficit of $911,105 at January 31, 1997.</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Net cash provided by operating activities for the three months ended January 31, 1998 was $2,474,684 as compared to $559,514 for the three months ended January 31, 1997. The increase was primarily attributable to an increase in the profitability after adjustments for non-cash items. Net cash used in investing activities for the three months ended January 3l, 1998 was $1,216,543 as compared to net cash</w:t>
      </w:r>
    </w:p>
    <w:p>
      <w:pPr>
        <w:sectPr>
          <w:pgSz w:w="11900" w:h="16838" w:orient="portrait"/>
          <w:cols w:equalWidth="0" w:num="1">
            <w:col w:w="10219"/>
          </w:cols>
          <w:pgMar w:left="240" w:top="667" w:right="1440" w:bottom="1440" w:gutter="0" w:footer="0" w:header="0"/>
        </w:sectPr>
      </w:pPr>
    </w:p>
    <w:bookmarkStart w:id="10" w:name="page11"/>
    <w:bookmarkEnd w:id="10"/>
    <w:p>
      <w:pPr>
        <w:jc w:val="both"/>
        <w:ind w:right="2599"/>
        <w:spacing w:after="0" w:line="261" w:lineRule="auto"/>
        <w:rPr>
          <w:sz w:val="20"/>
          <w:szCs w:val="20"/>
          <w:color w:val="auto"/>
        </w:rPr>
      </w:pPr>
      <w:r>
        <w:rPr>
          <w:rFonts w:ascii="Courier New" w:cs="Courier New" w:eastAsia="Courier New" w:hAnsi="Courier New"/>
          <w:sz w:val="15"/>
          <w:szCs w:val="15"/>
          <w:color w:val="auto"/>
        </w:rPr>
        <w:t>provided by investing activities of $40,743 for the three months ended January 31, 1997. The increase in net cash used in investing was primarily attributable to the AIM acquisition. Net cash used in financing activities for the three months ended January 31, 1998 was $2,043,317 as compared to $441,109 for the three months ended January 31, 1997. The increase was primarily the result of the repayment of a portion of the Convertible Notes and other bank indebtedness. At January 31, 1998, the Company had cash and cash equivalent of $1,087,321.</w:t>
      </w:r>
    </w:p>
    <w:p>
      <w:pPr>
        <w:spacing w:after="0" w:line="174"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In September 1996, the Company consummated a private placement pursuant to which it issued (i) $2,088,539 principal amount of the 1996 Notes and (ii) five year warrants to purchase 417,234 shares of Common Stock at an exercise price of $.01 per share. Of such indebtedness, $523,320 principal amount of the 1996 Notes bears interest at an annual rate of 2% above the prime rate established from time to time by Chase Manhattan Bank N.A. and was payable on June 30, 1997. As of January 31, 1998, $129,524 principal amount of such indebtedness was outstanding.</w:t>
      </w:r>
    </w:p>
    <w:p>
      <w:pPr>
        <w:spacing w:after="0" w:line="189"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In December 1995, the Company entered into a loan agreement with Citibank, N.A. ("Citibank") which provides for borrowings under a revolving line of credit of up to $250,000. Interest accrues on advances at 9.5% per annum and is payable monthly. The line of credit is repayable in twenty four equal monthly installments in the event Citibank terminates the Company's right to obtain future loans. At January 31, 1998, $246,997 was outstanding under the line of credit. Substantially all of the Company's assets are pledged to Citibank as collateral and the repayment of advances is personally guaranteed by Ryan A. Brant, Chief Executive Officer of the Company.</w:t>
      </w:r>
    </w:p>
    <w:p>
      <w:pPr>
        <w:spacing w:after="0" w:line="189"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the Mission acquisition, in September 1996, the Company issued a promissory note in the principal amount of $337,750 bearing interest at the rate of 6% per annum, payable in equal monthly installments of $10,224 through September 1999. The Company also issued a promissory note in the principal amount of $330,000, of which $130,000 has been paid to date. Repayment of the remaining $200,000 is contingent upon the inclusion of a specific software engine in shipments of JetFighter IV. The Company has pledged the Mission stock as collateral for the repayment of such notes.</w:t>
      </w:r>
    </w:p>
    <w:p>
      <w:pPr>
        <w:spacing w:after="0" w:line="189"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In connection with the purchase of TTE, ART and certain software games, the Company issued an unsecured promissory note to GameTek FL's secured creditor in the amount of $500,000 payable in two equal annual installments of $250,000 on July 28, 1998 and July 29, 1999, bearing interest at a rate of 8% per annum, payable quarterly.</w:t>
      </w:r>
    </w:p>
    <w:p>
      <w:pPr>
        <w:spacing w:after="0" w:line="190"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In December 1996, TTE entered into a line of credit agreement (as amended in September 1997) with Barclay's Bank which provides for borrowings of up to approximately 400,000 pounds sterling ($670,000). Advances under the line of credit bear interest at the rate of 2% over Barclay's base rate per annum (9.0% as of January 31, 1998), payable quarterly. Borrowings are collateralized by TTE's receivables which must at all times be at least twice the amount outstanding on the line of credit and are guaranteed by the Company. The line of credit is cancellable and repayable upon demand. The available credit under this facility is approximately $34,000 at January 31, 1998.</w:t>
      </w:r>
    </w:p>
    <w:p>
      <w:pPr>
        <w:spacing w:after="0" w:line="189"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Pursuant to a Securities Purchase Agreement, dated October 14, 1997, the Company issued Convertible Notes in the aggregate principal amount of $4,200,000, which bear interest at the rate of 10% per annum. As of January 31, 1998, the aggregate principal amount outstanding on these notes was</w:t>
      </w:r>
    </w:p>
    <w:p>
      <w:pPr>
        <w:sectPr>
          <w:pgSz w:w="11900" w:h="16838" w:orient="portrait"/>
          <w:cols w:equalWidth="0" w:num="1">
            <w:col w:w="10219"/>
          </w:cols>
          <w:pgMar w:left="240" w:top="667" w:right="1440" w:bottom="1440" w:gutter="0" w:footer="0" w:header="0"/>
        </w:sectPr>
      </w:pPr>
    </w:p>
    <w:bookmarkStart w:id="11" w:name="page12"/>
    <w:bookmarkEnd w:id="11"/>
    <w:p>
      <w:pPr>
        <w:jc w:val="both"/>
        <w:ind w:right="2599"/>
        <w:spacing w:after="0" w:line="242" w:lineRule="auto"/>
        <w:rPr>
          <w:sz w:val="20"/>
          <w:szCs w:val="20"/>
          <w:color w:val="auto"/>
        </w:rPr>
      </w:pPr>
      <w:r>
        <w:rPr>
          <w:rFonts w:ascii="Courier New" w:cs="Courier New" w:eastAsia="Courier New" w:hAnsi="Courier New"/>
          <w:sz w:val="16"/>
          <w:szCs w:val="16"/>
          <w:color w:val="auto"/>
        </w:rPr>
        <w:t>$2,117,666. The Convertible Notes are collateralized by a first priority security interest in letters of credit issued in respect of purchase orders for Wheel of Fortune and Jeopardy! products designed for the Nintendo 64 platform (the "Products"). The Convertible Notes mature on September 30, 1999. The Company is required to repay the Convertible Notes prior to maturity under certain circumstances, including in the event of a change of control, a transfer of all or substantially all of the Company's assets, a merger or consolidation of the Company, the issuance of securities exceeding the Conversion Limit (if shareholder approval has not been obtained) or the failure of the Company to fulfill certain securities registration obligations. Convertible Notes repaid after February 28, 1998 are repayable at a premium. In addition, the Company is required to prepay the Convertible Notes through payments and collections (including draws under letters of credit) from the sale of the Products received by the Company after December 31, 1997. The Company also agreed to certain covenants, including limitations on the issuance of securities, mergers and acquisitions, incurrence of indebtedness, liens, the payment of dividends, capital expenditures and minimum levels of net worth. The Company anticipates that the Convertible Notes will be repaid by letters of credit from the sale of Jeopardy.</w:t>
      </w:r>
    </w:p>
    <w:p>
      <w:pPr>
        <w:spacing w:after="0" w:line="196"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In December 1997, IMSI and AIM entered into a revolving line of credit agreement with NationsBank, N.A. which provides for borrowings of up to $5,000,000. Advances under the line of credit are based on a borrowing formula equal to the lesser of (i) $5,000,000 or (ii) 80% of eligible accounts receivable plus 50% of eligible inventory. Interest accrues on such advances at a rate of .75% over NationsBank's prime rate (9.25% as of January 31, 1998) and is payable monthly. Borrowings under the line of credit are secured by a lien on accounts receivable and inventory of IMSI and AIM and are guaranteed by the Company. The loan agreement limits or prohibits IMSI and AIM, subject to certain exceptions, from declaring or paying cash dividends, merging or consolidating with another corporation, selling assets (other than in the ordinary course of business), creating liens and incurring additional indebtedness. The available credit under this facility is approximately $117,000 at January 31, 1998. The line of credit expires on May 31, 1998. AIM also has an arrangement with Nationscredit Commercial Corporation of America, an affiliate of NationsBank ("Nationscredit"), whereby Nationscredit advances funds for the purchase of Nintendo hardware and software products and then bills AIM for amounts owed. A security agreement between AIM and Nationscredit grants Nationscredit a security interest in certain inventory and requires AIM to maintain a minimum working capital and tangible net worth. The Company has guaranteed the payment of amounts owed to Nationscredit.</w:t>
      </w:r>
    </w:p>
    <w:p>
      <w:pPr>
        <w:spacing w:after="0" w:line="197"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The Company's accounts receivable at January 31, 1998 were $7,226,898. As of January 31, 1998, the receivable balance from one distributor, amounted to approximately 35% of the Company's net accounts receivable balance. Delays in collection or uncollectibility of accounts receivable could adversely affect the Company's working capital position. The Company is subject to credit risks, particularly in the event that any of its receivables represent sales to a limited number of retailers or distributors or are concentrated in foreign markets.</w:t>
      </w:r>
    </w:p>
    <w:p>
      <w:pPr>
        <w:spacing w:after="0" w:line="189"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Pursuant to its agreement with a former distributor, the Company has agreed to make scheduled payments in the aggregate amount of $1,412,000 ($832,000 of which has been repaid) as reimbursement for advances previously made by such distributor.</w:t>
      </w:r>
    </w:p>
    <w:p>
      <w:pPr>
        <w:sectPr>
          <w:pgSz w:w="11900" w:h="16838" w:orient="portrait"/>
          <w:cols w:equalWidth="0" w:num="1">
            <w:col w:w="10219"/>
          </w:cols>
          <w:pgMar w:left="240" w:top="667" w:right="1440" w:bottom="1440" w:gutter="0" w:footer="0" w:header="0"/>
        </w:sectPr>
      </w:pPr>
    </w:p>
    <w:p>
      <w:pPr>
        <w:spacing w:after="0" w:line="189" w:lineRule="exact"/>
        <w:rPr>
          <w:sz w:val="20"/>
          <w:szCs w:val="20"/>
          <w:color w:val="auto"/>
        </w:rPr>
      </w:pPr>
    </w:p>
    <w:p>
      <w:pPr>
        <w:jc w:val="both"/>
        <w:ind w:firstLine="477"/>
        <w:spacing w:after="0" w:line="265" w:lineRule="auto"/>
        <w:rPr>
          <w:sz w:val="20"/>
          <w:szCs w:val="20"/>
          <w:color w:val="auto"/>
        </w:rPr>
      </w:pPr>
      <w:r>
        <w:rPr>
          <w:rFonts w:ascii="Courier New" w:cs="Courier New" w:eastAsia="Courier New" w:hAnsi="Courier New"/>
          <w:sz w:val="15"/>
          <w:szCs w:val="15"/>
          <w:color w:val="auto"/>
        </w:rPr>
        <w:t>Based on plans and believes that projected will be sufficient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assumptions relating to its operations, the Company cash flow from operations and available cash resources satisfy its contemplated cash</w:t>
      </w:r>
    </w:p>
    <w:p>
      <w:pPr>
        <w:sectPr>
          <w:pgSz w:w="11900" w:h="16838" w:orient="portrait"/>
          <w:cols w:equalWidth="0" w:num="2">
            <w:col w:w="2200" w:space="180"/>
            <w:col w:w="7839"/>
          </w:cols>
          <w:pgMar w:left="240" w:top="667" w:right="1440" w:bottom="1440" w:gutter="0" w:footer="0" w:header="0"/>
          <w:type w:val="continuous"/>
        </w:sectPr>
      </w:pPr>
    </w:p>
    <w:bookmarkStart w:id="12" w:name="page13"/>
    <w:bookmarkEnd w:id="12"/>
    <w:p>
      <w:pPr>
        <w:jc w:val="both"/>
        <w:ind w:right="2599"/>
        <w:spacing w:after="0" w:line="242" w:lineRule="auto"/>
        <w:rPr>
          <w:sz w:val="20"/>
          <w:szCs w:val="20"/>
          <w:color w:val="auto"/>
        </w:rPr>
      </w:pPr>
      <w:r>
        <w:rPr>
          <w:rFonts w:ascii="Courier New" w:cs="Courier New" w:eastAsia="Courier New" w:hAnsi="Courier New"/>
          <w:sz w:val="16"/>
          <w:szCs w:val="16"/>
          <w:color w:val="auto"/>
        </w:rPr>
        <w:t>requirements for the reasonably foreseeable future. To the extent the Company continues to implement its expansion plans, the Company may seek to obtain additional financing. Nonrenewal of the Company's line of credit with NationsBank could adversely affect the Company's financial condition and require the Company to seek to obtain additional financing. There can be no assurance that projected cash flow from operations and available cash resources will be sufficient to fund the Company's operations or that additional financing will be available to the Company, if required.</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Operating Results and Seasonality</w:t>
      </w:r>
    </w:p>
    <w:p>
      <w:pPr>
        <w:spacing w:after="0" w:line="188" w:lineRule="exact"/>
        <w:rPr>
          <w:sz w:val="20"/>
          <w:szCs w:val="20"/>
          <w:color w:val="auto"/>
        </w:rPr>
      </w:pPr>
    </w:p>
    <w:p>
      <w:pPr>
        <w:jc w:val="both"/>
        <w:ind w:right="2599" w:firstLine="477"/>
        <w:spacing w:after="0" w:line="242" w:lineRule="auto"/>
        <w:rPr>
          <w:sz w:val="20"/>
          <w:szCs w:val="20"/>
          <w:color w:val="auto"/>
        </w:rPr>
      </w:pPr>
      <w:r>
        <w:rPr>
          <w:rFonts w:ascii="Courier New" w:cs="Courier New" w:eastAsia="Courier New" w:hAnsi="Courier New"/>
          <w:sz w:val="16"/>
          <w:szCs w:val="16"/>
          <w:color w:val="auto"/>
        </w:rPr>
        <w:t>The Company's operating results vary significantly from period to period as a result of purchasing patterns of potential customers, the timing of new product introductions by the Company and its competitors, product returns, marketing and research and development expenditures and pricing. Sales of the Company's products are seasonal, with peak product shipments typically occurring in the fourth calendar quarter (the Company's first fiscal quarter), depending upon the timing of product releases, as a result of increased demand for products during the year end holiday season.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Trade</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Product sales in international markets, primarily in the United Kingdom, other countries in Europe and the Pacific Rim, have accounted for a significant portion of the Company's revenues. The Company is subject to risks inherent in foreign trade, including increased credit risks, fluctuations in foreign currency exchange rates, shipping delays and international political, regulatory and economic developments, all of which could have a significant impact on the Company. Product sales by TTE in France and Germany are made in local currencies. The Company does not engage in foreign currency hedging transactions.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Issue</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Company has assessed the potential issues associated with programming codes in its existing computer systems with respect to a two-digit year value for the year 2000 and believes that addressing such issues is not a material event or uncertainty that would cause reported financial information not to be indicative of future operating results or financial condition. The Company is currently upgrading its accounting software.</w:t>
      </w:r>
    </w:p>
    <w:p>
      <w:pPr>
        <w:sectPr>
          <w:pgSz w:w="11900" w:h="16838" w:orient="portrait"/>
          <w:cols w:equalWidth="0" w:num="1">
            <w:col w:w="10219"/>
          </w:cols>
          <w:pgMar w:left="240" w:top="66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Changes in Securities</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In December 1997, the Company issued 500,000 shares of Common Stock in connection with the acquisition of AIM.</w:t>
      </w:r>
    </w:p>
    <w:p>
      <w:pPr>
        <w:spacing w:after="0" w:line="189"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In January 1998, the Company issued 100,000 restricted shares of Common Stock upon the exercise of options issued in connection with the 1994 Stock Option Plan. The options had an exercise price of $.45 per share.</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1340" w:hanging="484"/>
        <w:spacing w:after="0"/>
        <w:tabs>
          <w:tab w:leader="none" w:pos="13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5" w:lineRule="exact"/>
        <w:rPr>
          <w:sz w:val="20"/>
          <w:szCs w:val="20"/>
          <w:color w:val="auto"/>
        </w:rPr>
      </w:pPr>
    </w:p>
    <w:p>
      <w:pPr>
        <w:ind w:left="860" w:right="3739"/>
        <w:spacing w:after="0" w:line="239" w:lineRule="auto"/>
        <w:rPr>
          <w:sz w:val="20"/>
          <w:szCs w:val="20"/>
          <w:color w:val="auto"/>
        </w:rPr>
      </w:pPr>
      <w:r>
        <w:rPr>
          <w:rFonts w:ascii="Courier New" w:cs="Courier New" w:eastAsia="Courier New" w:hAnsi="Courier New"/>
          <w:sz w:val="16"/>
          <w:szCs w:val="16"/>
          <w:color w:val="auto"/>
        </w:rPr>
        <w:t>Exhibit 11 - Statement of Computation of Earnings Per Share Exhibit 27 - Financial Data Schedule</w:t>
      </w:r>
    </w:p>
    <w:p>
      <w:pPr>
        <w:spacing w:after="0" w:line="186" w:lineRule="exact"/>
        <w:rPr>
          <w:sz w:val="20"/>
          <w:szCs w:val="20"/>
          <w:color w:val="auto"/>
        </w:rPr>
      </w:pPr>
    </w:p>
    <w:p>
      <w:pPr>
        <w:ind w:left="1340" w:hanging="484"/>
        <w:spacing w:after="0"/>
        <w:tabs>
          <w:tab w:leader="none" w:pos="13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sz w:val="20"/>
          <w:szCs w:val="20"/>
          <w:color w:val="auto"/>
        </w:rPr>
      </w:pPr>
    </w:p>
    <w:p>
      <w:pPr>
        <w:jc w:val="both"/>
        <w:ind w:right="2599" w:firstLine="477"/>
        <w:spacing w:after="0" w:line="241" w:lineRule="auto"/>
        <w:rPr>
          <w:sz w:val="20"/>
          <w:szCs w:val="20"/>
          <w:color w:val="auto"/>
        </w:rPr>
      </w:pPr>
      <w:r>
        <w:rPr>
          <w:rFonts w:ascii="Courier New" w:cs="Courier New" w:eastAsia="Courier New" w:hAnsi="Courier New"/>
          <w:sz w:val="16"/>
          <w:szCs w:val="16"/>
          <w:color w:val="auto"/>
        </w:rPr>
        <w:t>Current Report on Form 8-K dated December 24, 1997 reporting under Item 2 - Acquisition or disposition of assets, Item 5 - Other Events and Item 7 - Financial Statements, Pro Forma Financial Information and Exhibits - the completion of the Company's acquisition of L&amp;J Marketing Inc. d/b/a Alliance Distributors.</w:t>
      </w:r>
    </w:p>
    <w:p>
      <w:pPr>
        <w:sectPr>
          <w:pgSz w:w="11900" w:h="16838" w:orient="portrait"/>
          <w:cols w:equalWidth="0" w:num="1">
            <w:col w:w="10219"/>
          </w:cols>
          <w:pgMar w:left="240" w:top="84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Take-Two Interactive Software, Inc. has duly caused this report to be signed on its behalf by the undersigned thereunto duly authorized.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Take-Two Interactive Software, Inc</w:t>
      </w:r>
    </w:p>
    <w:p>
      <w:pPr>
        <w:sectPr>
          <w:pgSz w:w="11900" w:h="16838" w:orient="portrait"/>
          <w:cols w:equalWidth="0" w:num="1">
            <w:col w:w="10219"/>
          </w:cols>
          <w:pgMar w:left="240" w:top="1031"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Ryan A. Brant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Ryan A. Brant</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20, 1998</w:t>
      </w:r>
    </w:p>
    <w:p>
      <w:pPr>
        <w:sectPr>
          <w:pgSz w:w="11900" w:h="16838" w:orient="portrait"/>
          <w:cols w:equalWidth="0" w:num="2">
            <w:col w:w="4620" w:space="720"/>
            <w:col w:w="4879"/>
          </w:cols>
          <w:pgMar w:left="240" w:top="1031" w:right="1440" w:bottom="1440" w:gutter="0" w:footer="0" w:header="0"/>
          <w:type w:val="continuous"/>
        </w:sectPr>
      </w:pPr>
    </w:p>
    <w:bookmarkStart w:id="15" w:name="page16"/>
    <w:bookmarkEnd w:id="15"/>
    <w:p>
      <w:pPr>
        <w:ind w:left="6680"/>
        <w:spacing w:after="0"/>
        <w:rPr>
          <w:sz w:val="20"/>
          <w:szCs w:val="20"/>
          <w:color w:val="auto"/>
        </w:rPr>
      </w:pPr>
      <w:r>
        <w:rPr>
          <w:rFonts w:ascii="Courier New" w:cs="Courier New" w:eastAsia="Courier New" w:hAnsi="Courier New"/>
          <w:sz w:val="16"/>
          <w:szCs w:val="16"/>
          <w:color w:val="auto"/>
        </w:rPr>
        <w:t>Exhibit 11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Computation of Earnings Per Share</w:t>
      </w:r>
    </w:p>
    <w:p>
      <w:pPr>
        <w:spacing w:after="0" w:line="5"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5"/>
          <w:szCs w:val="15"/>
          <w:color w:val="auto"/>
        </w:rPr>
        <w:t>For the three months ended January 31, 1997 and 1998 ================================================================================</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3"/>
          </w:tcPr>
          <w:p>
            <w:pPr>
              <w:jc w:val="right"/>
              <w:ind w:right="601"/>
              <w:spacing w:after="0"/>
              <w:rPr>
                <w:sz w:val="20"/>
                <w:szCs w:val="20"/>
                <w:color w:val="auto"/>
              </w:rPr>
            </w:pPr>
            <w:r>
              <w:rPr>
                <w:rFonts w:ascii="Courier New" w:cs="Courier New" w:eastAsia="Courier New" w:hAnsi="Courier New"/>
                <w:sz w:val="16"/>
                <w:szCs w:val="16"/>
                <w:color w:val="auto"/>
              </w:rPr>
              <w:t>January 31,</w:t>
            </w:r>
          </w:p>
        </w:tc>
      </w:tr>
      <w:tr>
        <w:trPr>
          <w:trHeight w:val="183"/>
        </w:trPr>
        <w:tc>
          <w:tcPr>
            <w:tcW w:w="662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Net income attributable to common stockholders'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214,144</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$ 1,240,989</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Common stock outstanding</w:t>
            </w:r>
          </w:p>
        </w:tc>
        <w:tc>
          <w:tcPr>
            <w:tcW w:w="3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6,497,664</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9,475,043</w:t>
            </w:r>
          </w:p>
        </w:tc>
      </w:tr>
      <w:tr>
        <w:trPr>
          <w:trHeight w:val="183"/>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Common stock equivalents</w:t>
            </w:r>
          </w:p>
        </w:tc>
        <w:tc>
          <w:tcPr>
            <w:tcW w:w="3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1,173,400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Total</w:t>
            </w:r>
          </w:p>
        </w:tc>
        <w:tc>
          <w:tcPr>
            <w:tcW w:w="3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7,671,064</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9,475,043</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Net income per share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Net income attributable to common stockholders'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214,144</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$ 1,240,989</w:t>
            </w:r>
          </w:p>
        </w:tc>
      </w:tr>
      <w:tr>
        <w:trPr>
          <w:trHeight w:val="367"/>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Plus:  Impact from asssumed conversion on 10% convertible notes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96,330</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Income available to common stockholders'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214,144</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$ 1,337,319</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Common stock outstanding</w:t>
            </w:r>
          </w:p>
        </w:tc>
        <w:tc>
          <w:tcPr>
            <w:tcW w:w="300" w:type="dxa"/>
            <w:vAlign w:val="bottom"/>
          </w:tcPr>
          <w:p>
            <w:pPr>
              <w:spacing w:after="0"/>
              <w:rPr>
                <w:sz w:val="24"/>
                <w:szCs w:val="24"/>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6,497,664</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9,475,043</w:t>
            </w:r>
          </w:p>
        </w:tc>
      </w:tr>
      <w:tr>
        <w:trPr>
          <w:trHeight w:val="183"/>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Common stock equivalents</w:t>
            </w:r>
          </w:p>
        </w:tc>
        <w:tc>
          <w:tcPr>
            <w:tcW w:w="3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1,173,400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1,614,132</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Total</w:t>
            </w:r>
          </w:p>
        </w:tc>
        <w:tc>
          <w:tcPr>
            <w:tcW w:w="3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7,671,064</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11,089,175</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ind w:left="480"/>
              <w:spacing w:after="0"/>
              <w:rPr>
                <w:sz w:val="20"/>
                <w:szCs w:val="20"/>
                <w:color w:val="auto"/>
              </w:rPr>
            </w:pPr>
            <w:r>
              <w:rPr>
                <w:rFonts w:ascii="Courier New" w:cs="Courier New" w:eastAsia="Courier New" w:hAnsi="Courier New"/>
                <w:sz w:val="16"/>
                <w:szCs w:val="16"/>
                <w:color w:val="auto"/>
              </w:rPr>
              <w:t>Net income per share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3"/>
        </w:trPr>
        <w:tc>
          <w:tcPr>
            <w:tcW w:w="6620" w:type="dxa"/>
            <w:vAlign w:val="bottom"/>
          </w:tcPr>
          <w:p>
            <w:pPr>
              <w:spacing w:after="0"/>
              <w:rPr>
                <w:sz w:val="15"/>
                <w:szCs w:val="15"/>
                <w:color w:val="auto"/>
              </w:rPr>
            </w:pPr>
          </w:p>
        </w:tc>
        <w:tc>
          <w:tcPr>
            <w:tcW w:w="13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22" w:right="1440" w:bottom="1440" w:gutter="0" w:footer="0" w:header="0"/>
        </w:sectPr>
      </w:pPr>
    </w:p>
    <w:bookmarkStart w:id="16" w:name="page17"/>
    <w:bookmarkEnd w:id="16"/>
    <w:p>
      <w:pPr>
        <w:ind w:left="19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jc w:val="both"/>
        <w:ind w:right="2559"/>
        <w:spacing w:after="0"/>
        <w:rPr>
          <w:sz w:val="20"/>
          <w:szCs w:val="20"/>
          <w:color w:val="auto"/>
        </w:rPr>
      </w:pPr>
      <w:r>
        <w:rPr>
          <w:rFonts w:ascii="Courier New" w:cs="Courier New" w:eastAsia="Courier New" w:hAnsi="Courier New"/>
          <w:sz w:val="16"/>
          <w:szCs w:val="16"/>
          <w:color w:val="auto"/>
        </w:rPr>
        <w:t>THE SCHEDULE CONTAINS SUMMARY FINANCIAL INFORMATION EXTRACTED FROM THE COMPANY'S FINANCIAL STATEMENT INCLUDED IN THIS QUARTERLY REPORT ON FORM 10-QSB,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Oct-31-1998</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Jan-31-1998</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1,087,321</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7,631,809</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404,911</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6,067,152</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18,119,202</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2,075,165</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848,745</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30,647,961</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17,160,093</w:t>
      </w:r>
    </w:p>
    <w:p>
      <w:pPr>
        <w:spacing w:after="0" w:line="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98,500</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12,678,658</w:t>
      </w:r>
    </w:p>
    <w:p>
      <w:pPr>
        <w:spacing w:after="0" w:line="2"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30,647,961</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22,068,437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22,068,437</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14,981,636</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14,981,636</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791,383</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1,131,129</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1,281,972</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40,983</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1,240,989</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0.13</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0.12</w:t>
      </w:r>
    </w:p>
    <w:sectPr>
      <w:pgSz w:w="11900" w:h="16838" w:orient="portrait"/>
      <w:cols w:equalWidth="0" w:num="1">
        <w:col w:w="10199"/>
      </w:cols>
      <w:pgMar w:left="26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2019-12-14T05:10:10Z</dcterms:created>
  <dcterms:modified xsi:type="dcterms:W3CDTF">2019-12-14T05:10:10Z</dcterms:modified>
</cp:coreProperties>
</file>