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333-264153</w:t>
      </w:r>
    </w:p>
    <w:p>
      <w:pPr>
        <w:spacing w:after="0" w:line="135" w:lineRule="exact"/>
        <w:rPr>
          <w:sz w:val="24"/>
          <w:szCs w:val="24"/>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FF4338"/>
        </w:rPr>
        <w:t>This preliminary prospectus supplement relates to an effective registration statement under the Securities Act of 1933 but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PROSPECTUS SUPPLEMENT DATED APRIL 10, 2023</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April 6, 2022)</w:t>
      </w:r>
    </w:p>
    <w:p>
      <w:pPr>
        <w:spacing w:after="0" w:line="8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3219450</wp:posOffset>
            </wp:positionH>
            <wp:positionV relativeFrom="paragraph">
              <wp:posOffset>104775</wp:posOffset>
            </wp:positionV>
            <wp:extent cx="71120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20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136" w:lineRule="exact"/>
        <w:rPr>
          <w:sz w:val="24"/>
          <w:szCs w:val="24"/>
          <w:color w:val="auto"/>
        </w:rPr>
      </w:pPr>
    </w:p>
    <w:p>
      <w:pPr>
        <w:ind w:left="5100" w:hanging="1393"/>
        <w:spacing w:after="0"/>
        <w:tabs>
          <w:tab w:leader="none" w:pos="510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w:t>
      </w:r>
    </w:p>
    <w:p>
      <w:pPr>
        <w:spacing w:after="0" w:line="44" w:lineRule="exact"/>
        <w:rPr>
          <w:sz w:val="24"/>
          <w:szCs w:val="24"/>
          <w:color w:val="auto"/>
        </w:rPr>
      </w:pPr>
    </w:p>
    <w:p>
      <w:pPr>
        <w:ind w:left="5100" w:hanging="1393"/>
        <w:spacing w:after="0"/>
        <w:tabs>
          <w:tab w:leader="none" w:pos="5100" w:val="left"/>
        </w:tabs>
        <w:numPr>
          <w:ilvl w:val="0"/>
          <w:numId w:val="2"/>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4"/>
          <w:szCs w:val="24"/>
          <w:color w:val="auto"/>
        </w:rPr>
      </w:pPr>
    </w:p>
    <w:p>
      <w:pPr>
        <w:ind w:left="120"/>
        <w:spacing w:after="0"/>
        <w:tabs>
          <w:tab w:leader="none" w:pos="1920" w:val="left"/>
          <w:tab w:leader="none" w:pos="4320" w:val="left"/>
          <w:tab w:leader="none" w:pos="6020" w:val="left"/>
          <w:tab w:leader="none" w:pos="6740" w:val="left"/>
          <w:tab w:leader="none" w:pos="8340" w:val="left"/>
          <w:tab w:leader="none" w:pos="10740" w:val="left"/>
        </w:tabs>
        <w:rPr>
          <w:sz w:val="20"/>
          <w:szCs w:val="20"/>
          <w:color w:val="auto"/>
        </w:rPr>
      </w:pPr>
      <w:r>
        <w:rPr>
          <w:rFonts w:ascii="Times New Roman" w:cs="Times New Roman" w:eastAsia="Times New Roman" w:hAnsi="Times New Roman"/>
          <w:sz w:val="16"/>
          <w:szCs w:val="16"/>
          <w:color w:val="auto"/>
        </w:rPr>
        <w:t>We are offering $</w:t>
      </w:r>
      <w:r>
        <w:rPr>
          <w:sz w:val="20"/>
          <w:szCs w:val="20"/>
          <w:color w:val="auto"/>
        </w:rPr>
        <w:tab/>
      </w:r>
      <w:r>
        <w:rPr>
          <w:rFonts w:ascii="Times New Roman" w:cs="Times New Roman" w:eastAsia="Times New Roman" w:hAnsi="Times New Roman"/>
          <w:sz w:val="16"/>
          <w:szCs w:val="16"/>
          <w:color w:val="auto"/>
        </w:rPr>
        <w:t>aggregate principal amount of our</w:t>
        <w:tab/>
        <w:t>% Senior Notes due 20</w:t>
        <w:tab/>
        <w:t>(the “20</w:t>
        <w:tab/>
        <w:t>notes”), and $</w:t>
      </w:r>
      <w:r>
        <w:rPr>
          <w:sz w:val="20"/>
          <w:szCs w:val="20"/>
          <w:color w:val="auto"/>
        </w:rPr>
        <w:tab/>
      </w:r>
      <w:r>
        <w:rPr>
          <w:rFonts w:ascii="Times New Roman" w:cs="Times New Roman" w:eastAsia="Times New Roman" w:hAnsi="Times New Roman"/>
          <w:sz w:val="16"/>
          <w:szCs w:val="16"/>
          <w:color w:val="auto"/>
        </w:rPr>
        <w:t>aggregate principal amount of our</w:t>
        <w:tab/>
        <w:t>%</w:t>
      </w:r>
    </w:p>
    <w:p>
      <w:pPr>
        <w:spacing w:after="0" w:line="26" w:lineRule="exact"/>
        <w:rPr>
          <w:sz w:val="24"/>
          <w:szCs w:val="24"/>
          <w:color w:val="auto"/>
        </w:rPr>
      </w:pPr>
    </w:p>
    <w:p>
      <w:pPr>
        <w:ind w:left="120"/>
        <w:spacing w:after="0"/>
        <w:tabs>
          <w:tab w:leader="none" w:pos="1620" w:val="left"/>
          <w:tab w:leader="none" w:pos="2340" w:val="left"/>
          <w:tab w:leader="none" w:pos="4620" w:val="left"/>
          <w:tab w:leader="none" w:pos="6560" w:val="left"/>
          <w:tab w:leader="none" w:pos="8960" w:val="left"/>
          <w:tab w:leader="none" w:pos="10740" w:val="left"/>
        </w:tabs>
        <w:rPr>
          <w:sz w:val="20"/>
          <w:szCs w:val="20"/>
          <w:color w:val="auto"/>
        </w:rPr>
      </w:pPr>
      <w:r>
        <w:rPr>
          <w:rFonts w:ascii="Times New Roman" w:cs="Times New Roman" w:eastAsia="Times New Roman" w:hAnsi="Times New Roman"/>
          <w:sz w:val="16"/>
          <w:szCs w:val="16"/>
          <w:color w:val="auto"/>
        </w:rPr>
        <w:t>Senior Notes due 20</w:t>
        <w:tab/>
        <w:t>(the “20</w:t>
        <w:tab/>
        <w:t>notes” and, together with the 20</w:t>
        <w:tab/>
        <w:t>notes, the “notes”). The 20</w:t>
        <w:tab/>
        <w:t>notes will bear interest at a rate of</w:t>
        <w:tab/>
        <w:t>% per annum and the 20</w:t>
        <w:tab/>
        <w:t>notes</w:t>
      </w:r>
    </w:p>
    <w:p>
      <w:pPr>
        <w:spacing w:after="0" w:line="19" w:lineRule="exact"/>
        <w:rPr>
          <w:sz w:val="24"/>
          <w:szCs w:val="24"/>
          <w:color w:val="auto"/>
        </w:rPr>
      </w:pPr>
    </w:p>
    <w:p>
      <w:pPr>
        <w:ind w:left="120"/>
        <w:spacing w:after="0"/>
        <w:tabs>
          <w:tab w:leader="none" w:pos="2120" w:val="left"/>
          <w:tab w:leader="none" w:pos="7640" w:val="left"/>
          <w:tab w:leader="none" w:pos="8560" w:val="left"/>
          <w:tab w:leader="none" w:pos="10920" w:val="left"/>
        </w:tabs>
        <w:rPr>
          <w:sz w:val="20"/>
          <w:szCs w:val="20"/>
          <w:color w:val="auto"/>
        </w:rPr>
      </w:pPr>
      <w:r>
        <w:rPr>
          <w:rFonts w:ascii="Times New Roman" w:cs="Times New Roman" w:eastAsia="Times New Roman" w:hAnsi="Times New Roman"/>
          <w:sz w:val="16"/>
          <w:szCs w:val="16"/>
          <w:color w:val="auto"/>
        </w:rPr>
        <w:t>will bear interest at a rate of</w:t>
        <w:tab/>
        <w:t>% per annum. We will pay interest on the notes semi-annually in arrears on</w:t>
      </w:r>
      <w:r>
        <w:rPr>
          <w:sz w:val="20"/>
          <w:szCs w:val="20"/>
          <w:color w:val="auto"/>
        </w:rPr>
        <w:tab/>
      </w:r>
      <w:r>
        <w:rPr>
          <w:rFonts w:ascii="Times New Roman" w:cs="Times New Roman" w:eastAsia="Times New Roman" w:hAnsi="Times New Roman"/>
          <w:sz w:val="16"/>
          <w:szCs w:val="16"/>
          <w:color w:val="auto"/>
        </w:rPr>
        <w:t>and</w:t>
      </w:r>
      <w:r>
        <w:rPr>
          <w:sz w:val="20"/>
          <w:szCs w:val="20"/>
          <w:color w:val="auto"/>
        </w:rPr>
        <w:tab/>
      </w:r>
      <w:r>
        <w:rPr>
          <w:rFonts w:ascii="Times New Roman" w:cs="Times New Roman" w:eastAsia="Times New Roman" w:hAnsi="Times New Roman"/>
          <w:sz w:val="16"/>
          <w:szCs w:val="16"/>
          <w:color w:val="auto"/>
        </w:rPr>
        <w:t>of each year, beginning on</w:t>
      </w:r>
      <w:r>
        <w:rPr>
          <w:sz w:val="20"/>
          <w:szCs w:val="20"/>
          <w:color w:val="auto"/>
        </w:rPr>
        <w:tab/>
      </w:r>
      <w:r>
        <w:rPr>
          <w:rFonts w:ascii="Times New Roman" w:cs="Times New Roman" w:eastAsia="Times New Roman" w:hAnsi="Times New Roman"/>
          <w:sz w:val="16"/>
          <w:szCs w:val="16"/>
          <w:color w:val="auto"/>
        </w:rPr>
        <w:t>,</w:t>
      </w:r>
    </w:p>
    <w:p>
      <w:pPr>
        <w:spacing w:after="0" w:line="19" w:lineRule="exact"/>
        <w:rPr>
          <w:sz w:val="24"/>
          <w:szCs w:val="24"/>
          <w:color w:val="auto"/>
        </w:rPr>
      </w:pPr>
    </w:p>
    <w:p>
      <w:pPr>
        <w:ind w:left="120"/>
        <w:spacing w:after="0"/>
        <w:tabs>
          <w:tab w:leader="none" w:pos="1160" w:val="left"/>
          <w:tab w:leader="none" w:pos="3180" w:val="left"/>
          <w:tab w:leader="none" w:pos="3620" w:val="left"/>
          <w:tab w:leader="none" w:pos="4500" w:val="left"/>
          <w:tab w:leader="none" w:pos="6520" w:val="left"/>
          <w:tab w:leader="none" w:pos="6920" w:val="left"/>
        </w:tabs>
        <w:rPr>
          <w:sz w:val="20"/>
          <w:szCs w:val="20"/>
          <w:color w:val="auto"/>
        </w:rPr>
      </w:pPr>
      <w:r>
        <w:rPr>
          <w:rFonts w:ascii="Times New Roman" w:cs="Times New Roman" w:eastAsia="Times New Roman" w:hAnsi="Times New Roman"/>
          <w:sz w:val="16"/>
          <w:szCs w:val="16"/>
          <w:color w:val="auto"/>
        </w:rPr>
        <w:t>2023. The 20</w:t>
        <w:tab/>
        <w:t>notes will mature on</w:t>
      </w:r>
      <w:r>
        <w:rPr>
          <w:sz w:val="20"/>
          <w:szCs w:val="20"/>
          <w:color w:val="auto"/>
        </w:rPr>
        <w:tab/>
      </w:r>
      <w:r>
        <w:rPr>
          <w:rFonts w:ascii="Times New Roman" w:cs="Times New Roman" w:eastAsia="Times New Roman" w:hAnsi="Times New Roman"/>
          <w:sz w:val="16"/>
          <w:szCs w:val="16"/>
          <w:color w:val="auto"/>
        </w:rPr>
        <w:t>, 20</w:t>
        <w:tab/>
        <w:t>and the 20</w:t>
        <w:tab/>
        <w:t>notes will mature on</w:t>
      </w:r>
      <w:r>
        <w:rPr>
          <w:sz w:val="20"/>
          <w:szCs w:val="20"/>
          <w:color w:val="auto"/>
        </w:rPr>
        <w:tab/>
      </w:r>
      <w:r>
        <w:rPr>
          <w:rFonts w:ascii="Times New Roman" w:cs="Times New Roman" w:eastAsia="Times New Roman" w:hAnsi="Times New Roman"/>
          <w:sz w:val="16"/>
          <w:szCs w:val="16"/>
          <w:color w:val="auto"/>
        </w:rPr>
        <w:t>, 20</w:t>
        <w:tab/>
        <w:t>.</w:t>
      </w:r>
    </w:p>
    <w:p>
      <w:pPr>
        <w:spacing w:after="0" w:line="119" w:lineRule="exact"/>
        <w:rPr>
          <w:sz w:val="24"/>
          <w:szCs w:val="24"/>
          <w:color w:val="auto"/>
        </w:rPr>
      </w:pPr>
    </w:p>
    <w:p>
      <w:pPr>
        <w:ind w:left="120" w:right="40"/>
        <w:spacing w:after="0" w:line="275" w:lineRule="auto"/>
        <w:rPr>
          <w:sz w:val="20"/>
          <w:szCs w:val="20"/>
          <w:color w:val="auto"/>
        </w:rPr>
      </w:pPr>
      <w:r>
        <w:rPr>
          <w:rFonts w:ascii="Times New Roman" w:cs="Times New Roman" w:eastAsia="Times New Roman" w:hAnsi="Times New Roman"/>
          <w:sz w:val="16"/>
          <w:szCs w:val="16"/>
          <w:color w:val="auto"/>
        </w:rPr>
        <w:t>We may redeem the notes of each series in whole at any time or in part from time to time at the applicable redemption prices described under the heading “Description of Notes—Optional Redemption” in this prospectus supplement. Upon the occurrence of a “change of control repurchase event,” as defined under “Description of Notes— Purchase of Notes upon a Change of Control Repurchase Event,” each holder will have the right to require us to repurchase all or any part of that holder’s notes at a price equal to 101% of the aggregate principal amount of the notes to be repurchased plus any accrued and unpaid interest on such notes to, but excluding, the repurchase date.</w:t>
      </w:r>
    </w:p>
    <w:p>
      <w:pPr>
        <w:spacing w:after="0" w:line="75" w:lineRule="exact"/>
        <w:rPr>
          <w:sz w:val="24"/>
          <w:szCs w:val="24"/>
          <w:color w:val="auto"/>
        </w:rPr>
      </w:pPr>
    </w:p>
    <w:p>
      <w:pPr>
        <w:ind w:left="120" w:right="220"/>
        <w:spacing w:after="0" w:line="298" w:lineRule="auto"/>
        <w:rPr>
          <w:sz w:val="20"/>
          <w:szCs w:val="20"/>
          <w:color w:val="auto"/>
        </w:rPr>
      </w:pPr>
      <w:r>
        <w:rPr>
          <w:rFonts w:ascii="Times New Roman" w:cs="Times New Roman" w:eastAsia="Times New Roman" w:hAnsi="Times New Roman"/>
          <w:sz w:val="16"/>
          <w:szCs w:val="16"/>
          <w:color w:val="auto"/>
        </w:rPr>
        <w:t>The notes will be our senior unsecured obligations and will rank equally with all our other existing and future unsubordinated obligations. There is no sinking fund for the notes. The notes are not, and are not expected to be, listed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ind w:left="120" w:right="220"/>
        <w:spacing w:after="0" w:line="282" w:lineRule="auto"/>
        <w:rPr>
          <w:sz w:val="20"/>
          <w:szCs w:val="20"/>
          <w:color w:val="auto"/>
        </w:rPr>
      </w:pPr>
      <w:r>
        <w:rPr>
          <w:rFonts w:ascii="Times New Roman" w:cs="Times New Roman" w:eastAsia="Times New Roman" w:hAnsi="Times New Roman"/>
          <w:sz w:val="16"/>
          <w:szCs w:val="16"/>
          <w:b w:val="1"/>
          <w:bCs w:val="1"/>
          <w:color w:val="auto"/>
        </w:rPr>
        <w:t>Investing in the notes involves risks. See “</w:t>
      </w:r>
      <w:r>
        <w:rPr>
          <w:rFonts w:ascii="Times New Roman" w:cs="Times New Roman" w:eastAsia="Times New Roman" w:hAnsi="Times New Roman"/>
          <w:sz w:val="16"/>
          <w:szCs w:val="16"/>
          <w:b w:val="1"/>
          <w:bCs w:val="1"/>
          <w:u w:val="single" w:color="auto"/>
          <w:color w:val="0000EE"/>
        </w:rPr>
        <w:t>Cautionary Note Regarding Forward-Looking Statements</w:t>
      </w:r>
      <w:r>
        <w:rPr>
          <w:rFonts w:ascii="Times New Roman" w:cs="Times New Roman" w:eastAsia="Times New Roman" w:hAnsi="Times New Roman"/>
          <w:sz w:val="16"/>
          <w:szCs w:val="16"/>
          <w:b w:val="1"/>
          <w:bCs w:val="1"/>
          <w:color w:val="auto"/>
        </w:rPr>
        <w:t>” on page S-iii and the risks described under the heading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xml:space="preserve"> ” beginning on page S-5 of this prospectus supplement and under the heading “Risk Factors” in our periodic reports that we file with the Securities and Exchange Commission before investing in the notes.</w:t>
      </w:r>
    </w:p>
    <w:p>
      <w:pPr>
        <w:spacing w:after="0" w:line="59"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15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7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Proceeds to Us</w:t>
            </w:r>
          </w:p>
        </w:tc>
      </w:tr>
      <w:tr>
        <w:trPr>
          <w:trHeight w:val="173"/>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Public</w:t>
            </w:r>
            <w:r>
              <w:rPr>
                <w:rFonts w:ascii="Times New Roman" w:cs="Times New Roman" w:eastAsia="Times New Roman" w:hAnsi="Times New Roman"/>
                <w:sz w:val="10"/>
                <w:szCs w:val="10"/>
                <w:b w:val="1"/>
                <w:bCs w:val="1"/>
                <w:color w:val="auto"/>
              </w:rPr>
              <w:t>(1)</w:t>
            </w:r>
          </w:p>
        </w:tc>
        <w:tc>
          <w:tcPr>
            <w:tcW w:w="72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8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(Before Expenses)</w:t>
            </w:r>
          </w:p>
        </w:tc>
      </w:tr>
      <w:tr>
        <w:trPr>
          <w:trHeight w:val="196"/>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20 note</w:t>
            </w:r>
          </w:p>
        </w:tc>
        <w:tc>
          <w:tcPr>
            <w:tcW w:w="30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89"/>
              </w:rPr>
              <w:t>%</w:t>
            </w:r>
          </w:p>
        </w:tc>
        <w:tc>
          <w:tcPr>
            <w:tcW w:w="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 note total</w:t>
            </w:r>
          </w:p>
        </w:tc>
        <w:tc>
          <w:tcPr>
            <w:tcW w:w="3600" w:type="dxa"/>
            <w:vAlign w:val="bottom"/>
            <w:gridSpan w:val="2"/>
          </w:tcPr>
          <w:p>
            <w:pPr>
              <w:jc w:val="right"/>
              <w:ind w:right="445"/>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20 note</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w w:val="89"/>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 note total</w:t>
            </w:r>
          </w:p>
        </w:tc>
        <w:tc>
          <w:tcPr>
            <w:tcW w:w="3600" w:type="dxa"/>
            <w:vAlign w:val="bottom"/>
            <w:gridSpan w:val="2"/>
          </w:tcPr>
          <w:p>
            <w:pPr>
              <w:jc w:val="right"/>
              <w:ind w:right="445"/>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600" w:type="dxa"/>
            <w:vAlign w:val="bottom"/>
            <w:gridSpan w:val="2"/>
            <w:shd w:val="clear" w:color="auto" w:fill="CCEEFF"/>
          </w:tcPr>
          <w:p>
            <w:pPr>
              <w:jc w:val="right"/>
              <w:ind w:right="445"/>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135"/>
        </w:trPr>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1880" w:type="dxa"/>
            <w:vAlign w:val="bottom"/>
          </w:tcPr>
          <w:p>
            <w:pPr>
              <w:spacing w:after="0"/>
              <w:rPr>
                <w:sz w:val="11"/>
                <w:szCs w:val="11"/>
                <w:color w:val="auto"/>
              </w:rPr>
            </w:pPr>
          </w:p>
        </w:tc>
        <w:tc>
          <w:tcPr>
            <w:tcW w:w="360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30"/>
        </w:trPr>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5"/>
              </w:rPr>
              <w:t>(1)</w:t>
            </w:r>
          </w:p>
        </w:tc>
        <w:tc>
          <w:tcPr>
            <w:tcW w:w="28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Plus accrued interest, if any, from April</w:t>
            </w:r>
          </w:p>
        </w:tc>
        <w:tc>
          <w:tcPr>
            <w:tcW w:w="3600" w:type="dxa"/>
            <w:vAlign w:val="bottom"/>
            <w:gridSpan w:val="2"/>
          </w:tcPr>
          <w:p>
            <w:pPr>
              <w:jc w:val="right"/>
              <w:ind w:right="705"/>
              <w:spacing w:after="0"/>
              <w:rPr>
                <w:sz w:val="20"/>
                <w:szCs w:val="20"/>
                <w:color w:val="auto"/>
              </w:rPr>
            </w:pPr>
            <w:r>
              <w:rPr>
                <w:rFonts w:ascii="Times New Roman" w:cs="Times New Roman" w:eastAsia="Times New Roman" w:hAnsi="Times New Roman"/>
                <w:sz w:val="16"/>
                <w:szCs w:val="16"/>
                <w:color w:val="auto"/>
              </w:rPr>
              <w:t>, 2023, if settlement occurs after that date.</w:t>
            </w: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39" w:lineRule="exact"/>
        <w:rPr>
          <w:sz w:val="24"/>
          <w:szCs w:val="24"/>
          <w:color w:val="auto"/>
        </w:rPr>
      </w:pPr>
    </w:p>
    <w:p>
      <w:pPr>
        <w:ind w:left="120" w:right="2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 notes or determined if this prospectus supplement or the accompanying prospectus to which it relates is truthful or complete. Any representation to the contrary is a criminal offense.</w:t>
      </w:r>
    </w:p>
    <w:p>
      <w:pPr>
        <w:spacing w:after="0" w:line="81"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The underwriters expect to deliver the notes on or about April</w:t>
            </w:r>
          </w:p>
        </w:tc>
        <w:tc>
          <w:tcPr>
            <w:tcW w:w="68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2023 only in book-entry form through the facilities of The Depository Trust Company for the accounts</w:t>
            </w:r>
          </w:p>
        </w:tc>
      </w:tr>
      <w:tr>
        <w:trPr>
          <w:trHeight w:val="210"/>
        </w:trPr>
        <w:tc>
          <w:tcPr>
            <w:tcW w:w="10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of its participants, including Euroclear Bank S.A./N.V., as operator of the Euroclear System, and Clearstream Banking S.A.</w:t>
            </w:r>
          </w:p>
        </w:tc>
      </w:tr>
      <w:tr>
        <w:trPr>
          <w:trHeight w:val="276"/>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240" w:type="dxa"/>
            <w:vAlign w:val="bottom"/>
          </w:tcPr>
          <w:p>
            <w:pPr>
              <w:spacing w:after="0"/>
              <w:rPr>
                <w:sz w:val="24"/>
                <w:szCs w:val="24"/>
                <w:color w:val="auto"/>
              </w:rPr>
            </w:pPr>
          </w:p>
        </w:tc>
      </w:tr>
      <w:tr>
        <w:trPr>
          <w:trHeight w:val="325"/>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tc>
      </w:tr>
      <w:tr>
        <w:trPr>
          <w:trHeight w:val="410"/>
        </w:trPr>
        <w:tc>
          <w:tcPr>
            <w:tcW w:w="4100" w:type="dxa"/>
            <w:vAlign w:val="bottom"/>
          </w:tcPr>
          <w:p>
            <w:pPr>
              <w:ind w:left="2220"/>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4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Wells Fargo Securities</w:t>
            </w:r>
          </w:p>
        </w:tc>
      </w:tr>
    </w:tbl>
    <w:p>
      <w:pPr>
        <w:spacing w:after="0" w:line="114" w:lineRule="exact"/>
        <w:rPr>
          <w:sz w:val="24"/>
          <w:szCs w:val="24"/>
          <w:color w:val="auto"/>
        </w:rPr>
      </w:pPr>
    </w:p>
    <w:p>
      <w:pPr>
        <w:sectPr>
          <w:pgSz w:w="11900" w:h="16838" w:orient="portrait"/>
          <w:cols w:equalWidth="0" w:num="1">
            <w:col w:w="11140"/>
          </w:cols>
          <w:pgMar w:left="320" w:top="226" w:right="439" w:bottom="1440" w:gutter="0" w:footer="0" w:header="0"/>
        </w:sectPr>
      </w:pPr>
    </w:p>
    <w:p>
      <w:pPr>
        <w:jc w:val="center"/>
        <w:ind w:right="-1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The date of this prospectus supplement is April</w:t>
        <w:tab/>
        <w:t>, 2023.</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5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020" w:type="dxa"/>
            <w:vAlign w:val="bottom"/>
            <w:gridSpan w:val="11"/>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40" w:type="dxa"/>
            <w:vAlign w:val="bottom"/>
            <w:tcBorders>
              <w:bottom w:val="single" w:sz="8" w:color="0000EE"/>
            </w:tcBorders>
            <w:gridSpan w:val="14"/>
            <w:vMerge w:val="continue"/>
          </w:tcPr>
          <w:p>
            <w:pPr>
              <w:spacing w:after="0"/>
              <w:rPr>
                <w:sz w:val="13"/>
                <w:szCs w:val="13"/>
                <w:color w:val="auto"/>
              </w:rPr>
            </w:pPr>
          </w:p>
        </w:tc>
        <w:tc>
          <w:tcPr>
            <w:tcW w:w="8020" w:type="dxa"/>
            <w:vAlign w:val="bottom"/>
            <w:gridSpan w:val="11"/>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6400" w:type="dxa"/>
            <w:vAlign w:val="bottom"/>
            <w:gridSpan w:val="3"/>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Summary</w:t>
            </w:r>
          </w:p>
        </w:tc>
        <w:tc>
          <w:tcPr>
            <w:tcW w:w="9800" w:type="dxa"/>
            <w:vAlign w:val="bottom"/>
            <w:gridSpan w:val="24"/>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140" w:type="dxa"/>
            <w:vAlign w:val="bottom"/>
            <w:tcBorders>
              <w:top w:val="single" w:sz="8" w:color="0000EE"/>
            </w:tcBorders>
          </w:tcPr>
          <w:p>
            <w:pPr>
              <w:spacing w:after="0"/>
              <w:rPr>
                <w:sz w:val="17"/>
                <w:szCs w:val="17"/>
                <w:color w:val="auto"/>
              </w:rPr>
            </w:pPr>
          </w:p>
        </w:tc>
        <w:tc>
          <w:tcPr>
            <w:tcW w:w="940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Notes</w:t>
            </w:r>
          </w:p>
        </w:tc>
        <w:tc>
          <w:tcPr>
            <w:tcW w:w="906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64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800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S-41</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S-41</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708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S-42</w:t>
            </w:r>
          </w:p>
        </w:tc>
        <w:tc>
          <w:tcPr>
            <w:tcW w:w="0" w:type="dxa"/>
            <w:vAlign w:val="bottom"/>
          </w:tcPr>
          <w:p>
            <w:pPr>
              <w:spacing w:after="0"/>
              <w:rPr>
                <w:sz w:val="1"/>
                <w:szCs w:val="1"/>
                <w:color w:val="auto"/>
              </w:rPr>
            </w:pPr>
          </w:p>
        </w:tc>
      </w:tr>
      <w:tr>
        <w:trPr>
          <w:trHeight w:val="196"/>
        </w:trPr>
        <w:tc>
          <w:tcPr>
            <w:tcW w:w="32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732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S-42</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560" w:type="dxa"/>
            <w:vAlign w:val="bottom"/>
            <w:gridSpan w:val="25"/>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28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766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INFORMATION INCORPORATED BY REFERENCE .</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940" w:type="dxa"/>
            <w:vAlign w:val="bottom"/>
            <w:tcBorders>
              <w:top w:val="single" w:sz="8" w:color="0000EE"/>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the notes we are offering and other matters relating to us. The second part is the accompanying prospectus, which provides more general information about the securities we may offer from time to time, some of which may not apply to this offering of notes.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headings “Where You Can Find Additional Information” in this prospectus supplement and “Where You Can Find More Information and Information Incorporated by Reference” in the accompanying prospectus before making an investment decision.</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3"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We have not, and the underwriters have not, authorized any person to provide you with any information or to make any representation other than as contained in this prospectus supplement, the accompanying prospectus and any free writing prospectus to which we have referred you and the information incorporated by reference in such documents. We and the underwriters do not take any responsibility for, and can provide no assurance as to the reliability of, any information that others may provide you. The information appearing or incorporated by reference in this prospectus supplement, the accompanying prospectus and any free writing prospectus to which we have referred you is accurate only as of the date of this prospectus supplement, the accompanying prospectus or any such free writing prospectus or the date of the document in which incorporated information appears unless otherwise noted in such documents. Our business, financial condition, results of operations and prospects may have changed since those dates.</w:t>
      </w:r>
    </w:p>
    <w:p>
      <w:pPr>
        <w:spacing w:after="0" w:line="17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indicated or unless the context otherwise requires, all references in this prospectus supplement to “Take-Two,” the “Company,” “we,” “us,” and “our” refer to Take-Two Interactive Software, Inc. and its subsidiaries. References to “securities” include any security that we might offer under this prospectus supplement and the accompanying prospectus. References to “$” and “dollars” are to United States dollars. References to “GAAP” are to accounting principles generally accepted in the United States.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Some of the market and industry data contained or incorporated by reference in this prospectus supplement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supplement, and beliefs and estimates based on such data, may not be reliable.</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distribution of this prospectus supplement, the accompanying prospectus and any free writing prospectus to which we have referred you and the offering of the notes in certain jurisdictions may be restricted by law. We are not, and the underwriters are not, making an offer of the notes in any jurisdiction where the offer or sale is not permitted. Persons who come into possession of this prospectus supplement, the accompanying prospectus and any free writing prospectus to which we have referred you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contain forward-looking statements. The statements contained herein and therein, which are not historical facts, including statements relating to our acquisition (the “Zynga Acquisition”) of Zynga Inc. (“Zynga”),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as the situation with the pandemic continues to evolve; the impact of changes in interest rates by the Federal Reserve and other central banks, including on our short-term investment portfolio; the impact of inflation; volatility in foreign currency exchange rates; risks that the Zynga Acquisition disrupts our plans and operations; the ability of the company to retain key personnel subsequent to the Zynga Acquisition; the ability to realize the benefits of the Zynga Acquisition, including Net Bookings opportunities and cost synergies; the ability to successfully integrate Zynga’s business with Take-Two’s business or to integrate the businesses within the anticipated timeframe; the outcome of any legal proceedings that may be instituted against Take-Two, Zynga or others related to the Zynga Acquisition; the amount of the costs, fees, expenses and charges related to the Zynga Acquisition; other risks included herein; as well as, but not limited to, the risks and uncertainties discussed under the heading “Risk Factors” beginning on page S-5, and are contained in our Annual Report on Form 10-K for the fiscal year ended March 31, 2022 and subsequently filed Quarterly Reports on Form 10-Q, in the section entitled “Risk Factors,” and our other periodic filings with the SEC, which can be accessed at www.sec.gov.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61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below is a summary of the more detailed information included elsewhere or incorporated by reference in this prospectus supplement and the accompanying prospectus. You should read carefully the following summary together with the more detailed information contained in this prospectus supplement, including the “Risk Factors” section beginning on page S-5 of this prospectus supplement, the accompanying prospectus and the information incorporated by reference herein and therein, including the “Risk Factors” sections in our periodic reports that we file with the SEC. This summary is not complete and does not contain all of the information you should consider before purchasing the notes.</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and publish products principally through Rockstar Games, 2K, Private Division, and Zynga. Our products are currently designed for console gaming systems, PC, and Mobile including smartphones and tablets. We deliver our products through physical retail, digital download, online platforms, and cloud streaming services.</w:t>
      </w:r>
    </w:p>
    <w:p>
      <w:pPr>
        <w:spacing w:after="0" w:line="180" w:lineRule="exact"/>
        <w:rPr>
          <w:sz w:val="20"/>
          <w:szCs w:val="20"/>
          <w:color w:val="auto"/>
        </w:rPr>
      </w:pPr>
    </w:p>
    <w:p>
      <w:pPr>
        <w:ind w:left="300" w:right="60"/>
        <w:spacing w:after="0" w:line="253" w:lineRule="auto"/>
        <w:rPr>
          <w:sz w:val="20"/>
          <w:szCs w:val="20"/>
          <w:color w:val="auto"/>
        </w:rPr>
      </w:pPr>
      <w:r>
        <w:rPr>
          <w:rFonts w:ascii="Times New Roman" w:cs="Times New Roman" w:eastAsia="Times New Roman" w:hAnsi="Times New Roman"/>
          <w:sz w:val="18"/>
          <w:szCs w:val="18"/>
          <w:color w:val="auto"/>
        </w:rPr>
        <w:t>Our strategy is to be the most creative, innovative, and efficient company in our industry. Our ambition is to capitalize on the popularity of video games by creating high quality, engaging interactive entertainment franchises and delivering them across an array of platforms to captivate our global audience. We focus on building compelling entertainment franchises by publishing a select number of titles for which we can create sequels and incremental revenue opportunities through virtual currency, add-on content, in-game purchases, and in-game advertising.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90"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1993 and are headquartered at 110 West 44th Street, New York, New York 10036. Our telephone number is (646) 536-2842 and our website address is www.take2games.com. Our website and the information contained therein or connected thereto are not intended to be incorporated into this prospectus.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110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71107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A more detailed description of the terms and conditions of the notes is contained under the heading “Description of Notes” in this prospectus supplement and under the heading “Description of the Debt Securities” in the accompanying prospectus. As used in this section, “we,” “our,” and “us” refer to Take-Two Interactive Software, Inc. and not to its consolidated subsidiaries.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4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Take-Two Interactive Software, Inc.</w:t>
            </w: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7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w:t>
            </w:r>
          </w:p>
        </w:tc>
        <w:tc>
          <w:tcPr>
            <w:tcW w:w="13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46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principal amount of notes, consisting of:</w:t>
            </w:r>
          </w:p>
        </w:tc>
        <w:tc>
          <w:tcPr>
            <w:tcW w:w="1220" w:type="dxa"/>
            <w:vAlign w:val="bottom"/>
          </w:tcPr>
          <w:p>
            <w:pPr>
              <w:spacing w:after="0"/>
              <w:rPr>
                <w:sz w:val="24"/>
                <w:szCs w:val="24"/>
                <w:color w:val="auto"/>
              </w:rPr>
            </w:pPr>
          </w:p>
        </w:tc>
      </w:tr>
      <w:tr>
        <w:trPr>
          <w:trHeight w:val="351"/>
        </w:trPr>
        <w:tc>
          <w:tcPr>
            <w:tcW w:w="2860" w:type="dxa"/>
            <w:vAlign w:val="bottom"/>
          </w:tcPr>
          <w:p>
            <w:pPr>
              <w:spacing w:after="0"/>
              <w:rPr>
                <w:sz w:val="24"/>
                <w:szCs w:val="24"/>
                <w:color w:val="auto"/>
              </w:rPr>
            </w:pPr>
          </w:p>
        </w:tc>
        <w:tc>
          <w:tcPr>
            <w:tcW w:w="13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aggregate principal amount of</w:t>
            </w: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Senior Notes due 20  ; and</w:t>
            </w:r>
          </w:p>
        </w:tc>
      </w:tr>
      <w:tr>
        <w:trPr>
          <w:trHeight w:val="338"/>
        </w:trPr>
        <w:tc>
          <w:tcPr>
            <w:tcW w:w="2860" w:type="dxa"/>
            <w:vAlign w:val="bottom"/>
          </w:tcPr>
          <w:p>
            <w:pPr>
              <w:spacing w:after="0"/>
              <w:rPr>
                <w:sz w:val="24"/>
                <w:szCs w:val="24"/>
                <w:color w:val="auto"/>
              </w:rPr>
            </w:pPr>
          </w:p>
        </w:tc>
        <w:tc>
          <w:tcPr>
            <w:tcW w:w="13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aggregate principal amount of</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Notes due 20  .</w:t>
            </w:r>
          </w:p>
        </w:tc>
        <w:tc>
          <w:tcPr>
            <w:tcW w:w="1220" w:type="dxa"/>
            <w:vAlign w:val="bottom"/>
          </w:tcPr>
          <w:p>
            <w:pPr>
              <w:spacing w:after="0"/>
              <w:rPr>
                <w:sz w:val="24"/>
                <w:szCs w:val="24"/>
                <w:color w:val="auto"/>
              </w:rPr>
            </w:pPr>
          </w:p>
        </w:tc>
      </w:tr>
      <w:tr>
        <w:trPr>
          <w:trHeight w:val="44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Dates</w:t>
            </w:r>
          </w:p>
        </w:tc>
        <w:tc>
          <w:tcPr>
            <w:tcW w:w="17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The 20</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 will mature 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the 20   notes will mature on</w:t>
            </w:r>
          </w:p>
        </w:tc>
      </w:tr>
      <w:tr>
        <w:trPr>
          <w:trHeight w:val="234"/>
        </w:trPr>
        <w:tc>
          <w:tcPr>
            <w:tcW w:w="2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20</w:t>
            </w:r>
          </w:p>
        </w:tc>
        <w:tc>
          <w:tcPr>
            <w:tcW w:w="3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unless earlier redeemed or repurchased.</w:t>
            </w:r>
          </w:p>
        </w:tc>
        <w:tc>
          <w:tcPr>
            <w:tcW w:w="1220" w:type="dxa"/>
            <w:vAlign w:val="bottom"/>
          </w:tcPr>
          <w:p>
            <w:pPr>
              <w:spacing w:after="0"/>
              <w:rPr>
                <w:sz w:val="20"/>
                <w:szCs w:val="20"/>
                <w:color w:val="auto"/>
              </w:rPr>
            </w:pPr>
          </w:p>
        </w:tc>
      </w:tr>
      <w:tr>
        <w:trPr>
          <w:trHeight w:val="44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7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The 20</w:t>
            </w:r>
          </w:p>
        </w:tc>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notes will bear interest at a rate of</w:t>
            </w:r>
          </w:p>
        </w:tc>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per annum and the 20</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will bear</w:t>
            </w:r>
          </w:p>
        </w:tc>
      </w:tr>
      <w:tr>
        <w:trPr>
          <w:trHeight w:val="234"/>
        </w:trPr>
        <w:tc>
          <w:tcPr>
            <w:tcW w:w="2860" w:type="dxa"/>
            <w:vAlign w:val="bottom"/>
          </w:tcPr>
          <w:p>
            <w:pPr>
              <w:spacing w:after="0"/>
              <w:rPr>
                <w:sz w:val="20"/>
                <w:szCs w:val="20"/>
                <w:color w:val="auto"/>
              </w:rPr>
            </w:pPr>
          </w:p>
        </w:tc>
        <w:tc>
          <w:tcPr>
            <w:tcW w:w="26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interest at a rate of</w:t>
            </w:r>
          </w:p>
        </w:tc>
        <w:tc>
          <w:tcPr>
            <w:tcW w:w="17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per annum.</w:t>
            </w: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44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rPr>
              <w:t>Interest on the notes will be payable semi-annually in arrears on each</w:t>
            </w: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w:t>
            </w:r>
          </w:p>
        </w:tc>
      </w:tr>
      <w:tr>
        <w:trPr>
          <w:trHeight w:val="234"/>
        </w:trPr>
        <w:tc>
          <w:tcPr>
            <w:tcW w:w="2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beginning on</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2023.</w:t>
            </w: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7660" w:type="dxa"/>
            <w:vAlign w:val="bottom"/>
            <w:gridSpan w:val="7"/>
          </w:tcPr>
          <w:p>
            <w:pPr>
              <w:ind w:left="1180"/>
              <w:spacing w:after="0"/>
              <w:rPr>
                <w:sz w:val="20"/>
                <w:szCs w:val="20"/>
                <w:color w:val="auto"/>
              </w:rPr>
            </w:pPr>
            <w:r>
              <w:rPr>
                <w:rFonts w:ascii="Times New Roman" w:cs="Times New Roman" w:eastAsia="Times New Roman" w:hAnsi="Times New Roman"/>
                <w:sz w:val="18"/>
                <w:szCs w:val="18"/>
                <w:color w:val="auto"/>
                <w:w w:val="99"/>
              </w:rPr>
              <w:t>The notes will be our senior unsecured obligations and will rank equally with all our other</w:t>
            </w:r>
          </w:p>
        </w:tc>
      </w:tr>
      <w:tr>
        <w:trPr>
          <w:trHeight w:val="234"/>
        </w:trPr>
        <w:tc>
          <w:tcPr>
            <w:tcW w:w="2860" w:type="dxa"/>
            <w:vAlign w:val="bottom"/>
          </w:tcPr>
          <w:p>
            <w:pPr>
              <w:spacing w:after="0"/>
              <w:rPr>
                <w:sz w:val="20"/>
                <w:szCs w:val="20"/>
                <w:color w:val="auto"/>
              </w:rPr>
            </w:pPr>
          </w:p>
        </w:tc>
        <w:tc>
          <w:tcPr>
            <w:tcW w:w="7660" w:type="dxa"/>
            <w:vAlign w:val="bottom"/>
            <w:gridSpan w:val="7"/>
          </w:tcPr>
          <w:p>
            <w:pPr>
              <w:ind w:left="1180"/>
              <w:spacing w:after="0"/>
              <w:rPr>
                <w:sz w:val="20"/>
                <w:szCs w:val="20"/>
                <w:color w:val="auto"/>
              </w:rPr>
            </w:pPr>
            <w:r>
              <w:rPr>
                <w:rFonts w:ascii="Times New Roman" w:cs="Times New Roman" w:eastAsia="Times New Roman" w:hAnsi="Times New Roman"/>
                <w:sz w:val="18"/>
                <w:szCs w:val="18"/>
                <w:color w:val="auto"/>
              </w:rPr>
              <w:t>existing and future unsubordinated obligations, including our 3.300% Senior Notes due</w:t>
            </w:r>
          </w:p>
        </w:tc>
      </w:tr>
    </w:tbl>
    <w:p>
      <w:pPr>
        <w:ind w:left="4340" w:right="140"/>
        <w:spacing w:after="0" w:line="265" w:lineRule="auto"/>
        <w:rPr>
          <w:sz w:val="20"/>
          <w:szCs w:val="20"/>
          <w:color w:val="auto"/>
        </w:rPr>
      </w:pPr>
      <w:r>
        <w:rPr>
          <w:rFonts w:ascii="Times New Roman" w:cs="Times New Roman" w:eastAsia="Times New Roman" w:hAnsi="Times New Roman"/>
          <w:sz w:val="17"/>
          <w:szCs w:val="17"/>
          <w:color w:val="auto"/>
        </w:rPr>
        <w:t>2024, 3.550% Senior Notes due 2025, 3.700% Senior Notes due 2027 and 4.000% Senior Notes due 2032 (collectively, the “Existing Notes”), Take-Two’s guarantees of Zynga’s</w:t>
      </w:r>
    </w:p>
    <w:p>
      <w:pPr>
        <w:ind w:left="4340" w:right="40"/>
        <w:spacing w:after="0" w:line="251" w:lineRule="auto"/>
        <w:rPr>
          <w:sz w:val="20"/>
          <w:szCs w:val="20"/>
          <w:color w:val="auto"/>
        </w:rPr>
      </w:pPr>
      <w:r>
        <w:rPr>
          <w:rFonts w:ascii="Times New Roman" w:cs="Times New Roman" w:eastAsia="Times New Roman" w:hAnsi="Times New Roman"/>
          <w:sz w:val="18"/>
          <w:szCs w:val="18"/>
          <w:color w:val="auto"/>
        </w:rPr>
        <w:t>0.25% Convertible Senior Notes due 2024 and 0% Convertible Senior Notes due 2026 (the “Zynga Convertible Notes”), the indebtedness under our unsecured 364-Day Term Loan Credit Agreement (the “Term Loan”) (which, as described under “Use of Proceeds,” we intend to repay at or prior to maturity in June 2023 using the proceeds of this offering) and any indebtedness we may incur from time to time under the revolving credit facility under our unsecured credit agreement (the “2022 Credit Agreement”). The notes will be effectively subordinated to all of our existing and future secured indebtedness to the extent of the assets securing such indebtedness and structurally subordinated to the indebtedness and liabilities of our subsidiaries.</w:t>
      </w:r>
    </w:p>
    <w:p>
      <w:pPr>
        <w:spacing w:after="0" w:line="220" w:lineRule="exact"/>
        <w:rPr>
          <w:sz w:val="20"/>
          <w:szCs w:val="20"/>
          <w:color w:val="auto"/>
        </w:rPr>
      </w:pPr>
    </w:p>
    <w:p>
      <w:pPr>
        <w:ind w:left="4340"/>
        <w:spacing w:after="0" w:line="253" w:lineRule="auto"/>
        <w:rPr>
          <w:sz w:val="20"/>
          <w:szCs w:val="20"/>
          <w:color w:val="auto"/>
        </w:rPr>
      </w:pPr>
      <w:r>
        <w:rPr>
          <w:rFonts w:ascii="Times New Roman" w:cs="Times New Roman" w:eastAsia="Times New Roman" w:hAnsi="Times New Roman"/>
          <w:sz w:val="18"/>
          <w:szCs w:val="18"/>
          <w:color w:val="auto"/>
        </w:rPr>
        <w:t>As of December 31, 2022, on an unconsolidated basis, Take-Two had $3.1 billion of indebtedness for borrowed money outstanding (including our Existing Notes, our guarantees of the Zynga Convertible Notes and the Term Loan) and $2.8 million face amount of letters of credit outstanding, none of which was secured. As of December 31, 2022, our subsidiaries had $51.4 million of indebtedness for borrowed money outstanding (representing the Zynga Convertible Notes) and $3.1 billion of other liabilities (including trade payables, but excluding intercompany obligations, deferred revenue and liabilities of a type not required to be reflected on a balance sheet of such subsidiaries in accordance with GAAP as in effect in the jurisdiction of incorporation of such subsidiary) to which the notes would have been structurally subordinated. After giving effect to this offering and the application of the net proceeds therefrom as described in “Use of Proceeds”, on an unconsolidated basis,</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93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Take-Two would have had approximately $</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billion of outstanding indebtedness as</w:t>
            </w:r>
          </w:p>
        </w:tc>
      </w:tr>
      <w:tr>
        <w:trPr>
          <w:trHeight w:val="234"/>
        </w:trPr>
        <w:tc>
          <w:tcPr>
            <w:tcW w:w="3360" w:type="dxa"/>
            <w:vAlign w:val="bottom"/>
          </w:tcPr>
          <w:p>
            <w:pPr>
              <w:spacing w:after="0"/>
              <w:rPr>
                <w:sz w:val="20"/>
                <w:szCs w:val="20"/>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of December 31, 2022, none of which would have been secured indebtedness.</w:t>
            </w:r>
          </w:p>
        </w:tc>
      </w:tr>
      <w:tr>
        <w:trPr>
          <w:trHeight w:val="45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9"/>
              </w:rPr>
              <w:t>We may redeem the notes of each series in whole at any time or in part from time to time at</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applicable redemption prices described under the heading “Description of Notes—</w:t>
            </w:r>
          </w:p>
        </w:tc>
      </w:tr>
      <w:tr>
        <w:trPr>
          <w:trHeight w:val="234"/>
        </w:trPr>
        <w:tc>
          <w:tcPr>
            <w:tcW w:w="3360" w:type="dxa"/>
            <w:vAlign w:val="bottom"/>
          </w:tcPr>
          <w:p>
            <w:pPr>
              <w:spacing w:after="0"/>
              <w:rPr>
                <w:sz w:val="20"/>
                <w:szCs w:val="20"/>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Optional Redemption.”</w:t>
            </w:r>
          </w:p>
        </w:tc>
        <w:tc>
          <w:tcPr>
            <w:tcW w:w="2900" w:type="dxa"/>
            <w:vAlign w:val="bottom"/>
          </w:tcPr>
          <w:p>
            <w:pPr>
              <w:spacing w:after="0"/>
              <w:rPr>
                <w:sz w:val="20"/>
                <w:szCs w:val="20"/>
                <w:color w:val="auto"/>
              </w:rPr>
            </w:pPr>
          </w:p>
        </w:tc>
      </w:tr>
      <w:tr>
        <w:trPr>
          <w:trHeight w:val="44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Repurchase Event</w:t>
            </w: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Upon the occurrence of a “change of control repurchase event,” as defined under</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“Description of Notes—Purchase of Notes upon a Change of Control Repurchase Event,”</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each holder will have the right to require us to repurchase all or any part of that holder’s</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notes at a price equal to 101% of the aggregate principal amount of the notes to be</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repurchased plus any accrued and unpaid interest on such notes to, but excluding, the</w:t>
            </w:r>
          </w:p>
        </w:tc>
      </w:tr>
      <w:tr>
        <w:trPr>
          <w:trHeight w:val="234"/>
        </w:trPr>
        <w:tc>
          <w:tcPr>
            <w:tcW w:w="3360" w:type="dxa"/>
            <w:vAlign w:val="bottom"/>
          </w:tcPr>
          <w:p>
            <w:pPr>
              <w:spacing w:after="0"/>
              <w:rPr>
                <w:sz w:val="20"/>
                <w:szCs w:val="20"/>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repurchase date.</w:t>
            </w:r>
          </w:p>
        </w:tc>
        <w:tc>
          <w:tcPr>
            <w:tcW w:w="2900" w:type="dxa"/>
            <w:vAlign w:val="bottom"/>
          </w:tcPr>
          <w:p>
            <w:pPr>
              <w:spacing w:after="0"/>
              <w:rPr>
                <w:sz w:val="20"/>
                <w:szCs w:val="20"/>
                <w:color w:val="auto"/>
              </w:rPr>
            </w:pPr>
          </w:p>
        </w:tc>
      </w:tr>
      <w:tr>
        <w:trPr>
          <w:trHeight w:val="44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Certain Covenants</w:t>
            </w: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indenture governing the notes will contain covenants limiting our ability and the</w:t>
            </w:r>
          </w:p>
        </w:tc>
      </w:tr>
      <w:tr>
        <w:trPr>
          <w:trHeight w:val="234"/>
        </w:trPr>
        <w:tc>
          <w:tcPr>
            <w:tcW w:w="3360" w:type="dxa"/>
            <w:vAlign w:val="bottom"/>
          </w:tcPr>
          <w:p>
            <w:pPr>
              <w:spacing w:after="0"/>
              <w:rPr>
                <w:sz w:val="20"/>
                <w:szCs w:val="20"/>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ability of our subsidiaries to:</w:t>
            </w:r>
          </w:p>
        </w:tc>
        <w:tc>
          <w:tcPr>
            <w:tcW w:w="2900" w:type="dxa"/>
            <w:vAlign w:val="bottom"/>
          </w:tcPr>
          <w:p>
            <w:pPr>
              <w:spacing w:after="0"/>
              <w:rPr>
                <w:sz w:val="20"/>
                <w:szCs w:val="20"/>
                <w:color w:val="auto"/>
              </w:rPr>
            </w:pPr>
          </w:p>
        </w:tc>
      </w:tr>
      <w:tr>
        <w:trPr>
          <w:trHeight w:val="338"/>
        </w:trPr>
        <w:tc>
          <w:tcPr>
            <w:tcW w:w="3360" w:type="dxa"/>
            <w:vAlign w:val="bottom"/>
          </w:tcPr>
          <w:p>
            <w:pPr>
              <w:spacing w:after="0"/>
              <w:rPr>
                <w:sz w:val="24"/>
                <w:szCs w:val="24"/>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create certain liens;</w:t>
            </w:r>
          </w:p>
        </w:tc>
        <w:tc>
          <w:tcPr>
            <w:tcW w:w="2900" w:type="dxa"/>
            <w:vAlign w:val="bottom"/>
          </w:tcPr>
          <w:p>
            <w:pPr>
              <w:spacing w:after="0"/>
              <w:rPr>
                <w:sz w:val="24"/>
                <w:szCs w:val="24"/>
                <w:color w:val="auto"/>
              </w:rPr>
            </w:pPr>
          </w:p>
        </w:tc>
      </w:tr>
      <w:tr>
        <w:trPr>
          <w:trHeight w:val="338"/>
        </w:trPr>
        <w:tc>
          <w:tcPr>
            <w:tcW w:w="3360" w:type="dxa"/>
            <w:vAlign w:val="bottom"/>
          </w:tcPr>
          <w:p>
            <w:pPr>
              <w:spacing w:after="0"/>
              <w:rPr>
                <w:sz w:val="24"/>
                <w:szCs w:val="24"/>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enter into certain sale and leaseback transactions; and</w:t>
            </w:r>
          </w:p>
        </w:tc>
      </w:tr>
      <w:tr>
        <w:trPr>
          <w:trHeight w:val="319"/>
        </w:trPr>
        <w:tc>
          <w:tcPr>
            <w:tcW w:w="3360" w:type="dxa"/>
            <w:vAlign w:val="bottom"/>
          </w:tcPr>
          <w:p>
            <w:pPr>
              <w:spacing w:after="0"/>
              <w:rPr>
                <w:sz w:val="24"/>
                <w:szCs w:val="24"/>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consolidate or merge with, or convey, transfer or lease all or substantially all our assets</w:t>
            </w:r>
          </w:p>
        </w:tc>
      </w:tr>
      <w:tr>
        <w:trPr>
          <w:trHeight w:val="234"/>
        </w:trPr>
        <w:tc>
          <w:tcPr>
            <w:tcW w:w="336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 another person.</w:t>
            </w:r>
          </w:p>
        </w:tc>
        <w:tc>
          <w:tcPr>
            <w:tcW w:w="2900" w:type="dxa"/>
            <w:vAlign w:val="bottom"/>
          </w:tcPr>
          <w:p>
            <w:pPr>
              <w:spacing w:after="0"/>
              <w:rPr>
                <w:sz w:val="20"/>
                <w:szCs w:val="20"/>
                <w:color w:val="auto"/>
              </w:rPr>
            </w:pPr>
          </w:p>
        </w:tc>
      </w:tr>
      <w:tr>
        <w:trPr>
          <w:trHeight w:val="441"/>
        </w:trPr>
        <w:tc>
          <w:tcPr>
            <w:tcW w:w="3360" w:type="dxa"/>
            <w:vAlign w:val="bottom"/>
          </w:tcPr>
          <w:p>
            <w:pPr>
              <w:spacing w:after="0"/>
              <w:rPr>
                <w:sz w:val="24"/>
                <w:szCs w:val="24"/>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However, each of these covenants will be subject to a number of significant qualifications</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and exceptions. You should read “Description of Notes—Certain Covenants” in this</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prospectus supplement and “Description of the Debt Securities—Covenants” and</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“Description of the Debt Securities—Merger, Consolidation or Sale of Assets” in the</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accompanying prospectus for a description of these covenants. Exceptions to these</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covenants will allow us and our subsidiaries to incur liens with respect to certain of our</w:t>
            </w:r>
          </w:p>
        </w:tc>
      </w:tr>
      <w:tr>
        <w:trPr>
          <w:trHeight w:val="234"/>
        </w:trPr>
        <w:tc>
          <w:tcPr>
            <w:tcW w:w="3360" w:type="dxa"/>
            <w:vAlign w:val="bottom"/>
          </w:tcPr>
          <w:p>
            <w:pPr>
              <w:spacing w:after="0"/>
              <w:rPr>
                <w:sz w:val="20"/>
                <w:szCs w:val="20"/>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assets.</w:t>
            </w:r>
          </w:p>
        </w:tc>
        <w:tc>
          <w:tcPr>
            <w:tcW w:w="2900" w:type="dxa"/>
            <w:vAlign w:val="bottom"/>
          </w:tcPr>
          <w:p>
            <w:pPr>
              <w:spacing w:after="0"/>
              <w:rPr>
                <w:sz w:val="20"/>
                <w:szCs w:val="20"/>
                <w:color w:val="auto"/>
              </w:rPr>
            </w:pPr>
          </w:p>
        </w:tc>
      </w:tr>
      <w:tr>
        <w:trPr>
          <w:trHeight w:val="44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repay in full our Term Loan, which</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9"/>
              </w:rPr>
              <w:t>has a principal balance of $350.0 million as of December 31, 2022 and matures on June 21,</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2023, and the remainder for general corporate purposes, including the repurchase or</w:t>
            </w:r>
          </w:p>
        </w:tc>
      </w:tr>
      <w:tr>
        <w:trPr>
          <w:trHeight w:val="234"/>
        </w:trPr>
        <w:tc>
          <w:tcPr>
            <w:tcW w:w="3360" w:type="dxa"/>
            <w:vAlign w:val="bottom"/>
          </w:tcPr>
          <w:p>
            <w:pPr>
              <w:spacing w:after="0"/>
              <w:rPr>
                <w:sz w:val="20"/>
                <w:szCs w:val="20"/>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retirement of our other outstanding indebtedness.</w:t>
            </w:r>
          </w:p>
        </w:tc>
        <w:tc>
          <w:tcPr>
            <w:tcW w:w="2900" w:type="dxa"/>
            <w:vAlign w:val="bottom"/>
          </w:tcPr>
          <w:p>
            <w:pPr>
              <w:spacing w:after="0"/>
              <w:rPr>
                <w:sz w:val="20"/>
                <w:szCs w:val="20"/>
                <w:color w:val="auto"/>
              </w:rPr>
            </w:pPr>
          </w:p>
        </w:tc>
      </w:tr>
      <w:tr>
        <w:trPr>
          <w:trHeight w:val="44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notes will be issued in minimum denominations of $2,000 and multiples of $1,000 in</w:t>
            </w:r>
          </w:p>
        </w:tc>
      </w:tr>
      <w:tr>
        <w:trPr>
          <w:trHeight w:val="234"/>
        </w:trPr>
        <w:tc>
          <w:tcPr>
            <w:tcW w:w="3360" w:type="dxa"/>
            <w:vAlign w:val="bottom"/>
          </w:tcPr>
          <w:p>
            <w:pPr>
              <w:spacing w:after="0"/>
              <w:rPr>
                <w:sz w:val="20"/>
                <w:szCs w:val="20"/>
                <w:color w:val="auto"/>
              </w:rPr>
            </w:pPr>
          </w:p>
        </w:tc>
        <w:tc>
          <w:tcPr>
            <w:tcW w:w="4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excess thereof.</w:t>
            </w:r>
          </w:p>
        </w:tc>
        <w:tc>
          <w:tcPr>
            <w:tcW w:w="2900" w:type="dxa"/>
            <w:vAlign w:val="bottom"/>
          </w:tcPr>
          <w:p>
            <w:pPr>
              <w:spacing w:after="0"/>
              <w:rPr>
                <w:sz w:val="20"/>
                <w:szCs w:val="20"/>
                <w:color w:val="auto"/>
              </w:rPr>
            </w:pPr>
          </w:p>
        </w:tc>
      </w:tr>
      <w:tr>
        <w:trPr>
          <w:trHeight w:val="44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Form of Notes</w:t>
            </w: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We will issue the notes in the form of one or more fully registered global notes registered</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 the name of the nominee of The Depository Trust Company (“DTC”). Investors may</w:t>
            </w:r>
          </w:p>
        </w:tc>
      </w:tr>
      <w:tr>
        <w:trPr>
          <w:trHeight w:val="216"/>
        </w:trPr>
        <w:tc>
          <w:tcPr>
            <w:tcW w:w="3360" w:type="dxa"/>
            <w:vAlign w:val="bottom"/>
          </w:tcPr>
          <w:p>
            <w:pPr>
              <w:spacing w:after="0"/>
              <w:rPr>
                <w:sz w:val="18"/>
                <w:szCs w:val="18"/>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elect to hold the interests in the global notes through any of DTC, the Euroclear System or</w:t>
            </w:r>
          </w:p>
        </w:tc>
      </w:tr>
      <w:tr>
        <w:trPr>
          <w:trHeight w:val="234"/>
        </w:trPr>
        <w:tc>
          <w:tcPr>
            <w:tcW w:w="3360" w:type="dxa"/>
            <w:vAlign w:val="bottom"/>
          </w:tcPr>
          <w:p>
            <w:pPr>
              <w:spacing w:after="0"/>
              <w:rPr>
                <w:sz w:val="20"/>
                <w:szCs w:val="20"/>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Clearstream Banking, S.A., as described under “Description of Notes—Book-Entry;</w:t>
            </w:r>
          </w:p>
        </w:tc>
      </w:tr>
    </w:tbl>
    <w:p>
      <w:pPr>
        <w:ind w:left="4340" w:right="20"/>
        <w:spacing w:after="0" w:line="260" w:lineRule="auto"/>
        <w:rPr>
          <w:sz w:val="20"/>
          <w:szCs w:val="20"/>
          <w:color w:val="auto"/>
        </w:rPr>
      </w:pPr>
      <w:r>
        <w:rPr>
          <w:rFonts w:ascii="Times New Roman" w:cs="Times New Roman" w:eastAsia="Times New Roman" w:hAnsi="Times New Roman"/>
          <w:sz w:val="18"/>
          <w:szCs w:val="18"/>
          <w:color w:val="auto"/>
        </w:rPr>
        <w:t>Delivery and Form; Global Notes” and “Description of Notes—Euroclear and Clearstream, Luxembourg” in this prospectus supplement.</w:t>
      </w: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6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736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We may, without the consent of existing holders, create and issue additional notes of any</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series having the same terms as, and ranking equally with, the notes of the corresponding</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series (except for the issue date and, if applicable, the payment of interest accruing prior to</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the issue date of such additional notes and the first payment of interest following the issue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date of such additional notes). Such additional notes may be consolidated and form a single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series with the notes of the corresponding series; provided that if the additional notes are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not fungible with the outstanding notes of the applicable series offered hereby for U.S.</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federal income tax purposes, such additional notes will have one or more separate CUSIP</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numbers.</w:t>
            </w:r>
          </w:p>
        </w:tc>
      </w:tr>
      <w:tr>
        <w:trPr>
          <w:trHeight w:val="441"/>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Listing</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automated dealer quotation</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system. The notes will be new securities for which there currently is no public market. See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“Risk Factors—Risks Related to the Notes—There may not be active trading markets for</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the notes” in this prospectus supplement.</w:t>
            </w:r>
          </w:p>
        </w:tc>
      </w:tr>
      <w:tr>
        <w:trPr>
          <w:trHeight w:val="441"/>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Considerations</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You should consult your tax advisor with respect to the U.S. federal, state and local and</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foreign tax consequences of purchasing, owning and disposing of the notes. See “Certain</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United States Federal Income Tax Considerations” in this prospectus supplement.</w:t>
            </w:r>
          </w:p>
        </w:tc>
      </w:tr>
      <w:tr>
        <w:trPr>
          <w:trHeight w:val="459"/>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73"/>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New York law will govern the indenture and the notes.</w:t>
            </w:r>
          </w:p>
        </w:tc>
      </w:tr>
      <w:tr>
        <w:trPr>
          <w:trHeight w:val="454"/>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You should consider carefully all the information set forth and incorporated by reference in</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and, in particular, you should</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evaluate the specific factors set forth under the heading “Risk Factors” beginning on page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S-5 of this prospectus supplement and under the heading “Risk Factors” in our periodic</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reports that we file with the SEC, as well as the other information contained or</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the accompanying prospectus and</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any free writing prospectus to which we have referred you, before investing in any of the</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notes offered hereby.</w:t>
            </w:r>
          </w:p>
        </w:tc>
      </w:tr>
      <w:tr>
        <w:trPr>
          <w:trHeight w:val="441"/>
        </w:trPr>
        <w:tc>
          <w:tcPr>
            <w:tcW w:w="3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Because affiliates of J.P. Morgan Securities LLC and Wells Fargo Securities, LLC are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lenders under our Term Loan and each will receive 5% or more of the net proceeds of this</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offering due to the repayment of borrowings under our Term Loan, each of J.P. Morgan</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Securities LLC and Wells Fargo Securities, LLC are deemed to have a conflict of interest</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within the meaning of Rule 5121 of the Financial Industry Regulatory Authority, Inc.</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(“FINRA”). Accordingly, this offering will be conducted in accordance with FINRA Rule</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5121. The appointment of a “qualified independent underwriter” is not required in</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connection with this offering as the notes will be rated by one or more of the nationally</w:t>
            </w:r>
          </w:p>
        </w:tc>
      </w:tr>
      <w:tr>
        <w:trPr>
          <w:trHeight w:val="216"/>
        </w:trPr>
        <w:tc>
          <w:tcPr>
            <w:tcW w:w="36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recognized statistical rating organizations in one of the four highest generic rating</w:t>
            </w:r>
          </w:p>
        </w:tc>
      </w:tr>
      <w:tr>
        <w:trPr>
          <w:trHeight w:val="234"/>
        </w:trPr>
        <w:tc>
          <w:tcPr>
            <w:tcW w:w="3660" w:type="dxa"/>
            <w:vAlign w:val="bottom"/>
            <w:tcBorders>
              <w:left w:val="single" w:sz="8" w:color="auto"/>
            </w:tcBorders>
          </w:tcPr>
          <w:p>
            <w:pPr>
              <w:spacing w:after="0"/>
              <w:rPr>
                <w:sz w:val="20"/>
                <w:szCs w:val="20"/>
                <w:color w:val="auto"/>
              </w:rPr>
            </w:pPr>
          </w:p>
        </w:tc>
        <w:tc>
          <w:tcPr>
            <w:tcW w:w="7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categories. See “Underwriting (Conflicts of Interest)—Conflicts of Interest.”</w:t>
            </w:r>
          </w:p>
        </w:tc>
      </w:tr>
      <w:tr>
        <w:trPr>
          <w:trHeight w:val="159"/>
        </w:trPr>
        <w:tc>
          <w:tcPr>
            <w:tcW w:w="3660" w:type="dxa"/>
            <w:vAlign w:val="bottom"/>
            <w:tcBorders>
              <w:left w:val="single" w:sz="8" w:color="auto"/>
              <w:bottom w:val="single" w:sz="8" w:color="auto"/>
            </w:tcBorders>
          </w:tcPr>
          <w:p>
            <w:pPr>
              <w:spacing w:after="0"/>
              <w:rPr>
                <w:sz w:val="13"/>
                <w:szCs w:val="13"/>
                <w:color w:val="auto"/>
              </w:rPr>
            </w:pPr>
          </w:p>
        </w:tc>
        <w:tc>
          <w:tcPr>
            <w:tcW w:w="7360" w:type="dxa"/>
            <w:vAlign w:val="bottom"/>
            <w:tcBorders>
              <w:bottom w:val="single" w:sz="8" w:color="auto"/>
              <w:right w:val="single" w:sz="8" w:color="auto"/>
            </w:tcBorders>
          </w:tcPr>
          <w:p>
            <w:pPr>
              <w:spacing w:after="0"/>
              <w:rPr>
                <w:sz w:val="13"/>
                <w:szCs w:val="13"/>
                <w:color w:val="auto"/>
              </w:rPr>
            </w:pPr>
          </w:p>
        </w:tc>
      </w:tr>
      <w:tr>
        <w:trPr>
          <w:trHeight w:val="361"/>
        </w:trPr>
        <w:tc>
          <w:tcPr>
            <w:tcW w:w="3660" w:type="dxa"/>
            <w:vAlign w:val="bottom"/>
          </w:tcPr>
          <w:p>
            <w:pPr>
              <w:spacing w:after="0"/>
              <w:rPr>
                <w:sz w:val="24"/>
                <w:szCs w:val="24"/>
                <w:color w:val="auto"/>
              </w:rPr>
            </w:pPr>
          </w:p>
        </w:tc>
        <w:tc>
          <w:tcPr>
            <w:tcW w:w="73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notes involves certain risks. In addition to the other information contained in, or incorporated by reference into, this prospectus supplement and the accompanying prospectus, you should carefully consider the risk factors described in our Annual Report on Form 10-K for the fiscal year ended March 31, 2022 and subsequently filed Quarterly Reports on Form 10-Q, each of which is incorporated by reference herein, as those risk factors are amended or supplemented by the other reports and documents we file with the SEC after the date of this prospectus supplement, and the following discussion of risks, before deciding whether an investment in the notes is suitable for you.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w:t>
      </w:r>
    </w:p>
    <w:p>
      <w:pPr>
        <w:spacing w:after="0" w:line="12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The notes are our obligations exclusively and not the obligations of any of our subsidiaries. Our subsidiaries are separate legal entities that have no obligation to pay any amounts due under the notes or to make any funds available therefor, whether by dividends, loans or other payments. In addition, the indenture governing the notes will not restrict our subsidiaries from incurring unsecured indebtedness. Except to the extent we are a creditor with recognized claims against our subsidiaries, all claims of creditors (including trade creditors) of our subsidiaries will have priority with respect to the assets of such subsidiaries over our claims (and therefore the claims of our creditors, including holders of the notes). Consequently, the notes will be structurally subordinated to all indebtedness and other liabilities of our subsidiaries and any subsidiaries that we may in the future acquire or establish. As of December 31, 2022, our subsidiaries had $51.4 million of indebtedness for borrowed money outstanding (representing the Zynga Convertible Notes) and $3.1 billion of other liabilities (including trade payables, but excluding intercompany obligations, deferred revenue and liabilities of a type not required to be reflected on a balance sheet of such subsidiaries in accordance with GAAP as in effect in the jurisdiction of incorporation of such subsidiary).</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subject to prior claims of any secured creditors, and if a default occurs, we may not have sufficient funds to fulfill our obligations under the notes.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notes are our unsecured general obligations, ranking equally with all our other senior unsecured indebtedness, including our Existing Notes, our guarantees of the Zynga Convertible Notes, the Term Loan (which, as described under “Use of Proceeds,” we intend to repay at or prior to maturity on June 21, 2023 using the proceeds of this offering) and any indebtedness we may incur from time to time under our revolving credit facility under the 2022 Credit Agreement. The indenture governing the notes will permit us and our subsidiaries to incur additional indebtedness, including secured indebtedness. If we incur any secured indebtedness, our assets will be subject to prior claims by our secured creditors to the extent of the value of the assets securing such indebtedness. In the event of our bankruptcy, liquidation, reorganization or other winding up, assets that secure indebtedness will be available to pay obligations on the notes only after all indebtedness secured by those assets has been repaid in full. Holders of the notes will participate in our remaining assets ratably with all of our unsecured and unsubordinated creditors, including our trade creditors. If we incur any additional obligations that rank equally with the notes, including trade payables, the holders of those obligations will be entitled to share ratably with the holders of the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$2.7 billion aggregate principal amount of outstanding Existing Notes, a $350.0 million Term Loan (which we intend to repay using the proceeds of this offering) and a $500.0 million revolving credit facility under the 2022 Credit Agreement, and may incur other indebtedness in the future, including the notes being offered hereby, all of which may adversely affect our financial condition and future financial results.</w:t>
      </w:r>
    </w:p>
    <w:p>
      <w:pPr>
        <w:spacing w:after="0" w:line="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the notes offered hereby mature, we will have to expend significant resources to either repay or refinance such notes. If we decide to refinance the notes offered hereby, we may be required to do so on different or less favorable terms or we may be unable to refinance such notes at all, both of which may adversely affect our financial condition.</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also have $2.7 billion aggregate principal amount of outstanding Existing Notes, a $350.0 million Term Loan (which, as described under “Use of Proceeds,” we intend to repay at or prior to maturity on June 21, 2023 using the proceeds of this offering) and a $500.0 million revolving credit facility under the 2022 Credit Agreement. As of December 31, 2022, we had no outstanding borrowings under the 2022 Credit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current or future levels of indebtedness may adversely affect our financial condition and future financial results by, among other things:</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greater than expected portion of our expected cash from operations to service our indebtedness, thereby reducing the amount of expected cash flow available for general corporate purposes, including capital expenditures and acquisitions;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required to comply with the covenants set forth in the indenture governing our Existing Notes, the Zynga Convertible Notes and the notes offered hereby and the 2022 Credit Agreement. Our ability to comply with these covenants may be affected by events beyond our control. If we breach any of the covenants and do not obtain a waiver from the holders of the Existing Notes, the Zynga Convertible Notes or the notes or the lenders under the 2022 Credit Agreement, then, subject to applicable cure periods, any outstanding indebtedness may be declared immediately due and payable. In addition, changes by any rating agency to our credit rating may negatively impact the value and liquidity of our securities. Downgrades in our credit ratings could also restrict our ability to obtain additional financing in the future and could affect the terms of any such financing.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still be able to incur substantially more indebtedness.</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The terms of the indenture governing the notes will not prohibit us from incurring substantial indebtedness in the future. If we incur any additional indebtedness that ranks equally with the notes, the holders of that indebtedness will be entitled to share ratably with the holders of the notes in any proceeds distributed in connection with any insolvency, liquidation, reorganization, dissolution or other winding up of our company.</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governing the notes and the terms of the notes will not provide protection against some types of important corporate events and may not protect your investment.</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governing the notes will not:</w:t>
      </w:r>
    </w:p>
    <w:p>
      <w:pPr>
        <w:spacing w:after="0" w:line="131" w:lineRule="exact"/>
        <w:rPr>
          <w:sz w:val="20"/>
          <w:szCs w:val="20"/>
          <w:color w:val="auto"/>
        </w:rPr>
      </w:pPr>
    </w:p>
    <w:p>
      <w:pPr>
        <w:ind w:left="1080" w:right="14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that would be senior to our equity interests in our subsidiaries and therefore would be structurally senior to the notes;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00"/>
          </w:cols>
          <w:pgMar w:left="320" w:top="455" w:right="5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unsecured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our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repurchase or pay dividends or make other payments in respect of our common stock or other securities ranking junior to the notes;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 addition, the limitation on liens and limitation on sale and leaseback transactions covenants with respect to property held by us or our subsidiaries contain exceptions that will allow us to create, grant or incur liens or security interests in a number of circumstances.</w:t>
      </w:r>
    </w:p>
    <w:p>
      <w:pPr>
        <w:spacing w:after="0" w:line="16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 For these reasons, you should not consider the covenants in the indenture as a significant factor in evaluating whether to invest in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may adversely affect your investment in the notes.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major debt rating agencies will routinely evaluate our debt.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ratings are based on current information furnished to the rating agencies by us and information obtained by the rating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 Actual or anticipated changes or downgrades in our credit ratings, including any announcement that our ratings are under further review for a downgrade, could affect the market value and liquidity of the notes and increase our corporate borrowing costs.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market value of the notes.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general, as market interest rates rise, debt securities bearing interest at fixed rates of interest generally decline in market value, and increases in market interest rates may also adversely affect the market value of fixed rate debt securities. Consequently, if you purchase notes in this offering and market interest rates increase, the market values of the notes may decline. We cannot predict the future level of market interest rates.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active trading markets for the notes.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There are currently no active trading markets for the notes. We do not intend to list the notes on any securities exchange or include them in any automated quotation system. We cannot assure you that active trading markets for the notes will ever develop or will be maintained. Further, there can be no assurance as to the liquidity of any markets that may develop for the notes, your ability to sell your notes or the prices at which you will be able to sell your notes. Future trading prices of the notes may be less than the price you pay for them and will depend on many factors, including prevailing interest rates, our financial condition and results of operations, the then-current ratings assigned to the notes and the market for similar securities. Any trading market that develops would be affected by many factors independent of and in addition to the foregoing, including the:</w:t>
      </w:r>
    </w:p>
    <w:p>
      <w:pPr>
        <w:spacing w:after="0" w:line="9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of existing holders to trade their positions in each series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remaining to the maturity of each series of the notes;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amount of each series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each series of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direction and volatility of market interest rates generally.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may adversely affect your return on the notes.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have the right to redeem some or all of the notes of each series prior to maturity. We may redeem the notes of each series at times when prevailing interest rates may be relatively low. Accordingly, you may not be able to reinvest the proceeds you receive from any redemption of the notes of a series in a comparable security at an effective interest rate as high as that of the notes of such series.</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provisions in the indenture governing the notes relating to change of control transactions will not necessarily protect you in the event of a highly leveraged transaction.</w:t>
      </w:r>
    </w:p>
    <w:p>
      <w:pPr>
        <w:spacing w:after="0" w:line="5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provisions in the indenture relating to change of control transactions will not necessarily afford you protection in the event of a highly leveraged transaction that may adversely affect you, including a reorganization, restructuring, merger or other similar transaction involving us. These transactions may not involve a change in voting power or beneficial ownership or, even if they do, may not involve a change of the magnitude required under the definition of change of control repurchase event in the indenture to trigger these provisions, notably that the transactions are accompanied or followed within 60 days by a downgrade in the rating of the notes, following which the applicable series of notes is no longer rated “investment grade.” Except as described under “Description of Notes—Purchase of Notes upon a Change of Control Repurchase Event,” the indenture will not contain provisions that permit the holders of the notes to require us to repurchase the notes in the event of a takeover, recapitalization or similar transaction. In addition, certain circumstances involving a significant change in the composition of our board of directors may not constitute a “change of control” (as defined under “Description of Notes—Purchase of Notes upon a Change of Control Repurchase Event”). In the event of any such significant change in the composition of our board of directors, unless such change otherwise constitutes a “change of control” (as defined under “Description of Notes— Purchase of Notes upon a Change of Control Repurchase Event”), the holders would not have the right to require us to repurchase their notes even if a “ratings event” occurs where the applicable series of notes ceases to be rated investment grade as described under “Description of Notes—Purchase of Notes upon a Change of Control Repurchase Event.”</w:t>
      </w:r>
    </w:p>
    <w:p>
      <w:pPr>
        <w:spacing w:after="0" w:line="29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all of the notes upon a change of control repurchase event, which would result in a default under the notes and may constitute an event of default under our existing or future indebtedness.</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will be required to repurchase the notes at the option of each holder upon the occurrence of a change of control repurchase event as provided in the indenture governing the notes. However, we may not have sufficient funds to repurchase the notes in cash at the time of any change of control repurchase event. In addition, our ability to repurchase the notes for cash may be limited by law or the terms or other agreements relating to our indebtedness outstanding at the time. Accordingly, we may not be able to satisfy our obligations to repurchase your notes unless we are able to refinance or obtain consents from the holders of such indebtedness. Our failure to repurchase your notes at your option upon a change of control repurchase event would be an event of default under the indenture and could cause a cross-default or acceleration under certain agreements governing our other indebtedness, including our revolving credit facility under the 2022 Credit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determine when a change of control repurchase event has occurred.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definition of change of control, which is a condition precedent to a change of control repurchase event, includes a phrase relating to the sale, transfer, conveyance or other disposition of “all or substantially all” of our assets. There is no precisely established definition of the phrase “substantially all” under applicable law. Accordingly, your ability to require us to repurchase your notes as a result of a sale, transfer, conveyance or other disposition of less than all of our assets to another individual, group or entity may be uncertain.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negative covenants in the indenture governing the notes may have a limited effect.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will contain covenants limiting our ability and the ability of our subsidiaries to create certain liens, enter into certain sale and leaseback transactions, and consolidate or merge with, or sell, assign, convey, lease, transfer or otherwise dispose of all or substantially all our assets, taken as a whole, to, another person. However, the covenants limiting liens and sale and leaseback transactions will contain exceptions that will allow us and our subsidiaries to incur liens with respect to certain of our assets. See “Description of Notes—Certain Covenants” in this prospectus supplement and “Description of the Debt Securities—Merger, Consolidation or Sale of Assets” in the accompanying prospectus. In light of these exceptions and other factors described above, the negative covenants in the indenture governing the notes may have a limited effect and may not protect your investment in the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interest rate swap agreements in connection with the issuance of the notes.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the notes, we may enter into interest rate swap agreements to hedge some of our exposure to interest rate volatility, including in our portfolio of investments. These swap agreements involve risks, such as the risk that counterparties may fail to honor their obligations under these agreements. In addition, these arrangements may not be effective in reducing our exposure to changes in interest rates and can themselves result in losses in our consolidated statement of operations.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60"/>
          </w:cols>
          <w:pgMar w:left="320" w:top="455" w:right="5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1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54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180" w:type="dxa"/>
            <w:vAlign w:val="bottom"/>
          </w:tcPr>
          <w:p>
            <w:pPr>
              <w:spacing w:after="0"/>
              <w:rPr>
                <w:sz w:val="24"/>
                <w:szCs w:val="24"/>
                <w:color w:val="auto"/>
              </w:rPr>
            </w:pPr>
          </w:p>
        </w:tc>
      </w:tr>
      <w:tr>
        <w:trPr>
          <w:trHeight w:val="432"/>
        </w:trPr>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 estimate that the net proceeds from this offering of the notes will be approximately $</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million after deducting the underwriting discounts and</w:t>
            </w:r>
          </w:p>
        </w:tc>
      </w:tr>
    </w:tbl>
    <w:p>
      <w:pPr>
        <w:ind w:lef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estimated offering expenses payable by us. We intend to use the net proceeds from this offering to repay in full our Term Loan, which has a principal balance of $350.0 million as of December 31, 2022 and matures on June 21, 2023, and the remainder for general corporate purposes, including the repurchase or retirement of our other outstanding indebtedness.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46"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following table sets forth our unaudited consolidated cash and cash equivalents, short-term investments and capitalization as of December 31, 2022:</w:t>
      </w:r>
    </w:p>
    <w:p>
      <w:pPr>
        <w:spacing w:after="0" w:line="142"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adjusted basis to give effect to this offering, after deducting the underwriting discounts and the estimated offering expenses payable by us, the application of the net proceeds therefrom as described in footnote (1) below.</w:t>
      </w:r>
    </w:p>
    <w:p>
      <w:pPr>
        <w:spacing w:after="0" w:line="16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should be read in conjunction with our unaudited condensed consolidated financial statements and related notes and “Management’s Discussion and Analysis of Financial Condition and Results of Operations,” included in our Form 10-Q for the quarter ended December 31, 2022, that are incorporated by reference in this prospectus supplement and the accompanying prospectus.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6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w:t>
            </w:r>
          </w:p>
        </w:tc>
        <w:tc>
          <w:tcPr>
            <w:tcW w:w="2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2022 Credit Agreement</w:t>
            </w:r>
            <w:r>
              <w:rPr>
                <w:rFonts w:ascii="Times New Roman" w:cs="Times New Roman" w:eastAsia="Times New Roman" w:hAnsi="Times New Roman"/>
                <w:sz w:val="25"/>
                <w:szCs w:val="25"/>
                <w:color w:val="auto"/>
                <w:vertAlign w:val="superscript"/>
              </w:rPr>
              <w:t>(2)</w:t>
            </w:r>
          </w:p>
        </w:tc>
        <w:tc>
          <w:tcPr>
            <w:tcW w:w="2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Senior Notes due</w:t>
            </w:r>
          </w:p>
        </w:tc>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offered hereby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Senior Notes due</w:t>
            </w:r>
          </w:p>
        </w:tc>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offered hereby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3.300% Senior Notes due 2024</w:t>
            </w:r>
            <w:r>
              <w:rPr>
                <w:rFonts w:ascii="Times New Roman" w:cs="Times New Roman" w:eastAsia="Times New Roman" w:hAnsi="Times New Roman"/>
                <w:sz w:val="25"/>
                <w:szCs w:val="25"/>
                <w:color w:val="auto"/>
                <w:vertAlign w:val="superscript"/>
              </w:rPr>
              <w:t>(3)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3.550% Senior Notes due 2025</w:t>
            </w:r>
            <w:r>
              <w:rPr>
                <w:rFonts w:ascii="Times New Roman" w:cs="Times New Roman" w:eastAsia="Times New Roman" w:hAnsi="Times New Roman"/>
                <w:sz w:val="25"/>
                <w:szCs w:val="25"/>
                <w:color w:val="auto"/>
                <w:vertAlign w:val="superscript"/>
              </w:rPr>
              <w:t>(3)</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3.700% Senior Notes due 2027</w:t>
            </w:r>
            <w:r>
              <w:rPr>
                <w:rFonts w:ascii="Times New Roman" w:cs="Times New Roman" w:eastAsia="Times New Roman" w:hAnsi="Times New Roman"/>
                <w:sz w:val="25"/>
                <w:szCs w:val="25"/>
                <w:color w:val="auto"/>
                <w:vertAlign w:val="superscript"/>
              </w:rPr>
              <w:t>(3)</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4.000% Senior Notes due 2032</w:t>
            </w:r>
            <w:r>
              <w:rPr>
                <w:rFonts w:ascii="Times New Roman" w:cs="Times New Roman" w:eastAsia="Times New Roman" w:hAnsi="Times New Roman"/>
                <w:sz w:val="25"/>
                <w:szCs w:val="25"/>
                <w:color w:val="auto"/>
                <w:vertAlign w:val="superscript"/>
              </w:rPr>
              <w:t>(3)</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0.25% Convertible Senior Notes due 2024</w:t>
            </w:r>
            <w:r>
              <w:rPr>
                <w:rFonts w:ascii="Times New Roman" w:cs="Times New Roman" w:eastAsia="Times New Roman" w:hAnsi="Times New Roman"/>
                <w:sz w:val="25"/>
                <w:szCs w:val="25"/>
                <w:color w:val="auto"/>
                <w:vertAlign w:val="superscript"/>
              </w:rPr>
              <w:t>(4)</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0% Convertible Senior Notes due 2026</w:t>
            </w:r>
            <w:r>
              <w:rPr>
                <w:rFonts w:ascii="Times New Roman" w:cs="Times New Roman" w:eastAsia="Times New Roman" w:hAnsi="Times New Roman"/>
                <w:sz w:val="25"/>
                <w:szCs w:val="25"/>
                <w:color w:val="auto"/>
                <w:vertAlign w:val="superscript"/>
              </w:rPr>
              <w:t>(4)</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long-term liabilities</w:t>
            </w:r>
            <w:r>
              <w:rPr>
                <w:rFonts w:ascii="Times New Roman" w:cs="Times New Roman" w:eastAsia="Times New Roman" w:hAnsi="Times New Roman"/>
                <w:sz w:val="25"/>
                <w:szCs w:val="25"/>
                <w:color w:val="auto"/>
                <w:vertAlign w:val="superscript"/>
              </w:rPr>
              <w:t>(5)</w:t>
            </w:r>
          </w:p>
        </w:tc>
        <w:tc>
          <w:tcPr>
            <w:tcW w:w="2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1,079.3</w:t>
            </w:r>
          </w:p>
        </w:tc>
        <w:tc>
          <w:tcPr>
            <w:tcW w:w="0" w:type="dxa"/>
            <w:vAlign w:val="bottom"/>
          </w:tcPr>
          <w:p>
            <w:pPr>
              <w:spacing w:after="0"/>
              <w:rPr>
                <w:sz w:val="1"/>
                <w:szCs w:val="1"/>
                <w:color w:val="auto"/>
              </w:rPr>
            </w:pPr>
          </w:p>
        </w:tc>
      </w:tr>
      <w:tr>
        <w:trPr>
          <w:trHeight w:val="230"/>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debt and other long-term liabilities</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4,180.7</w:t>
            </w:r>
          </w:p>
        </w:tc>
        <w:tc>
          <w:tcPr>
            <w:tcW w:w="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9,550.4</w:t>
            </w:r>
          </w:p>
        </w:tc>
        <w:tc>
          <w:tcPr>
            <w:tcW w:w="0" w:type="dxa"/>
            <w:vAlign w:val="bottom"/>
          </w:tcPr>
          <w:p>
            <w:pPr>
              <w:spacing w:after="0"/>
              <w:rPr>
                <w:sz w:val="1"/>
                <w:szCs w:val="1"/>
                <w:color w:val="auto"/>
              </w:rPr>
            </w:pP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13,731.1</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40" w:right="60" w:hanging="424"/>
        <w:spacing w:after="0" w:line="257"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presents Take-Two’s capitalization as adjusted to give effect to the offering of the notes hereby and the repayment in full of all of the amounts outstanding under our Term Loan, which has a principal balance of $350.0 million as of December 31, 2022 and matures on June 21, 2023. This column does not reflect the use of the remaining proceeds. See “Use of Proceeds.”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Take-Two is party to a $500.0 million revolving credit facility under the 2022 Credit Agreement, of which none was drawn at December 31, 2022.</w:t>
      </w:r>
    </w:p>
    <w:p>
      <w:pPr>
        <w:spacing w:after="0" w:line="20"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presented without giving effect to unamortized discount and issuance costs.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Take-Two has guaranteed the payment and other obligations of Zynga under the Zynga Convertible Notes.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$711.3 million of deferred tax liabilities, net.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particular terms of the notes offered by this prospectus supplement should be read in conjunction with the description of the general terms and provisions of the debt securities under the caption “Description of the Debt Securities” beginning on page 7 of the accompanying prospectus.</w:t>
      </w:r>
    </w:p>
    <w:p>
      <w:pPr>
        <w:spacing w:after="0" w:line="176" w:lineRule="exact"/>
        <w:rPr>
          <w:sz w:val="20"/>
          <w:szCs w:val="20"/>
          <w:color w:val="auto"/>
        </w:rPr>
      </w:pPr>
    </w:p>
    <w:p>
      <w:pPr>
        <w:ind w:left="120" w:right="460" w:firstLine="440"/>
        <w:spacing w:after="0" w:line="276" w:lineRule="auto"/>
        <w:rPr>
          <w:sz w:val="20"/>
          <w:szCs w:val="20"/>
          <w:color w:val="auto"/>
        </w:rPr>
      </w:pPr>
      <w:r>
        <w:rPr>
          <w:rFonts w:ascii="Times New Roman" w:cs="Times New Roman" w:eastAsia="Times New Roman" w:hAnsi="Times New Roman"/>
          <w:sz w:val="17"/>
          <w:szCs w:val="17"/>
          <w:color w:val="auto"/>
        </w:rPr>
        <w:t>Each series of notes will be issued as a separate series of debt securities under an indenture dated as of April 14, 2022 (the “base indenture”) between us and The Bank of New York Mellon, as trustee (the “trustee”), as supplemented by a fifth supplemental indenture, with respect to the</w:t>
      </w:r>
    </w:p>
    <w:p>
      <w:pPr>
        <w:spacing w:after="0" w:line="1"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notes and a sixth supplemental indenture, with respect to the notes, each to be entered into concurrently (the base indenture as so supplemented, the “indenture”). The following summary of provisions of the indenture and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“Trust Indenture Act”). This summary may not contain all the information that you may find useful. You should read the indenture and the notes, copies of which are available from us upon request. Capitalized terms used and not defined in this summary have the meanings specified in the indenture. References to “we,” “us” and “our” in this section of this prospectus supplement are only to Take-Two Interactive Software, Inc. and not to any of its subsidiaries.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have the following basic terms:</w:t>
      </w:r>
    </w:p>
    <w:p>
      <w:pPr>
        <w:spacing w:after="0" w:line="131" w:lineRule="exact"/>
        <w:rPr>
          <w:sz w:val="20"/>
          <w:szCs w:val="20"/>
          <w:color w:val="auto"/>
        </w:rPr>
      </w:pPr>
    </w:p>
    <w:p>
      <w:pPr>
        <w:ind w:left="10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our senior unsecured obligations and will rank equally in right of payment with all our other existing and future unsecured and unsubordinated obligations, including our Existing Notes, our guarantees of the Zynga Convertible Notes, the Term Loan (which, as described under “Use of Proceeds,” we intend to repay at or prior to maturity on June 21, 2023 using the proceeds of this offering) and any indebtedness we may incur from time to time under our 2022 Credit Agreement;</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effectively subordinated in right of payment to all our future secured indebtedness to the extent of the value of the assets securing such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senior in right of payment to any of our indebtedness that is subordinated in right of payment to the notes;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structurally subordinated to all liabilities of our subsidiaries. As of December 31, 2022, our subsidiaries had $51.4 million of indebtedness for borrowed money outstanding (representing the Zynga Convertible Notes) and $3.1 billion of other liabilities (including trade payables, but excluding intercompany obligations, deferred revenue and liabilities of a type not required to be reflected on a balance sheet of such subsidiaries in accordance with GAAP as in effect in the jurisdiction of incorporation of such subsidiary);</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notes initially will be limited to $</w:t>
            </w:r>
          </w:p>
        </w:tc>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aggregate principal amount and the</w:t>
            </w:r>
          </w:p>
        </w:tc>
        <w:tc>
          <w:tcPr>
            <w:tcW w:w="320" w:type="dxa"/>
            <w:vAlign w:val="bottom"/>
          </w:tcPr>
          <w:p>
            <w:pPr>
              <w:spacing w:after="0"/>
              <w:rPr>
                <w:sz w:val="18"/>
                <w:szCs w:val="18"/>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notes initially will be limited to $</w:t>
            </w:r>
          </w:p>
        </w:tc>
      </w:tr>
      <w:tr>
        <w:trPr>
          <w:trHeight w:val="234"/>
        </w:trPr>
        <w:tc>
          <w:tcPr>
            <w:tcW w:w="240" w:type="dxa"/>
            <w:vAlign w:val="bottom"/>
          </w:tcPr>
          <w:p>
            <w:pPr>
              <w:spacing w:after="0"/>
              <w:rPr>
                <w:sz w:val="20"/>
                <w:szCs w:val="20"/>
                <w:color w:val="auto"/>
              </w:rPr>
            </w:pPr>
          </w:p>
        </w:tc>
        <w:tc>
          <w:tcPr>
            <w:tcW w:w="102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aggregate principal amount (in each case, subject to our right to issue additional notes as described under “—Further Issuances” below);</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notes will accrue interest at a rate of</w:t>
            </w:r>
          </w:p>
        </w:tc>
        <w:tc>
          <w:tcPr>
            <w:tcW w:w="2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per year and the</w:t>
            </w:r>
          </w:p>
        </w:tc>
        <w:tc>
          <w:tcPr>
            <w:tcW w:w="32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notes will accrue interest at a rate of</w:t>
            </w:r>
          </w:p>
        </w:tc>
        <w:tc>
          <w:tcPr>
            <w:tcW w:w="11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per year;</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notes will mature on</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the</w:t>
            </w:r>
          </w:p>
        </w:tc>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notes will mature 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in each case unless redeemed or</w:t>
            </w:r>
          </w:p>
        </w:tc>
      </w:tr>
    </w:tbl>
    <w:p>
      <w:pPr>
        <w:ind w:left="1080"/>
        <w:spacing w:after="0"/>
        <w:rPr>
          <w:sz w:val="20"/>
          <w:szCs w:val="20"/>
          <w:color w:val="auto"/>
        </w:rPr>
      </w:pPr>
      <w:r>
        <w:rPr>
          <w:rFonts w:ascii="Times New Roman" w:cs="Times New Roman" w:eastAsia="Times New Roman" w:hAnsi="Times New Roman"/>
          <w:sz w:val="18"/>
          <w:szCs w:val="18"/>
          <w:color w:val="auto"/>
        </w:rPr>
        <w:t>repurchased prior to such date;</w:t>
      </w:r>
    </w:p>
    <w:p>
      <w:pPr>
        <w:spacing w:after="0" w:line="112" w:lineRule="exact"/>
        <w:rPr>
          <w:sz w:val="20"/>
          <w:szCs w:val="20"/>
          <w:color w:val="auto"/>
        </w:rPr>
      </w:pPr>
    </w:p>
    <w:p>
      <w:pPr>
        <w:ind w:left="10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will accrue on the notes from the most recent interest payment date to or for which interest has been paid or duly provided for (or if no interest has been paid or duly provided for, from the date of initial issuance of the notes), payable semi-annually in arrears on</w:t>
      </w:r>
    </w:p>
    <w:p>
      <w:pPr>
        <w:sectPr>
          <w:pgSz w:w="11900" w:h="16838" w:orient="portrait"/>
          <w:cols w:equalWidth="0" w:num="1">
            <w:col w:w="11120"/>
          </w:cols>
          <w:pgMar w:left="320" w:top="455" w:right="459" w:bottom="1440" w:gutter="0" w:footer="0" w:header="0"/>
        </w:sectPr>
      </w:pPr>
    </w:p>
    <w:p>
      <w:pPr>
        <w:ind w:left="1080" w:right="100"/>
        <w:spacing w:after="0" w:line="250" w:lineRule="auto"/>
        <w:rPr>
          <w:sz w:val="20"/>
          <w:szCs w:val="20"/>
          <w:color w:val="auto"/>
        </w:rPr>
      </w:pPr>
      <w:r>
        <w:rPr>
          <w:rFonts w:ascii="Times New Roman" w:cs="Times New Roman" w:eastAsia="Times New Roman" w:hAnsi="Times New Roman"/>
          <w:sz w:val="18"/>
          <w:szCs w:val="18"/>
          <w:color w:val="auto"/>
        </w:rPr>
        <w:t>and of each year, beginning on , 2023, in the case of the notes, and on and of each year, beginning on , 2023, in the case of the notes;</w:t>
      </w:r>
    </w:p>
    <w:p>
      <w:pPr>
        <w:sectPr>
          <w:pgSz w:w="11900" w:h="16838" w:orient="portrait"/>
          <w:cols w:equalWidth="0" w:num="1">
            <w:col w:w="11120"/>
          </w:cols>
          <w:pgMar w:left="320" w:top="455" w:right="459" w:bottom="1440" w:gutter="0" w:footer="0" w:header="0"/>
          <w:type w:val="continuous"/>
        </w:sectPr>
      </w:pP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S-12</w:t>
      </w:r>
    </w:p>
    <w:p>
      <w:pPr>
        <w:sectPr>
          <w:pgSz w:w="11900" w:h="16838" w:orient="portrait"/>
          <w:cols w:equalWidth="0" w:num="1">
            <w:col w:w="11120"/>
          </w:cols>
          <w:pgMar w:left="320" w:top="455" w:right="4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the notes of any series prior to their respective maturity, in whole or in part, as described under “—Optional Redemption” below;</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repurchase the notes in whole or in part at your option in connection with the occurrence of a “change of control repurchase event” as described under “—Purchase of Notes upon a Change of Control Repurchase Event”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each series will be issued in registered form in minimum denominations of $2,000 and multiples of $1,000 in excess thereof;</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each series will be represented by one or more global notes registered in the name of a nominee of The Depository Trust Company (“DTC”), but in certain limited circumstances may be represented by notes in definitive form (see “—Book-Entry; Delivery and Form; Global Notes” below); and</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exchangeable and transferable at the office or agency maintained by us for such purposes (which initially will be the corporate trust office of the trustee).</w:t>
      </w:r>
    </w:p>
    <w:p>
      <w:pPr>
        <w:sectPr>
          <w:pgSz w:w="11900" w:h="16838" w:orient="portrait"/>
          <w:cols w:equalWidth="0" w:num="1">
            <w:col w:w="11120"/>
          </w:cols>
          <w:pgMar w:left="320" w:top="455" w:right="459" w:bottom="1440" w:gutter="0" w:footer="0" w:header="0"/>
        </w:sectPr>
      </w:pPr>
    </w:p>
    <w:p>
      <w:pPr>
        <w:spacing w:after="0" w:line="162" w:lineRule="exact"/>
        <w:rPr>
          <w:sz w:val="20"/>
          <w:szCs w:val="20"/>
          <w:color w:val="auto"/>
        </w:rPr>
      </w:pPr>
    </w:p>
    <w:p>
      <w:pPr>
        <w:ind w:left="560"/>
        <w:spacing w:after="0"/>
        <w:tabs>
          <w:tab w:leader="none" w:pos="2200" w:val="left"/>
        </w:tabs>
        <w:rPr>
          <w:sz w:val="20"/>
          <w:szCs w:val="20"/>
          <w:color w:val="auto"/>
        </w:rPr>
      </w:pPr>
      <w:r>
        <w:rPr>
          <w:rFonts w:ascii="Times New Roman" w:cs="Times New Roman" w:eastAsia="Times New Roman" w:hAnsi="Times New Roman"/>
          <w:sz w:val="18"/>
          <w:szCs w:val="18"/>
          <w:color w:val="auto"/>
        </w:rPr>
        <w:t>Interest on the</w:t>
      </w:r>
      <w:r>
        <w:rPr>
          <w:sz w:val="20"/>
          <w:szCs w:val="20"/>
          <w:color w:val="auto"/>
        </w:rPr>
        <w:tab/>
      </w:r>
      <w:r>
        <w:rPr>
          <w:rFonts w:ascii="Times New Roman" w:cs="Times New Roman" w:eastAsia="Times New Roman" w:hAnsi="Times New Roman"/>
          <w:sz w:val="17"/>
          <w:szCs w:val="17"/>
          <w:color w:val="auto"/>
        </w:rPr>
        <w:t>notes will be paid to the person in whose name that note is registered at the close of business 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as the</w:t>
      </w:r>
    </w:p>
    <w:p>
      <w:pPr>
        <w:spacing w:after="0" w:line="38" w:lineRule="exact"/>
        <w:rPr>
          <w:sz w:val="20"/>
          <w:szCs w:val="20"/>
          <w:color w:val="auto"/>
        </w:rPr>
      </w:pPr>
    </w:p>
    <w:p>
      <w:pPr>
        <w:sectPr>
          <w:pgSz w:w="11900" w:h="16838" w:orient="portrait"/>
          <w:cols w:equalWidth="0" w:num="3">
            <w:col w:w="9100" w:space="640"/>
            <w:col w:w="140" w:space="600"/>
            <w:col w:w="64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case may be, immediately preceding the relevant interest payment date.</w:t>
      </w:r>
    </w:p>
    <w:p>
      <w:pPr>
        <w:spacing w:after="0" w:line="207" w:lineRule="exact"/>
        <w:rPr>
          <w:sz w:val="20"/>
          <w:szCs w:val="20"/>
          <w:color w:val="auto"/>
        </w:rPr>
      </w:pPr>
    </w:p>
    <w:p>
      <w:pPr>
        <w:ind w:left="560"/>
        <w:spacing w:after="0"/>
        <w:tabs>
          <w:tab w:leader="none" w:pos="2200" w:val="left"/>
          <w:tab w:leader="none" w:pos="9720" w:val="left"/>
          <w:tab w:leader="none" w:pos="10460" w:val="left"/>
        </w:tabs>
        <w:rPr>
          <w:sz w:val="20"/>
          <w:szCs w:val="20"/>
          <w:color w:val="auto"/>
        </w:rPr>
      </w:pPr>
      <w:r>
        <w:rPr>
          <w:rFonts w:ascii="Times New Roman" w:cs="Times New Roman" w:eastAsia="Times New Roman" w:hAnsi="Times New Roman"/>
          <w:sz w:val="18"/>
          <w:szCs w:val="18"/>
          <w:color w:val="auto"/>
        </w:rPr>
        <w:t>Interest on the</w:t>
      </w:r>
      <w:r>
        <w:rPr>
          <w:sz w:val="20"/>
          <w:szCs w:val="20"/>
          <w:color w:val="auto"/>
        </w:rPr>
        <w:tab/>
      </w:r>
      <w:r>
        <w:rPr>
          <w:rFonts w:ascii="Times New Roman" w:cs="Times New Roman" w:eastAsia="Times New Roman" w:hAnsi="Times New Roman"/>
          <w:sz w:val="18"/>
          <w:szCs w:val="18"/>
          <w:color w:val="auto"/>
        </w:rPr>
        <w:t>notes will be paid to the person in whose name that note is registered at the close of business on</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7"/>
          <w:szCs w:val="17"/>
          <w:color w:val="auto"/>
        </w:rPr>
        <w:t>, as the</w:t>
      </w:r>
    </w:p>
    <w:p>
      <w:pPr>
        <w:sectPr>
          <w:pgSz w:w="11900" w:h="16838" w:orient="portrait"/>
          <w:cols w:equalWidth="0" w:num="1">
            <w:col w:w="11120"/>
          </w:cols>
          <w:pgMar w:left="320" w:top="455" w:right="459" w:bottom="1440" w:gutter="0" w:footer="0" w:header="0"/>
          <w:type w:val="continuous"/>
        </w:sectPr>
      </w:pP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case may be, immediately preceding the relevant interest payment date. Interest on the notes will be computed on the basis of a 360-day year comprised of twelve 30-day months.</w:t>
      </w:r>
    </w:p>
    <w:p>
      <w:pPr>
        <w:spacing w:after="0" w:line="1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when used with respect to any note, means each Monday, Tuesday, Wednesday, Thursday and Friday which is not a day on which banking institutions in New York, New York are authorized or obligated by law or executive order to close.</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list the notes on any securities exchange or include the notes in any automated quotation system. The notes will not be subject to any sinking fund.</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may, to the extent permitted by law, and directly or indirectly (regardless of whether such notes are surrendered to us), purchase notes in the open market or otherwise, whether by us or our subsidiaries or through a private or public tender or exchange offer or through counterparties to private agreements, including by cash- settled swaps or other derivatives. We will cause any notes so purchased (other than notes purchased pursuant to cash-settled swaps or other derivatives) to be surrendered to the trustee for cancellation, and upon their purchase, they will no longer be considered “outstanding” for purposes of determining whether the requisite holders of the required principal amount of any series of notes have concurred in any direction, amendment, waiver or consent under the indenture.</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not contain any provisions that would limit our or our subsidiaries’ ability to incur additional unsecured indebtedness or require the maintenance of financial ratios or specified levels of net worth or liquidity.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Transfer or Exchange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Principal of and premium, if any, and interest on the notes will be payable, and the notes may be exchanged or transferred, at the office or agency maintained by us for such purpose (which initially will be the corporate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trust office of the trustee). Payment of principal of and premium, if any, and interest on a global note registered in the name of or held by DTC or its nominee will be made in immediately available funds to DTC or its nominee, as the case may be, as the registered holder of such global note. If the notes are no longer represented by a global note, payment of interest on certificated notes in definitive form may, at our option, be made by (i) check mailed directly to holders at their registered addresses or (ii) upon request of any holder of at least $5,000,000 principal amount of notes, wire transfer to an account located in the United States maintained by the payee. See “—Book- Entry; Delivery and Form; Global Notes” below.</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holder may transfer or exchange any certificated notes in definitive form at the same location set forth in the preceding paragraph. No service charge to the holder will be made for any registration of transfer or exchange of notes, but we may require payment of a sum sufficient to cover any transfer tax or other similar governmental charge payable in connection therewith. We will not be required to transfer or exchange any note subject to redemption during a period of 15 days before the electronic delivery or mailing of a notice of redemption. We will not be required to register the transfer or exchange of any note so selected for redemption, in whole or in part, except the unredeemed portion of any note being redeemed in part.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that note for all purposes.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applicable escheat laws, all amounts of principal of and premium, if any, and interest on the notes paid by us that remain unclaimed two years after such payment was due and payable will be repaid to us, and the holders of such notes will thereafter look solely to us for payment.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in right of payment with all our other existing and future unsecured and unsubordinated obligations, including our Existing Notes, our guarantees of the Zynga Convertible Notes, the Term Loan (which, as described under “Use of Proceeds,” we intend to repay at or prior to maturity in June 2023 using the proceeds of this offering) and any indebtedness we may incur from time to time under our 2022 Credit Agreement.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effectively rank junior to all our future secured indebtedness to the extent of the value of the assets securing such indebtedness, and structurally subordinated to all liabilities of our subsidiaries. We derive a significant portion of our operating income and cash flow from our subsidiaries. Therefore, our ability to make payments when due to the holders of the notes is, in part, dependent upon the receipt of sufficient funds from our subsidiaries.</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claims of creditors of our subsidiaries generally will have priority with respect to the assets and earnings of such subsidiaries over the claims of our creditors, including holders of the notes. Accordingly, the notes will be effectively subordinated to creditors, including trade creditors and preferred stockholders, if any, of our subsidiaries.</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As of December 31, 2022, on an unconsolidated basis, Take-Two had $3.1 billion of indebtedness for borrowed money outstanding (including our Existing Notes, our guarantees of the Zynga Convertible Notes and the Term Loan) and $2.8 million face amount of letters of credit outstanding, none of which was secured. As of December 31, 2022, our subsidiaries had $51.4 million of indebtedness for borrowed money outstanding (representing the Zynga Convertible Notes) and $3.1 billion of other liabilities (including trade payables, but excluding intercompany obligations, deferred revenue and liabilities of a type not required to be reflected on a balance sheet of such subsidiaries in accordance with GAAP as in effect in the jurisdiction of incorporation of such subsidiary) to which the notes would have been structurally subordinated. After giving effect to this offering and the application of</w:t>
      </w:r>
    </w:p>
    <w:p>
      <w:pPr>
        <w:spacing w:after="0" w:line="5"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the net proceeds therefrom as described in “Use of Proceeds”, on an unconsolidated basis, Take-Two would have had approximately $ billion of outstanding indebtedness as of December 31, 2022, none of which would have been secured indebtedness.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534"/>
        </w:trPr>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06"/>
        </w:trPr>
        <w:tc>
          <w:tcPr>
            <w:tcW w:w="1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Prior to (i)</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with respect to the</w:t>
            </w:r>
          </w:p>
        </w:tc>
        <w:tc>
          <w:tcPr>
            <w:tcW w:w="1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notes, and (ii)</w:t>
            </w: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with respect to the</w:t>
            </w:r>
          </w:p>
        </w:tc>
        <w:tc>
          <w:tcPr>
            <w:tcW w:w="2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notes (one month prior to the</w:t>
            </w:r>
          </w:p>
        </w:tc>
      </w:tr>
      <w:tr>
        <w:trPr>
          <w:trHeight w:val="234"/>
        </w:trPr>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maturity date of such</w:t>
            </w:r>
          </w:p>
        </w:tc>
        <w:tc>
          <w:tcPr>
            <w:tcW w:w="260" w:type="dxa"/>
            <w:vAlign w:val="bottom"/>
          </w:tcPr>
          <w:p>
            <w:pPr>
              <w:spacing w:after="0"/>
              <w:rPr>
                <w:sz w:val="20"/>
                <w:szCs w:val="20"/>
                <w:color w:val="auto"/>
              </w:rPr>
            </w:pPr>
          </w:p>
        </w:tc>
        <w:tc>
          <w:tcPr>
            <w:tcW w:w="88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notes, such date, the “Par Call Date”), we may redeem each such series of notes, at our option, in whole or in part, at any</w:t>
            </w:r>
          </w:p>
        </w:tc>
      </w:tr>
    </w:tbl>
    <w:p>
      <w:pPr>
        <w:ind w:left="120" w:right="46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and from time to time, at a redemption price (expressed as a percentage of principal amount and rounded to three decimal places) equal to the greater of:</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w:t>
      </w:r>
    </w:p>
    <w:p>
      <w:pPr>
        <w:spacing w:after="0" w:line="2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 xml:space="preserve">(assuming, in the case of the notes, the notes to be redeemed matured on the Par Call Date) on a semi-annual basis (assuming a 360-day year consisting of twelve 30-day months) at the Treasury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15 basis points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on the notes of such series to the date of redemption, and</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100% of the principal amount of the notes of such series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we shall select, as applicable: (1) the yield for the Treasury constant maturity on H.15 exactly equal to the period from the redemption date to the maturity date,</w:t>
      </w:r>
    </w:p>
    <w:p>
      <w:pPr>
        <w:spacing w:after="0" w:line="5"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in the case of the notes, or to the Par Call Date, in the case of the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interpolate to the maturity date, in the case of the notes, or to the Par Call Date, in the case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If on the third business day preceding the redemption date H.15 is no longer published, we shall calculate the Treasury Rate based on the rate per annum equal to the semi-annual equivalent yield to maturity at 11:00 a.m., New York City time, on the second business day preceding such redemption</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date of the United States Treasury security maturing on, or with a maturity that is closest to, the maturity date, in the case of the notes, or the Par Call Date, in the case of the notes, as applicable. If there is no United States Treasury security maturing on the maturity date, in the case of the notes, or on the Par Call Date, in the case of the notes, but there are two or more United States Treasury securities with a maturity date equally distant from the maturity date, in the case of the notes, or from the Par Call Date, in the case of the notes, one with a maturity date preceding the maturity date, in the case of the notes, or preceding the Par Call Date, in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46" w:right="4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515"/>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case of the</w:t>
            </w:r>
          </w:p>
        </w:tc>
        <w:tc>
          <w:tcPr>
            <w:tcW w:w="63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notes, and one with a maturity date following the maturity date, in the case of the</w:t>
            </w:r>
          </w:p>
        </w:tc>
        <w:tc>
          <w:tcPr>
            <w:tcW w:w="3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or following Par Call Date, in the</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case of the</w:t>
            </w:r>
          </w:p>
        </w:tc>
        <w:tc>
          <w:tcPr>
            <w:tcW w:w="96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notes, we shall select the United States Treasury security with a maturity date preceding the maturity date, in the case of the</w:t>
            </w:r>
          </w:p>
        </w:tc>
      </w:tr>
      <w:tr>
        <w:trPr>
          <w:trHeight w:val="216"/>
        </w:trPr>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notes, or preceding the Par Call Date, in the case of the</w:t>
            </w:r>
          </w:p>
        </w:tc>
        <w:tc>
          <w:tcPr>
            <w:tcW w:w="6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notes. If there are two or more United States Treasury securities maturing on the</w:t>
            </w:r>
          </w:p>
        </w:tc>
      </w:tr>
      <w:tr>
        <w:trPr>
          <w:trHeight w:val="234"/>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maturity date, in the case of the</w:t>
            </w:r>
          </w:p>
        </w:tc>
        <w:tc>
          <w:tcPr>
            <w:tcW w:w="4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notes, or on the Par Call Date, in the case of the</w:t>
            </w:r>
          </w:p>
        </w:tc>
        <w:tc>
          <w:tcPr>
            <w:tcW w:w="4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notes, or two or more United States Treasury securities</w:t>
            </w:r>
          </w:p>
        </w:tc>
      </w:tr>
    </w:tbl>
    <w:p>
      <w:pPr>
        <w:ind w:left="120" w:right="64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w:t>
      </w: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pursuant to the depositary’s procedures (or, in the case of certificated notes, as provided in the indenture). No notes of a principal amount of $2,000 or less will be redeemed in part. If any note is to be redeemed in part only, the notice of redemption that relates to the note will state the portion of the principal amount of the note to be redeemed. A new certificated note in a principal amount equal to the unredeemed portion of any certificated notes will be issued in the name of the holder of the note upon surrender for cancellation of the original certificated notes.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of Notes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with respect to a series of notes, unless we have exercised our right to redeem the notes of such series as described above, each holder of the notes of such series will have the right to require us to repurchase all or any part (in a minimum amount of $2,000 and multiples of $1,000 in excess thereof) of that holder’s notes of such series at a repurchase price in cash equal to 101% of the aggregate principal amount of the notes to be repurchased plus any accrued and unpaid interest on such notes to, but excluding, the repurchase date. Within 30 days following any change of control repurchase event or, at our option, prior to any change of control, but after the public announcement of the change of control or event that may constitute the change of control, we will deliver a notice to each holder, with a copy to the trustee, describing the transaction or transactions that constitute or may constitute the change of control repurchase event and offering (the “change of control offer”) to repurchase the notes on the repurchase date specified in the notice at the option of the holders, which date will be no earlier than 30 days and no later than 60 days from the date such notice is delivered (a “change of control notice”). The notice shall, if delivered prior to the date of consummation of the change of control, state that our obligation to repurchase the notes is conditioned on a change of control repurchase event occurring on or prior to the repurchase date specified in the notice.</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Securities Exchange Act of 1934, as amended (the “Exchange Act”), and any other securities laws and regulations thereunder to the extent those laws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46"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and regulations are applicable in connection with any repurchase of the notes as a result of a change of control repurchase event. To the extent the provisions of any such securities laws or regulations conflict with the “Purchase of Notes upon a Change of Control Repurchase Event” provisions of the indenture, we will comply with those securities laws and regulations and shall not be deemed to have breached our obligations under the “Purchase of Notes upon a Change of Control Repurchase Event” provisions of the indenture by virtue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otherwise use commercially reasonable efforts to permit holders to exercise their rights and to fulfill our obligations in the time and in the manner specified in these provisions of the indenture to the extent permitted by such securities laws or regulations.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repurchase date following a change of control repurchase event, we will, to the extent lawful:</w:t>
      </w:r>
    </w:p>
    <w:p>
      <w:pPr>
        <w:spacing w:after="0" w:line="117" w:lineRule="exact"/>
        <w:rPr>
          <w:sz w:val="20"/>
          <w:szCs w:val="20"/>
          <w:color w:val="auto"/>
        </w:rPr>
      </w:pPr>
    </w:p>
    <w:p>
      <w:pPr>
        <w:ind w:left="820" w:hanging="264"/>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the notes or portions of the notes properly tendered pursuant to our change of control notice;</w:t>
      </w:r>
    </w:p>
    <w:p>
      <w:pPr>
        <w:spacing w:after="0" w:line="225"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repurchase price in respect of all the notes or portions of the notes properly tendered; and</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repurchased by us.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paying agent will promptly deliver to each holder of notes properly tendered the repurchase price for the notes, and the trustee will promptly authenticate and mail (or cause to be transferred by book-entry) to each holder of a certificated note, a new certificated note equal in principal amount to any unpurchased portion of any such notes surrendered.</w:t>
      </w:r>
    </w:p>
    <w:p>
      <w:pPr>
        <w:spacing w:after="0" w:line="176"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If holders of not less than 90% in aggregate principal amount of the outstanding notes of a series validly tender and do not withdraw such notes in a change of control offer and we, or any third party making a change of control offer in lieu of us, as described below, purchases all of the notes validly tendered and not withdrawn by such holders, we will have the right, upon not less than 10 nor more than 60 days’ prior notice, given not more than 30 days following such purchase pursuant to the change of control offer described above, to redeem all notes of such series that remain outstanding following such purchase at a redemption price in cash equal to 101% of the principal amount thereof, plus accrued and unpaid interest, if any, to, but excluding, the date of redemption (subject to the right of holders of record on a record date to receive interest on the relevant interest payment date).</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limitations discussed below, we could, in the future, enter into certain transactions, including acquisitions, refinancings or other recapitalizations, that would not constitute a change of control under the indenture, but that could increase the amount of indebtedness outstanding at such time or otherwise affect our capital structure or the credit ratings of the notes. Restrictions on our ability to incur liens and enter into sale and leaseback transactions are contained in the covenants as described below under “—Certain Covenants—Limitation on Liens” and “—Certain Covenants —Limitation on Sale and Leaseback Transactions.” Except for the limitations contained in such covenants, the covenant relating to repurchases upon the occurrence of a change of control repurchase event and the covenant described in the accompanying prospectus under “Description of the Debt Securities—Merger, Consolidation or Sale of Assets,” however, the indenture will not contain any covenants or provisions that may afford holders of the notes protection in the event of a highly leveraged transaction.</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 change of control offer in connection with a change of control repurchase event if a third party makes such an offer in connection with such change of control repurchase event in the manner and at the times required and otherwise in compliance with the requirements for such an offer made by us, and such third party purchases all notes properly tendered and not withdrawn under its offer.</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phrase “all or substantially all,” as used with respect to our assets and the assets of our subsidiaries in the definition of “change of control,” is subject to interpretation under applicable state law, and its applicability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 given instance would depend upon the facts and circumstances. Although there is a limited body of case law interpreting the phrase “substantially all,” there is no precise established definition of the phrase under applicable law. As a result, there may be a degree of uncertainty in ascertaining whether a sale or transfer of “all or substantially all” of our assets and the assets of our subsidiaries has occurred in a particular instance, in which case a holder’s ability to obtain the benefit of these provisions could be uncertain.</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Furthermore, holders may not be entitled to require us to repurchase their notes in certain circumstances involving a significant change in the composition of our board of directors unless such change otherwise constitutes a change of control repurchase event.</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not have sufficient funds to repurchase all the notes upon a change of control repurchase event. In addition, even if we have sufficient funds, we may be prohibited from repurchasing the notes under the terms of our future debt instruments. Furthermore, a failure to repurchase the notes upon a change of control repurchase event could constitute an event of default under our 2022 Credit Agreement. See “Risk Factors—Risks Related to the Notes—We may not be able to repurchase all of the notes upon a change of control repurchase event, which would result in a default under the notes and may constitute an event of default under our existing or future indebtedness.”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discussion of a repurchase at the option of holders, the following definitions are applicable:</w:t>
      </w:r>
    </w:p>
    <w:p>
      <w:pPr>
        <w:spacing w:after="0" w:line="117"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“change of control” means the occurrence of any of the following: (1) the direct or indirect sale, transfer, conveyance or other disposition (other than by way of merger or consolidation), in one or a series of related transactions, of all or substantially all of our assets and the assets of our subsidiaries taken as a whole to any “person” (as that term is used in Section 13(d)(3) of the Exchange Act) other than to us or one of our subsidiaries;</w:t>
      </w:r>
    </w:p>
    <w:p>
      <w:pPr>
        <w:spacing w:after="0" w:line="2" w:lineRule="exact"/>
        <w:rPr>
          <w:sz w:val="20"/>
          <w:szCs w:val="20"/>
          <w:color w:val="auto"/>
        </w:rPr>
      </w:pPr>
    </w:p>
    <w:p>
      <w:pPr>
        <w:ind w:left="120" w:hanging="4"/>
        <w:spacing w:after="0" w:line="251"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adoption of a plan by our board of directors relating to our liquidation or dissolution; (3) the consummation of any transaction (including, without limitation, any merger or consolidation) the result of which is that any person becomes the “beneficial owner” (as defined in Rules 13d-3 and 13d-5 under the Exchange Act), directly or indirectly, of more than 50% of the aggregate of the total voting power of our voting shares or other voting shares into which our voting shares are reclassified, consolidated, exchanged or changed, measured by voting power rather than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(x) a person shall not be deemed beneficial owner of, or to own beneficially, (A) any securities tendered pursuant to a tender or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and (y) a transaction will not be deemed to involve a change of control under this clause (3) if (A) we become a direct or indirect wholly-owned subsidiary of a holding company and (B)(i) the direct or indirect holders of the voting shares of such holding company immediately following that transaction are substantially the same as the holders of our voting shares immediately prior to that transaction and each holder holds substantially the same percentage of voting shares of such holding company as such holder held of our shares immediately prior to that transaction or (iii) our voting shares outstanding immediately prior to such transaction are converted into or exchanged for, a majority of the voting stock of such holding company immediately after giving effect to such transaction; or (4) we consolidate with, or merge with or into, any person, or any person consolidates with, or merges with or into, us, in any such event pursuant to a transaction in which any of our outstanding voting shares or the outstanding voting shares of such other person is converted into or exchanged for cash, securities or other property, other than any such transaction where our voting shares outstanding immediately prior to such transaction constitute, or are converted into or exchanged for, a majority of the voting shares (measured by voting power) of the surviving person or any direct or indirect parent company of any surviving person immediately after giving effect to such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repurchase event” means the occurrence of both a change of control and a ratings event.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“investment grade” means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3"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“rating agency” means Moody’s and S&amp;P;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either Moody’s or S&amp;P ceases to rate the notes of any series or fails to make a rating of the applicable series of notes publicly available, “</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will include a substitute rating agency appointed by the Company.</w:t>
      </w:r>
    </w:p>
    <w:p>
      <w:pPr>
        <w:spacing w:after="0" w:line="16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“rating category” means (i) with respect to S&amp;P, any of the following categories: AAA, AA, A, BBB, BB, B, CCC, CC, C and D (or equivalent successor categories); (ii) with respect to Moody’s, any of the following categories: Aaa, Aa, A, Baa, Ba, B, Caa, Ca, C and D (or equivalent successor categories); and (iii) the equivalent of any such category of S&amp;P or Moody’s used by a substitute rating agency.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“ratings event” means that the applicable series of notes ceases to be rated investment grade by both rating agencies on any day during the period (the “trigger period”) commencing on the earlier of (a) the first public notice of the occurrence of a change of control or (b) the public announcement by us of our intention to effect a change of control, and ending 60 days following consummation of such change of control (which period shall be extended so long as the rating of the applicable series of notes is under publicly announced consideration for a possible rating downgrade by either of the rating agencies on such 60th day, such extension to last with respect to each such rating agency until the date on which such rating agency considering such possible downgrade either (x) rates the applicable series of notes below investment grade or (y) publicly announces that it is no longer considering the notes for possible downgrade,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extension will occur if on such 60th day the applicable series of notes is rated investment grade by at least one of such rating agencies in question and is not subject to review for possible downgrade by such rating agency). If either rating agency is not providing a rating of that series of notes on any day during the trigger period for any reason (subject, for the avoidance of doubt, to our right to engage a substitute rating agency as provided in this prospectus supplement), the rating of such rating agency for such series of notes shall be deemed to have ceased to be investment grade during the trigger period.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Standard &amp; Poor’s Ratings Services, a division of The McGraw-Hill Companies, Inc. and its successors.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“substitute rating agency” means a “nationally recognized statistical rating organization” within the meaning of Section 3(a)(62) of the Exchange Act, selected by us as a replacement agency for Moody’s or S&amp;P, or both of them, as the case may be.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“voting shares” of any specified “person” (as that term is used in Section 13(d)(3) of the Exchange Act) as of any date means the capital stock of such person that is at the time entitled to vote generally in the election of the board of directors of such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may from time to time, without notice to or the consent of the holders of the notes, create and issue notes of any series having the same terms as, and ranking equally and ratably with, such series of notes in all respects (except for the issue date and, if applicable, the payment of interest accruing prior to the issue date of such additional notes and the first payment of interest following the issue date of such additional notes). Such additional notes of a series may be consolidated and form a single series with, and will have the same terms as to ranking, redemption, waivers, amendments or otherwise, as the notes of such series, and will vote together as one class on all matters with respect to the notes of such series, as the case may be;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additional notes are not fungible with the outstanding notes of the applicable series for U.S. federal income tax purposes,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notes will have one or more separate CUSIP numbers.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below, neither we nor any of our subsidiaries will be restricted by the indenture from:</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any indebtedness or other obligation,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dividends or making distributions on our capital stock or the capital stock of such subsidiaries,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or redeeming our capital stock or the capital stock of such subsidiaries.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will not be required to maintain any financial ratios or specified levels of net worth or liquidity or to repurchase or redeem or otherwise modify the terms of the notes upon a change of control or other events involving us or any of our subsidiaries that may adversely affect the creditworthiness of the notes, except to the limited extent provided under “—Purchase of Notes upon a Change of Control Repurchase Event” above. Among other things, the indenture will not contain covenants designed to afford holders of the notes any protections in the event of a highly leveraged or other transaction involving us that may adversely affect holders of the notes, except to the limited extent provided under “—Purchase of Notes upon a Change of Control Repurchase Event” above and in the accompanying prospectus under “Description of the Debt Securities—Merger, Consolidation or Sale of Assets.” In addition, the covenants described under “—Limitation on Liens” and “—Limitation on Sale and Leaseback Transactions” will apply only to “Principal Property” owned by us and our subsidiaries. As of the date of this prospectus, we and our subsidiaries only have a limited amount of assets that constitute “Principal Property.” The indenture will contain the following principal covenants in addition to those set forth in the accompanying prospectus under “Description of the Debt Securities—Covenants”: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not, and we will not permit any of our subsidiaries to, create or incur any Lien upon any Principal Property of ours or any of our subsidiaries (whether now existing or owned or hereafter created or acquired), in order to secure any indebtedness of ours or any of our subsidiaries unless prior to or at the same time, the notes (together with, at our option, any other indebtedness or guarantees of ours or any of our subsidiaries ranking equally in right of payment with the notes or such guarantee) are equally and ratably secured with or, at our option, prior to, such secured indebtedness, until such time as such indebtedness or guarantees are no longer secured by such Lien or such Principal Property is no longer owned by us or any of our subsidiaries.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restriction does not apply to:</w:t>
      </w:r>
    </w:p>
    <w:p>
      <w:pPr>
        <w:spacing w:after="0" w:line="117" w:lineRule="exact"/>
        <w:rPr>
          <w:sz w:val="20"/>
          <w:szCs w:val="20"/>
          <w:color w:val="auto"/>
        </w:rPr>
      </w:pPr>
    </w:p>
    <w:p>
      <w:pPr>
        <w:ind w:left="120" w:right="640" w:firstLine="436"/>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Principal Property existing with respect to any person at the time such person becomes a direct or indirect subsidiary of ours,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Lien was not incurred in anticipation of such person becoming a subsidiary;</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Principal Property at the time of acquisition thereof or at the time of acquisition by us or any of our subsidiaries of any person then owning such Principal Property whether or not such existing Liens were given to secure the payment of the purchase price of the Principal Property to which they attach;</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ours or any of our subsidiaries owing to us or any of our subsidiaries;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initial issuance of the notes (excluding any additional notes);</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Principal Property of a person existing at the time such person is merged into or consolidated with us or any of our subsidiaries, at the time such person becomes a subsidiary of ours, or at the time of a sale, lease or other disposition of all or substantially all of the Principal Property of a person to us or any of our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was not incurred in anticipation of the merger, consolidation, or sale, lease, other disposition or other such transaction;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20" w:hanging="264"/>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connection with a project financed with, and created to secure, a Non-recourse Obligation;</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to secure the notes;</w:t>
      </w:r>
    </w:p>
    <w:p>
      <w:pPr>
        <w:spacing w:after="0" w:line="225"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arising by operation of law, such as materialmens’, workmen or repairmen, carriers’, warehousemen’s and mechanic’s Liens and other similar Liens, in each case for sums not yet overdue by more than 90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w:t>
      </w:r>
    </w:p>
    <w:p>
      <w:pPr>
        <w:spacing w:after="0" w:line="183"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levies on Principal Property not yet due or payable or which are being contested in good faith by appropriate proceedings and for which adequate reserves in conformity with GAAP have been made;</w:t>
      </w:r>
    </w:p>
    <w:p>
      <w:pPr>
        <w:spacing w:after="0" w:line="161" w:lineRule="exact"/>
        <w:rPr>
          <w:rFonts w:ascii="Times New Roman" w:cs="Times New Roman" w:eastAsia="Times New Roman" w:hAnsi="Times New Roman"/>
          <w:sz w:val="18"/>
          <w:szCs w:val="18"/>
          <w:color w:val="auto"/>
        </w:rPr>
      </w:pPr>
    </w:p>
    <w:p>
      <w:pPr>
        <w:ind w:left="120" w:right="360" w:firstLine="436"/>
        <w:spacing w:after="0" w:line="282"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obligations with respect to statutory or regulatory requirements, bids, trade contracts, leases, statutory obligations, surety and appeal bonds, performance or return of money bonds and other obligations of a like nature;</w:t>
      </w:r>
    </w:p>
    <w:p>
      <w:pPr>
        <w:spacing w:after="0" w:line="161" w:lineRule="exact"/>
        <w:rPr>
          <w:rFonts w:ascii="Times New Roman" w:cs="Times New Roman" w:eastAsia="Times New Roman" w:hAnsi="Times New Roman"/>
          <w:sz w:val="18"/>
          <w:szCs w:val="18"/>
          <w:color w:val="auto"/>
        </w:rPr>
      </w:pPr>
    </w:p>
    <w:p>
      <w:pPr>
        <w:ind w:left="120" w:firstLine="436"/>
        <w:spacing w:after="0" w:line="258" w:lineRule="auto"/>
        <w:tabs>
          <w:tab w:leader="none" w:pos="8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under workmen’s compensation, unemployment insurance and other social security laws or similar legislation and liens of judgments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United States to secure surety, appeal or customs bonds, or deposits in litigation or other proceedings such as, but not limited to, interpleader proceedings;</w:t>
      </w:r>
    </w:p>
    <w:p>
      <w:pPr>
        <w:spacing w:after="0" w:line="183"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easements, rights-of-way, zoning restrictions, restrictions on the use of real property, and defects and irregularities in the title thereto, landlords’ Liens and other similar Liens none of which interfere materially with the use of the Principal Property covered thereby in the ordinary course of business and which do not, in our opinion, materially detract from the value of such Principal Property;</w:t>
      </w:r>
    </w:p>
    <w:p>
      <w:pPr>
        <w:spacing w:after="0" w:line="175" w:lineRule="exact"/>
        <w:rPr>
          <w:rFonts w:ascii="Times New Roman" w:cs="Times New Roman" w:eastAsia="Times New Roman" w:hAnsi="Times New Roman"/>
          <w:sz w:val="18"/>
          <w:szCs w:val="18"/>
          <w:color w:val="auto"/>
        </w:rPr>
      </w:pPr>
    </w:p>
    <w:p>
      <w:pPr>
        <w:ind w:left="120" w:right="220" w:firstLine="436"/>
        <w:spacing w:after="0" w:line="261"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Principal Property subject to such Liens;</w:t>
      </w:r>
    </w:p>
    <w:p>
      <w:pPr>
        <w:spacing w:after="0" w:line="179" w:lineRule="exact"/>
        <w:rPr>
          <w:rFonts w:ascii="Times New Roman" w:cs="Times New Roman" w:eastAsia="Times New Roman" w:hAnsi="Times New Roman"/>
          <w:sz w:val="18"/>
          <w:szCs w:val="18"/>
          <w:color w:val="auto"/>
        </w:rPr>
      </w:pPr>
    </w:p>
    <w:p>
      <w:pPr>
        <w:ind w:left="120" w:right="60" w:firstLine="436"/>
        <w:spacing w:after="0" w:line="254"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to finance the construction, acquisition (including acquisition through merger or consolidation), purchase or lease of, or repairs, improvements or additions to, Principal Property (including shares of capital stock), plant or equipment of ours or our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Lien may not extend to any other Principal Property owned by us or any of our subsidiaries at the time the Lien is incurred (other than Principal Property affixed or appurtenant thereto), and the indebtedness (other than any interest thereon) secured by the Lien may not be incurred more than 18 months after the later of the acquisition, completion of construction, repair, improvement, addition or commencement of full operation of the Principal Property subject to the Lien;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individual financings of equipment or other fixed or capital assets otherwise permitted to be secured under the indenture provided by any person (or its affiliates) may be cross-collateralized to other such financings provided by such person (or its affiliates);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36"/>
        <w:spacing w:after="0" w:line="282"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to secure cash or investment management or custodial services in the ordinary course of business or on insurance policies and the proceeds thereof securing the financing of the premiums with respect thereto;</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designed to protect us from fluctuations in interest rates, currencies, equities or the price of commodities and not for speculative purposes;</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82"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commercial letters of credit in the ordinary course of business that encumber cash, documents and other Principal Property relating to such letters of credit and proceeds thereof;</w:t>
      </w:r>
    </w:p>
    <w:p>
      <w:pPr>
        <w:spacing w:after="0" w:line="161" w:lineRule="exact"/>
        <w:rPr>
          <w:rFonts w:ascii="Times New Roman" w:cs="Times New Roman" w:eastAsia="Times New Roman" w:hAnsi="Times New Roman"/>
          <w:sz w:val="18"/>
          <w:szCs w:val="18"/>
          <w:color w:val="auto"/>
        </w:rPr>
      </w:pPr>
    </w:p>
    <w:p>
      <w:pPr>
        <w:ind w:left="120" w:right="60" w:firstLine="436"/>
        <w:spacing w:after="0" w:line="312" w:lineRule="auto"/>
        <w:tabs>
          <w:tab w:leader="none" w:pos="90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sale or transfer of any equity interests or other assets in a consolidation, merger or sale of assets transaction permitted under the indenture, customary rights and restrictions contained in agreements relating to such sale or transfer pending the completion thereof;</w:t>
      </w:r>
    </w:p>
    <w:p>
      <w:pPr>
        <w:spacing w:after="0" w:line="139" w:lineRule="exact"/>
        <w:rPr>
          <w:rFonts w:ascii="Times New Roman" w:cs="Times New Roman" w:eastAsia="Times New Roman" w:hAnsi="Times New Roman"/>
          <w:sz w:val="17"/>
          <w:szCs w:val="17"/>
          <w:color w:val="auto"/>
        </w:rPr>
      </w:pPr>
    </w:p>
    <w:p>
      <w:pPr>
        <w:ind w:left="120" w:right="560" w:firstLine="436"/>
        <w:spacing w:after="0" w:line="282"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 persons and not interfering in any material respect with our business or the business of any of our subsidiaries and which do not secure any indebtedness;</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filings or similar filings relating to operating leases entered into in the ordinary course of business;</w:t>
      </w:r>
    </w:p>
    <w:p>
      <w:pPr>
        <w:spacing w:after="0" w:line="161"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within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120" w:right="280" w:firstLine="436"/>
        <w:spacing w:after="0" w:line="266"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entered into in the ordinary course of business (including, intercompany licensing of intellectual property between ourselves and any of our subsidiaries and between our subsidiaries in connection with cost-sharing arrangements, distribution, marketing, make-sell or other similar arrangements) and which do not secure any indebtedness;</w:t>
      </w:r>
    </w:p>
    <w:p>
      <w:pPr>
        <w:spacing w:after="0" w:line="17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sublessor under any lease by us or any of our subsidiaries of real property or personal property;</w:t>
      </w:r>
    </w:p>
    <w:p>
      <w:pPr>
        <w:spacing w:after="0" w:line="225" w:lineRule="exact"/>
        <w:rPr>
          <w:rFonts w:ascii="Times New Roman" w:cs="Times New Roman" w:eastAsia="Times New Roman" w:hAnsi="Times New Roman"/>
          <w:sz w:val="18"/>
          <w:szCs w:val="18"/>
          <w:color w:val="auto"/>
        </w:rPr>
      </w:pPr>
    </w:p>
    <w:p>
      <w:pPr>
        <w:ind w:left="120" w:right="800" w:firstLine="436"/>
        <w:spacing w:after="0" w:line="282"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Principal Property incurred in connection with any transaction permitted under the “—Limitation on Sale and Leaseback Transactions” covenant described below; or</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9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extensions, renewals, refinancing or replacements of any Lien referred to in clauses (1) through (24) without increase of the principal of the indebtedness secured by such Lien (except to the extent of any fees or other costs associated with any such extension, renewal or replacement);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Liens permitted by any of clauses (1) through (24) shall not extend to or cover any Principal Property of ours or any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as the case may be, other than the Principal Property specified in such clauses and improvements to such Principal Property.</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restrictions set forth in the preceding paragraph, we and our subsidiaries will be permitted to incur indebtedness secured by Liens which would otherwise be subject to the foregoing restrictions without equally and ratably securing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indebtedness and the retirement of any indebtedness secured by Liens (other than Liens described in clauses (1) through (25) above) that is being retired substantially concurrently with such incurrence, the aggregate amount of all indebtedness secured by Liens (not including Liens permitted under clauses (1) through (25) above), together with all attributable debt outstanding pursuant to the second paragraph of the “—Limitation on Sale and Leaseback Transactions” covenant described below, does not exceed 7.5% of our Consolidated Total Assets. We and our subsidiaries also may, without equally and ratably securing the notes, create or incur Liens that extend, renew, substitute or replace (including successive extensions, renewals, substitutions or replacements), in whole or in part, any Lien permitted pursuant to the preceding sentence.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Sale and Leaseback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and will not permit any of our subsidiaries to, enter into any sale and leaseback transaction for the sale and leasing back of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Property, whether now owned or hereafter acquired, unless:</w:t>
      </w:r>
    </w:p>
    <w:p>
      <w:pPr>
        <w:spacing w:after="0" w:line="99" w:lineRule="exact"/>
        <w:rPr>
          <w:sz w:val="20"/>
          <w:szCs w:val="20"/>
          <w:color w:val="auto"/>
        </w:rPr>
      </w:pPr>
    </w:p>
    <w:p>
      <w:pPr>
        <w:ind w:left="820" w:hanging="264"/>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notes (excluding any additional notes);</w:t>
      </w:r>
    </w:p>
    <w:p>
      <w:pPr>
        <w:spacing w:after="0" w:line="225" w:lineRule="exact"/>
        <w:rPr>
          <w:rFonts w:ascii="Times New Roman" w:cs="Times New Roman" w:eastAsia="Times New Roman" w:hAnsi="Times New Roman"/>
          <w:sz w:val="18"/>
          <w:szCs w:val="18"/>
          <w:color w:val="auto"/>
        </w:rPr>
      </w:pPr>
    </w:p>
    <w:p>
      <w:pPr>
        <w:ind w:left="120" w:right="780" w:firstLine="43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us or any of our wholly owned subsidiaries of any Principal Property by us or a subsidiary;</w:t>
      </w:r>
    </w:p>
    <w:p>
      <w:pPr>
        <w:spacing w:after="0" w:line="161"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not more than three years (or which may be terminated by us or our subsidiaries within a period of not more than three years);</w:t>
      </w:r>
    </w:p>
    <w:p>
      <w:pPr>
        <w:spacing w:after="0" w:line="161"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to incur indebtedness secured by a Lien with respect to such sale and leaseback transaction without equally and ratably securing the notes pursuant to the second paragraph of the “—Limitation on Liens” covenant described above; or</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apply or any subsidiary applies an amount equal to the net proceeds from the sale of such Principal Property to the purchase of other Principal Property used or useful in our or its business or to the retirement of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(including the notes) within 365 days before or after the effective date of any such sale and leaseback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lieu of applying such amount to the retirement of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indebtedness, we may deliver notes to the trustee for cancellation, such notes to be credited at the cost thereof to us.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restrictions set forth in the preceding paragraph, we and our subsidiaries may enter into any sale and leaseback transaction which would otherwise be subject to the foregoing restrictions, if after giving effect thereto the aggregate amount of all Attributable Debt with respect to such transactions (not including Attributable Debt permitted under clauses (1) through (5) above), together with all indebtedness outstanding pursuant to the third paragraph of the “—Limitation on Liens” covenant described above, does not exceed 7.5% of our Consolidated Total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shall, to the extent required by Section 314(a) of the Trust Indenture Act, file with the trustee, within 15 days after the filing with the SEC, copies of the annual reports and of the information, documents and other reports (or copies of such portions of any of the foregoing as the SEC may by rules and regulations prescribe) which we are required to file with the SEC pursuant to Section 13 or 15(d) of the Exchange Act (other than confidential filings, documents subject to confidential treatment and correspondence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and the trustee shall have no obligation to determine whether or not such information, documents or reports have been filed pursuant to the EDGAR system (or its successor) or if we are not required to file information, documents or reports pursuant to either of these Sections, then we will file with the trustee and the SEC, in accordance with the rules and regulations prescribed from time to time by the SEC,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contain the following defined terms: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“Attributable Debt” means, with respect to any sale and leaseback transaction, at the time of determination, the lesser of (1) the fair market value of the Principal Property (as determined in good faith by our board of directors) subject to such transaction,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lease subsequent to the first date upon which it may be terminated) and (ii) the present value assuming no such termination.</w:t>
      </w:r>
    </w:p>
    <w:p>
      <w:pPr>
        <w:spacing w:after="0" w:line="18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“Consolidated Total Assets” means, as of any date of determination, the total assets of the Company and its subsidiaries on a consolidated basis as shown on or reflected on our most recent internal consolidated balance sheet, including relevant footnotes thereto (without duplication), prepared in accordance with GAAP, after giving effect to any acquisitions or dispositions occurring subsequent to the date of such balance sheet.</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“guarantee” means any obligation, contingent or otherwise, of any person directly or indirectly guaranteeing any indebtedness of any other person and any obligation, direct or indirect, contingent or otherwise, of such person</w:t>
      </w:r>
    </w:p>
    <w:p>
      <w:pPr>
        <w:spacing w:after="0" w:line="162" w:lineRule="exact"/>
        <w:rPr>
          <w:sz w:val="20"/>
          <w:szCs w:val="20"/>
          <w:color w:val="auto"/>
        </w:rPr>
      </w:pPr>
    </w:p>
    <w:p>
      <w:pPr>
        <w:ind w:left="120" w:right="40" w:firstLine="436"/>
        <w:spacing w:after="0" w:line="266"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66"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for purposes of assuring in any other manner the obligee of such indebtedness of the payment thereof or to protect such obligee against loss in respect thereof (in whole or in part);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term “guarantee” will not include endorsements for collection or deposit in the ordinary course of business. The term “guarantee,” when used as a verb, has a correlative meaning.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“Hedging Obligations” means, with respect to any specified person, the obligations of such person under:</w:t>
      </w:r>
    </w:p>
    <w:p>
      <w:pPr>
        <w:spacing w:after="0" w:line="117" w:lineRule="exact"/>
        <w:rPr>
          <w:sz w:val="20"/>
          <w:szCs w:val="20"/>
          <w:color w:val="auto"/>
        </w:rPr>
      </w:pPr>
    </w:p>
    <w:p>
      <w:pPr>
        <w:ind w:left="120" w:right="300" w:firstLine="436"/>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agreements (whether from fixed to floating or from floating to fixed), interest rate cap agreements and interest rate collar agreements;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manage interest rates or interest rate risk; and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currency exchange rates or commodity prices.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“indebtedness” means, with respect to any person, indebtedness of such person for borrowed money (including, without limitation, indebtedness for borrowed money evidenced by notes, bonds, debentures or similar instruments but not including Non-recourse Obligations), if and to the extent any of the foregoing indebtedness would appear as a liability upon an unconsolidated balance sheet of such person (but does not include contingent liabilities which appear only in a footnote to a balance sheet).</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“Lien” means any mortgage, lien, pledge, charge, or other security interest or encumbrance of any kind (including any conditional sale or other title retention agreement and any lease in the nature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“Non-recourse Obligation” means indebtedness or other obligations substantially related to (1) the acquisition of assets not previously owned by us or any direct or indirect subsidiaries of ours or (2) the financing of a project involving the development or expansion of our properties or properties of any direct or indirect subsidiaries of ours, as to which the obligee with respect to such indebtedness or obligation has no recourse to us or any direct or indirect subsidiary of ours or such subsidiary’s assets other than the assets which were acquired with the proceeds of such transaction or the project financed with the proceeds of such transaction (and the proceeds thereof).</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joint venture, association, joint-stock company, trust, unincorporated organization, government or any agency or political subdivision thereof or any other entity.</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“Principal Property” means (1) those real properties (and adjacent facilities) of the Company and any of its subsidiaries located at 110 West 44th Street, New York, New York 10036 and (2) any building, structure or other facility, together with the land upon which it is erected and any fixtures which are a part of the building, structure or other facility, located in the United States, and owned or leased or to be owned or leased by the Company or any of its subsidiaries, and in each case the net book value of which as of that date exceeds $50 million, other than any such land, building, structure or other facility or portion thereof which, in the opinion of the board of directors of the Company (or any committee thereof duly authorized to act on behalf of such board) by resolution determines in good faith not of material importance to the total business conducted by the Company and its restricted subsidiaries, considered as one enterprise.</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events of default set forth in the section entitled “Description of the Debt Securities—Events of Default” in the accompanying prospectus will not apply to the notes. Instead, each of the following will be an “event of default” under the indenture with respect to a series of notes:</w:t>
      </w:r>
    </w:p>
    <w:p>
      <w:pPr>
        <w:spacing w:after="0" w:line="54" w:lineRule="exact"/>
        <w:rPr>
          <w:sz w:val="20"/>
          <w:szCs w:val="20"/>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installment due and payable on any note of such series;</w:t>
      </w:r>
    </w:p>
    <w:p>
      <w:pPr>
        <w:spacing w:after="0" w:line="225" w:lineRule="exact"/>
        <w:rPr>
          <w:rFonts w:ascii="Times New Roman" w:cs="Times New Roman" w:eastAsia="Times New Roman" w:hAnsi="Times New Roman"/>
          <w:sz w:val="18"/>
          <w:szCs w:val="18"/>
          <w:color w:val="auto"/>
        </w:rPr>
      </w:pPr>
    </w:p>
    <w:p>
      <w:pPr>
        <w:ind w:left="120" w:right="280" w:firstLine="43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principal of or premium, if any, on any note of such series when due at its stated maturity date, upon optional redemption or otherwise;</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us to repurchase notes of such series tendered for repurchase following the occurrence of a change of control repurchase event in conformity with the covenant set forth above under “—Purchase of Notes upon a Change of Control Repurchase Event”;</w:t>
      </w:r>
    </w:p>
    <w:p>
      <w:pPr>
        <w:spacing w:after="0" w:line="161" w:lineRule="exact"/>
        <w:rPr>
          <w:rFonts w:ascii="Times New Roman" w:cs="Times New Roman" w:eastAsia="Times New Roman" w:hAnsi="Times New Roman"/>
          <w:sz w:val="18"/>
          <w:szCs w:val="18"/>
          <w:color w:val="auto"/>
        </w:rPr>
      </w:pPr>
    </w:p>
    <w:p>
      <w:pPr>
        <w:jc w:val="both"/>
        <w:ind w:left="120" w:right="180" w:firstLine="436"/>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our performance of any other covenant or agreement in respect of the notes of such series for 90 days after written notice has been given either to us by the trustee, or to us and the trustee by the holders of at least 25% in principal amount of the notes of such series then outstanding; and</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as set forth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Application of Discharge and Defeasance Provisions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accompanying prospectus contains a section entitled “Description of the Debt Securities—Defeasance, Discharge and Termination.” That section describes provisions for the satisfaction and discharge, full defeasance and covenant defeasance of debt securities issued under the indenture. Those provisions will apply to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The accompanying prospectus contains a section entitled “Description of the Debt Securities— Modification and Waiver.” That section describes provisions for modification, amendment, supplement or waiver of the provisions of the indenture. Those provisions will apply to the notes. In addition, we may amend or modify the indenture without the consent of any holder of notes of the series affected by the modifications or amendments in order to:</w:t>
      </w:r>
    </w:p>
    <w:p>
      <w:pPr>
        <w:spacing w:after="0" w:line="6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cure any ambiguity, omission, defect or inconsistency,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interests of the holders are not adversely affected;</w:t>
      </w:r>
    </w:p>
    <w:p>
      <w:pPr>
        <w:spacing w:after="0" w:line="13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the notes to any corresponding provision of this “Description of Notes” or the “Description of the Debt Securities” in the accompanying prospectus, as evidenced by an officers’ certificate;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notes of such series, subject to the limitations set forth in the indenture;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of our obligations in the case of a merger or consolidation and our discharge upon such assumption provided that the provision under “Description of the Debt Securities—Merger, Consolidation or Sale of Assets” in the accompanying prospectus is complied with;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or make any change that would provide any additional rights or benefits to the holders of the notes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notes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notes of such series in addition to or in place of certificated notes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appoint a successor or separate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interests of any holder of notes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qualification of the indenture under the Trust Indenture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Same-Day Settlement and Payment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will trade in the same-day funds settlement system of DTC until maturity or until we issue the notes in certificated form. DTC will therefore require secondary market trading activity in the notes to settle in immediately available funds. We can give no assurance as to the effect, if any, of settlement in immediately available funds on trading activity in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w:t>
      </w:r>
    </w:p>
    <w:p>
      <w:pPr>
        <w:spacing w:after="0" w:line="176"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DTC has advised as follows: DTC is a limited-purpose trust company organized under New York Banking Law, a “banking organization” within the meaning of the New York Banking Law, a member of the Federal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Beneficial Interests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We understand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a physical certificate of that interest.</w:t>
      </w:r>
    </w:p>
    <w:p>
      <w:pPr>
        <w:spacing w:after="0" w:line="19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All payments on the notes represented by a global note registered in the name of and held by DTC or its nominee will be made to DTC or its nominee, as the case may be, as the registered owner and holder of the global note.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premium, if any, or interest in respect of a global note, will credit participants’ accounts with payments in amounts proportionate to their respective beneficial interests in the principal amount of the global note as shown on the records of DTC or its nominee. We also expect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we, the underwriters, the trustee nor 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and until it is exchanged in whole or in part for certificated notes, each global note may not be transferred except as a whole by DTC to a nominee of DTC or by a nominee of DTC to DTC or another nominee of DTC. Transfers of beneficial interests in the notes between participants in DTC will be effected in the ordinary way in accordance with DTC rules and will be settled in same-day funds.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expect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Although we expect that DTC will agree to the foregoing procedures in order to facilitate transfers of interests in each global note among participants of DTC, DTC is under no obligation to perform or continue to perform such procedures, and such procedures may be discontinued at any time. Neither we, the underwriters, the trustee nor any agent under the indenture will have any responsibility for the performance or nonperformance by DTC or their participants or indirect participants of their respective obligations under the rules and procedures governing their operations.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described in the accompanying prospectus, DTC may exchange the global notes for notes in certificated form of like tenor and of an equal principal amount, in authorized denominations. These certificated notes will be registered in such name or names as DTC shall instruct the trustee. It is expected that such instructions may be based upon directions received by DTC from participants with respect to ownership of beneficial interests in global securities.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do not take responsibility for its accuracy.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Euroclear and Clearstream, Luxembourg</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the depositary for a global security is DTC, you may hold interests in the global notes through Clearstream Banking S.A. (“Clearstream, Luxembourg”), or Euroclear Bank S.A./N.V., as operator of the Euroclear System (“Euroclear”), in each case, as a participant in DTC. Euroclear and Clearstream, Luxembourg will hold interests, in each case, on behalf of their participants through customers’ securities accounts in the names of Euroclear and Clearstream, Luxembourg on the books of their respective depositaries, which in turn will hold such interests in customers’ securities in the depositaries’ names on DTC’s books.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the notes made through Euroclear or Clearstream, Luxembourg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Luxembourg, on the one hand, and other participants in DTC, on the other hand, would also be subject to DTC’s rules and procedures.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Luxembourg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who hold their interests through both DTC and Euroclear or Clearstream, Luxembourg may need to make special arrangements to finance any purchase or sales of their interests between the U.S. and European clearing systems, and those transactions may settle later than transactions within one clearing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notices required to be given to the holders of the notes will be given to DTC, as the registered holder of the global notes, in accordance with DTC’s procedures. In the event that the global notes are exchanged for notes in certificated form, notices to holders of the notes will be sent electronically or mailed by first-class mail, postage prepaid, to the addresses that appear on the register of holders maintained by the registrar.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Bank of New York Mellon is the trustee under the indenture and has also been appointed by us to act as registrar and paying agent for the notes. We and our affiliates maintain various commercial and service relationships with the trustee and its affiliates in the ordinary course of business in addition to those described in the accompanying prospectus, including asset and investment management and insurance services.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40"/>
          </w:cols>
          <w:pgMar w:left="320" w:top="455"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w:t>
      </w:r>
    </w:p>
    <w:p>
      <w:pPr>
        <w:spacing w:after="0" w:line="229" w:lineRule="exact"/>
        <w:rPr>
          <w:sz w:val="20"/>
          <w:szCs w:val="20"/>
          <w:color w:val="auto"/>
        </w:rPr>
      </w:pPr>
    </w:p>
    <w:p>
      <w:pPr>
        <w:ind w:left="120" w:right="400"/>
        <w:spacing w:after="0" w:line="258"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of the purchase, ownership and disposition of the notes. This summary deals only with notes held as capital assets within the meaning of Section 1221 of the Internal Revenue Code of 1986, as amended (the “Code”) (generally, assets held for investment) and purchased for cash pursuant to this offering at their “issue price” (the first price at which a substantial amount of the notes of the applicable series is sold to investors for cash (excluding sales to bond houses, brokers or similar persons or organizations acting in the capacity of underwriter, placement agent or wholesaler)).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the notes that is for United States federal income tax purposes any of the following:</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term “non-U.S. holder” means a beneficial owner of the notes that is for United States federal income tax purposes an individual, corporation, estate or trust that is neither a U.S. holder nor an entity or arrangement treated as a partnership for United States federal income tax purposes.</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any entity or arrangement classified as a partnership for United States federal income tax purposes holds the notes, the tax treatment of a partner in the partnership will generally depend upon the status of the partner and the activities of the partnership. If you are a partnership or a partner in a partnership considering an investment in the notes, you should consult your tax advisors.</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This summary does not represent a detailed description of the United States federal income tax consequences applicable to you if you are subject to special treatment under the United States federal income tax laws, including if you are:</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or dealer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insurance company or other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notes as part of an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has elected the mark-to-market method of accounting for your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any alternative minimum tax;</w:t>
      </w:r>
    </w:p>
    <w:p>
      <w:pPr>
        <w:spacing w:after="0" w:line="130" w:lineRule="exact"/>
        <w:rPr>
          <w:rFonts w:ascii="Times New Roman" w:cs="Times New Roman" w:eastAsia="Times New Roman" w:hAnsi="Times New Roman"/>
          <w:sz w:val="18"/>
          <w:szCs w:val="18"/>
          <w:color w:val="auto"/>
        </w:rPr>
      </w:pPr>
    </w:p>
    <w:p>
      <w:pPr>
        <w:ind w:left="5460" w:right="120" w:hanging="4804"/>
        <w:spacing w:after="0" w:line="454" w:lineRule="auto"/>
        <w:tabs>
          <w:tab w:leader="none" w:pos="10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United States federal income tax purposes (or a person who is an investor in such an entity); S-30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recognized on an applicable financial statement;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expatriate.</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United States Treasury regulations, administrative rulings and judicial decisions, in each case as of the date hereof. Those authorities may change or be subject to differing interpretations, possibly on a retroactive basis, so as to result in United States federal income tax consequences different from those summarized below. There can be no assurance that the United States Internal Revenue Service (the “IRS”) would not take, or that a court would not sustain, a position contrary to that discussed below regarding the United States federal income tax consequences of the purchase, ownership and disposition of the notes.</w:t>
      </w:r>
    </w:p>
    <w:p>
      <w:pPr>
        <w:spacing w:after="0" w:line="183"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 xml:space="preserve">This summary does not represent a detailed description of the United States federal income tax consequences to you in light of your particular circumstances and does not address other United States federal taxes (such as gift and estate taxes and the Medicare contribution tax on net investment income), or the effects of any state, local or non-United States tax laws. </w:t>
      </w:r>
      <w:r>
        <w:rPr>
          <w:rFonts w:ascii="Times New Roman" w:cs="Times New Roman" w:eastAsia="Times New Roman" w:hAnsi="Times New Roman"/>
          <w:sz w:val="17"/>
          <w:szCs w:val="17"/>
          <w:b w:val="1"/>
          <w:bCs w:val="1"/>
          <w:color w:val="auto"/>
        </w:rPr>
        <w:t>If you are considering the purchase of notes, you should consult your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advisors concerning the particular United States federal income tax consequences to you of the purchase, ownership and disposition of the notes, as well as the consequences to you arising under any other United States federal tax laws and the laws of any other taxing jurisdiction.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Certain Contingencies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certain circumstances (see,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“Description of the Notes—Purchase of Notes upon a Change of Control Repurchase Event” and “Description of the Notes—Special Mandatory Redemption”), we may be obligated to pay amounts in excess of stated interest or principal on the notes or to make payments in advance of their scheduled times. According to the applicable Treasury regulations, the possibility that any such payments in excess of stated interest and principal will be made or that any payments will be made in advance of their scheduled times will not affect the amount of interest income a U.S. Holder recognizes if, as of the date the notes were issued, such possibility is “remote” or the excess amount is considered to be “incidental” in the aggregate. We believe and intend to take the position that the possibility of any such payment is a “remote” or “incidental” contingency, and this discussion assumes that our position will be respected. Therefore, we do not intend to treat any such potential payments as part of the yield to maturity of any notes. Our determination that these contingencies are remote or incidental is binding on you unless you disclose your contrary position in the manner required by applicable United States Treasury regulations. Our determination is not, however, binding on the IRS, and if the IRS were to challenge this determination, you might be required to accrue income on your notes in excess of stated interest, and to treat as ordinary income rather than capital gain any income realized on the sale or other taxable disposition of a note before the resolution of the contingencies.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Stated interest on the notes will generally be taxable to you as ordinary income at the time it is received or accrued, in accordance with your regular method of accounting for United States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Redemption or Other Taxable Disposition of Notes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Upon the sale, exchange, retirement, redemption or other taxable disposition of a note, you generally will recognize gain or loss equal to the difference, if any, between the amount realized upon the disposition (less an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amount equal to any accrued and unpaid stated interest, which will be taxable as interest income as discussed above to the extent not previously included in income) and your adjusted tax basis in the note. Your adjusted tax basis in a note will, in general, be your cost for that note. Any gain or loss generally will be capital gain or loss. Capital gains of non-corporate U.S. holders (including individuals) derived in respect of capital assets held for more than one year are eligible for reduced rates of taxation. The deductibility of capital losses is subject to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below, United States federal withholding tax will not apply to any payment of interest on the notes under the “portfolio interest rule,” provided that:</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stock possessing 10% or more of the total combined voting power of all classes of our voting stock within the meaning of the Code and applicable United States Treasury regulations and are not a controlled foreign corporation that is related to us through actual or constructive stock ownership;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you provide to the applicable withholding agent your name and address on an applicable IRS Form W-8, and certify, under penalties of perjury, that you are not a United States person as defined under the Code or (b) you hold your notes through certain foreign intermediaries and satisfy the certification requirements of applicable United States Treasury regulations.</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a 30% United States federal withholding tax, unless you provide the applicable withholding agent with a properly executed:</w:t>
      </w:r>
    </w:p>
    <w:p>
      <w:pPr>
        <w:spacing w:after="0" w:line="67" w:lineRule="exact"/>
        <w:rPr>
          <w:sz w:val="20"/>
          <w:szCs w:val="20"/>
          <w:color w:val="auto"/>
        </w:rPr>
      </w:pPr>
    </w:p>
    <w:p>
      <w:pPr>
        <w:ind w:left="1080" w:right="2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W-8BEN or Form W-8BEN-E (or other applicable form) certifying an exemption from or reduction in withholding under the benefit of an applicable income tax treaty;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other applicable form) certifying that interest paid on the notes is effectively connected with your conduct of a trade or business in the United States (as discussed below under the following paragraph).</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you are engaged in a trade or business in the United States and interest on the notes is effectively connected with the conduct of that trade or business, then you will generally be subject to United States federal income tax on that interest on a net income basis (although you will be exempt from the 30% United States federal withholding tax, provided the certification requirements discussed immediately above are satisfied) in the same manner as if you were a United States person as defined under the Code, unless an applicable income tax treaty provides otherwise. In addition, if you are a foreign corporation, you may be subject to a branch profits tax equal to 30% (or a lower rate under an applicable income tax treaty) of your effectively connected earnings and profits, subject to certain adjustments.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Redemption or Other Taxable Disposition of the Notes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recognized on the sale, exchange, retirement, redemption or other taxable disposition of a note generally will not be subject to United States federal income tax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in which case you will generally be subject to United States federal income tax (and possibly branch profits tax</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if you are a foreign corporation) on such gain in the same manner as described above under “— Non-U.S. Holders— Interest” with respect to effectively connected interest, unless an applicable income tax treaty provides otherwise; or</w:t>
      </w:r>
    </w:p>
    <w:p>
      <w:pPr>
        <w:spacing w:after="0" w:line="67" w:lineRule="exact"/>
        <w:rPr>
          <w:sz w:val="20"/>
          <w:szCs w:val="20"/>
          <w:color w:val="auto"/>
        </w:rPr>
      </w:pPr>
    </w:p>
    <w:p>
      <w:pPr>
        <w:ind w:left="1080" w:right="14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days or more in the taxable year of the disposition, and certain other conditions are met, in which case you will generally be subject to United States federal income tax at a rate of 30% (or a lower rate under an applicable income tax treaty) on such gain (which may be offset by certain United States source capital losses, provided you have timely filed United States federal income tax returns with respect to such losses).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 general, information reporting requirements will apply to payments of interest on the notes and the proceeds of the sale or other taxable disposition (including a retirement or redemption) of a note paid to you (unless you are an exempt recipient). Backup withholding may apply to such payments if you fail to provide your taxpayer identification number or a certification of exempt status, or you otherwise failed to comply with applicable requirements of the backup withholding rules.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your United States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Interest paid to you and the amount of tax, if any, withheld with respect to those payments generally will be reported to the IRS. Copies of the information returns reporting such interest payments and any withholding may also be made available to the tax authorities in the country in which you reside under the provisions of an applicable income tax treaty. In general, you will not be subject to backup withholding with respect to payments of interest on the notes, provided that the applicable withholding agent has received from you the required certification that you are a non-U.S. holder described above in the third bullet point under “—Non-U.S. Holders—Interest.”</w:t>
      </w:r>
    </w:p>
    <w:p>
      <w:pPr>
        <w:spacing w:after="0" w:line="183"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you certify to the applicable withholding agent under penalties of perjury that you are a non-U.S. holder, or you otherwise establish an exemption.</w:t>
      </w:r>
    </w:p>
    <w:p>
      <w:pPr>
        <w:spacing w:after="0" w:line="15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your United States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United States federal withholding tax may apply to any interest paid on the notes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an interest payment is both subject to withholding under FATCA and subject to the withholding tax discussed above under “—Non-U.S. Holders—Interest,” the withholding under FATCA may be credited against, and therefore reduce, such other withholding tax. The United States Treasury has issued proposed regulations providing that the withholding provisions under FATCA do not apply with respect to payment of gross proceeds from a sale or other disposition (including a retirement or redemption) of the notes, which may be relied upon by taxpayers until final regulations are issued. You should consult your tax advisor regarding these rules and whether they may be relevant to your ownership and disposition of the notes.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the date of this prospectus supplement, the underwriters named below, for whom J.P. Morgan Securities LLC and Wells Fargo Securities, LLC are acting as representatives, have severally agreed to purchase from us, and we have agreed to sell to each underwriter, the principal amount of notes set forth opposite their names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12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62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   notes</w:t>
            </w:r>
          </w:p>
        </w:tc>
        <w:tc>
          <w:tcPr>
            <w:tcW w:w="6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   notes</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severally and not jointly, are obligated to take and pay for all of the notes offered by this prospectus supplement if any such notes are taken.</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underwriters initially propose to offer part of the notes directly to the public at the public offering prices set forth on the cover page of this prospectus supplement and part to certain dealers at a price that represents a concession not in excess of % of the principal amount of the 20 notes and % of the principal amount of the 20 notes. Any such dealers may resell any notes purchased from the underwriters to certain other brokers or dealers at a discount not to exceed % of the principal amount of the 20 notes and % of the principal amount of the 20 notes. After the initial offering of the notes, the offering prices and other selling terms may from time to time be varied by the representatives.</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which the underwriters may be required to make in respect of any such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Discounts and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underwriting discounts that we will pay to the underwriters in connection with this offering: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Paid by Us</w:t>
            </w:r>
          </w:p>
        </w:tc>
        <w:tc>
          <w:tcPr>
            <w:tcW w:w="980" w:type="dxa"/>
            <w:vAlign w:val="bottom"/>
          </w:tcPr>
          <w:p>
            <w:pPr>
              <w:spacing w:after="0"/>
              <w:rPr>
                <w:sz w:val="15"/>
                <w:szCs w:val="15"/>
                <w:color w:val="auto"/>
              </w:rPr>
            </w:pPr>
          </w:p>
        </w:tc>
      </w:tr>
      <w:tr>
        <w:trPr>
          <w:trHeight w:val="209"/>
        </w:trPr>
        <w:tc>
          <w:tcPr>
            <w:tcW w:w="1760" w:type="dxa"/>
            <w:vAlign w:val="bottom"/>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w:t>
            </w:r>
          </w:p>
        </w:tc>
        <w:tc>
          <w:tcPr>
            <w:tcW w:w="59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Per 20</w:t>
            </w: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right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spacing w:after="0"/>
              <w:rPr>
                <w:sz w:val="18"/>
                <w:szCs w:val="18"/>
                <w:color w:val="auto"/>
              </w:rPr>
            </w:pPr>
          </w:p>
        </w:tc>
      </w:tr>
      <w:tr>
        <w:trPr>
          <w:trHeight w:val="432"/>
        </w:trPr>
        <w:tc>
          <w:tcPr>
            <w:tcW w:w="924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color w:val="auto"/>
                <w:w w:val="99"/>
              </w:rPr>
              <w:t>Expenses associated with this offering to be paid by us, other than underwriting discounts, are estimated to be approximately $</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million.</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prices of the notes. Specifically, the underwriters may overallot in connection with the offering of the notes, creating a syndicate short position. In addition, the underwriters may bid for, and purchase, notes in the open market to cover syndicate short positions or to stabilize the prices of the notes. The underwriters may also impose a penalty bid. This occurs when a certain underwriter repays to the underwriters a</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portion of the underwriting discount received by it because the representatives have repurchased notes sold by or for the account of such underwriter in stabilizing or short covering transactions.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 The underwriters are not required to engage in any of these activities, and may end any of them at any time without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We do not intend to apply for listing of the notes on any securities exchange or for quotation of the notes on any automated dealer quotation system. We have been advised by the underwriters that they presently intend to make markets in the notes after completion of the offering. However, they are under no obligation to do so and may discontinue any market-making activities at any time without notice. We cannot assure the liquidity of the trading markets for the notes or that active public markets for the notes will develop. If active public trading markets for the notes do not develop, the market prices and liquidity of the notes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Such underwriters and their affiliates have received, or will receive, customary fees, expenses and commissions for these activities and services. J.P. Morgan Securities LLC and Wells Fargo Securities, LLC served as joint book-running managers in connection with our $2.7 billion offering of our Existing Notes in April 2022. An affiliate of J.P. Morgan Securities LLC is the administrative agent and a lender, and an affiliate of Wells Fargo Securities, LLC is the syndication agent and a lender, under each of our Term Loan and 2022 Credit Agreement, and affiliates of certain of the other underwriters are lenders under the Term Loan and/or the 2022 Credit Agreement, for which these affiliates have been and will be paid customary fees. As noted in “Use of Proceeds”, we intend to use the net proceeds from this offering to repay in full the Term Loan. See “Conflicts of Interest” below. In addition, J.P. Morgan Securities LLC and/or one of its affiliates was engaged as a financial advisor to the Company in connection with the Zynga Acquisition, for which it has been paid customary fees and expenses.</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If any of the underwriters or their respective affiliates have a lending relationship with us, certain of those underwriters or their respective affiliates routinely hedge, and certain other of those underwriters may hedge, their credit exposure to us consistent with their customary risk management policies. Typically, these underwriters and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spacing w:after="0"/>
        <w:tabs>
          <w:tab w:leader="none" w:pos="5500" w:val="left"/>
          <w:tab w:leader="none" w:pos="8100" w:val="left"/>
        </w:tabs>
        <w:rPr>
          <w:sz w:val="20"/>
          <w:szCs w:val="20"/>
          <w:color w:val="auto"/>
        </w:rPr>
      </w:pPr>
      <w:r>
        <w:rPr>
          <w:rFonts w:ascii="Times New Roman" w:cs="Times New Roman" w:eastAsia="Times New Roman" w:hAnsi="Times New Roman"/>
          <w:sz w:val="18"/>
          <w:szCs w:val="18"/>
          <w:color w:val="auto"/>
        </w:rPr>
        <w:t>Delivery of the notes is expected to be made against payment on</w:t>
      </w:r>
      <w:r>
        <w:rPr>
          <w:sz w:val="20"/>
          <w:szCs w:val="20"/>
          <w:color w:val="auto"/>
        </w:rPr>
        <w:tab/>
      </w:r>
      <w:r>
        <w:rPr>
          <w:rFonts w:ascii="Times New Roman" w:cs="Times New Roman" w:eastAsia="Times New Roman" w:hAnsi="Times New Roman"/>
          <w:sz w:val="18"/>
          <w:szCs w:val="18"/>
          <w:color w:val="auto"/>
        </w:rPr>
        <w:t>, 2023, which will be the</w:t>
      </w:r>
      <w:r>
        <w:rPr>
          <w:sz w:val="20"/>
          <w:szCs w:val="20"/>
          <w:color w:val="auto"/>
        </w:rPr>
        <w:tab/>
      </w:r>
      <w:r>
        <w:rPr>
          <w:rFonts w:ascii="Times New Roman" w:cs="Times New Roman" w:eastAsia="Times New Roman" w:hAnsi="Times New Roman"/>
          <w:sz w:val="17"/>
          <w:szCs w:val="17"/>
          <w:color w:val="auto"/>
        </w:rPr>
        <w:t>business day following the date hereof</w:t>
      </w:r>
    </w:p>
    <w:p>
      <w:pPr>
        <w:spacing w:after="0" w:line="27"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(this settlement cycle being referred to as “T+ ”). Under Rule 15c6-1 of the Exchange Act, trades in the secondary market generally are required to settle in two business days, unless the parties to any such trade expressly agree otherwise. Accordingly, purchasers who wish to trade the notes on any date prior to two business days before delivery will be required, by virtue of the fact that the notes initially will settle in T+ , to specify alternate settlement arrangements at the time of any such trade to prevent a failed settlement and should consult their own advisers.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Because affiliates of J.P. Morgan Securities LLC and Wells Fargo Securities, LLC are lenders under our Term Loan and each will receive 5% or more of the net proceeds of this offering due to the repayment of borrowings under our Term Loan, each of J.P. Morgan Securities LLC and Wells Fargo Securities, LLC are deemed to have a conflict of interest within the meaning of FINRA Rule 5121. Accordingly, this offering will be conducted in accordance with Rule 5121. The appointment of a “qualified independent underwriter” is not required in connection with this offering as the notes will be rated by one or more of the nationally recognized statistical rating organizations in one of the four highest generic rating categories.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Pursuant to FINRA Rule 5121, J.P. Morgan Securities LLC and Wells Fargo Securities, LLC will not confirm any sales to any account over which they exercise discretionary authority without the specific written approval of the account holder. See “Use of Proceeds” for additional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are offered for sale in those jurisdictions in the United States, Europe, Asia and elsewhere where it is lawful to make such offers.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 to Canadian Residents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 to Prospective Investors in the European Economic Area</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 to Prospective Investors in the United Kingdom</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notes have not been and may not be offered or sold in Hong Kong by means of any document other than (i) to “professional investors” as defined in the Securities and Futures Ordinance (Cap. 571, Laws of Hong Kong) (“SFO”) and any rules made thereunder, or (ii) in other circumstances which do not result in the document being a “prospectus” as defined in the Companies (Winding Up and Miscellaneous Provisions) Ordinance (Cap. 32, Laws of Hong Kong) or which do not constitute an offer to the public within the meaning of that Ordinance, and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transferable for six months after that corporation or that trust has acquired the notes pursuant to an offer made under Section 275 of the SFA except: (1) to an institutional investor or to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relevant person defined in Section 275(2) of the SFA, or to any person arising from an offer referred to in Section 275(1A) or Section 276(4)(i)(B) of the SFA, (2) where no consideration is given for the transfer, (3) where the transfer is by operation of law, (4) as specified in Section 276(7) of the SFA; or</w:t>
      </w:r>
    </w:p>
    <w:p>
      <w:pPr>
        <w:spacing w:after="0" w:line="1" w:lineRule="exact"/>
        <w:rPr>
          <w:sz w:val="20"/>
          <w:szCs w:val="20"/>
          <w:color w:val="auto"/>
        </w:rPr>
      </w:pPr>
    </w:p>
    <w:p>
      <w:pPr>
        <w:ind w:left="120" w:right="680" w:hanging="4"/>
        <w:spacing w:after="0" w:line="260"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 of Singapore.</w:t>
      </w:r>
    </w:p>
    <w:p>
      <w:pPr>
        <w:spacing w:after="0" w:line="17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Certain legal matters, including the validity of the notes offered hereby, will be passed upon for us by Willkie Farr &amp; Gallagher LLP, New York, New York. The underwriters have been represented in connection with this offering by Latham &amp; Watkins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Take-Two</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2022, and the effectiveness of Take-Two Interactive Software, Inc.’s internal control over financial reporting as of March 31, 2022 have been audited by Ernst &amp; Young LLP, independent registered public accounting firm, as set forth in their reports thereon, included therein, and incorporated herein by reference. Such consolidated financial statements and Take-Two Interactive Software, Inc. management’s assessment of the effectiveness of internal control over financial reporting as of March 31, 2022 are incorporated herein by reference in reliance upon such reports given on the authority of such firm as experts in accounting and auditing.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Zynga</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Zynga Inc. for the year ended December 31, 2021 and the effectiveness of Zynga Inc.’s internal control over financial reporting as of December 31, 2021 appearing in Zynga Inc.’s Annual Report (Form 10-K) and incorporated by reference in Take-Two Interactive Software, Inc.’s Current Report (Form 8-K) dated May 26, 2022, filed with the Securities and Exchange Commission, have been audited by Ernst &amp; Young LLP, independent registered public accounting firm, as set forth in their reports thereon, incorporated by reference therein, and incorporated herein by reference. Such consolidated financial statements and Zynga Inc. management’s assessment of the effectiveness of internal control over financial reporting as of December 31, 2021 are incorporated herein by reference in reliance upon such reports given on the authority of such firm as experts in accounting and auditing.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from which interested persons can electronically access our SEC filings. Our website address is </w:t>
      </w:r>
      <w:r>
        <w:rPr>
          <w:rFonts w:ascii="Times New Roman" w:cs="Times New Roman" w:eastAsia="Times New Roman" w:hAnsi="Times New Roman"/>
          <w:sz w:val="18"/>
          <w:szCs w:val="18"/>
          <w:i w:val="1"/>
          <w:iCs w:val="1"/>
          <w:color w:val="auto"/>
        </w:rPr>
        <w:t>www.take2games.com</w:t>
      </w:r>
      <w:r>
        <w:rPr>
          <w:rFonts w:ascii="Times New Roman" w:cs="Times New Roman" w:eastAsia="Times New Roman" w:hAnsi="Times New Roman"/>
          <w:sz w:val="18"/>
          <w:szCs w:val="18"/>
          <w:color w:val="auto"/>
        </w:rPr>
        <w:t>. The information and other content contained on, or accessible through, our website are not incorporated by reference into this prospectus supplement or the accompanying prospectus. We have included our website address in this prospectus supplement only as a textual reference and do not intend it to be an active link to our website.</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contained in documents that we file with them, which means that we can disclose important information to you by referring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this information. We incorporate by reference the documents listed below and any filings we will make with the SEC under Sections 13(a), 13(c), 14 or 15(d) of the Exchange Act after the date of this prospectus supplement and prior to the termination of the offering of securities hereby. Unless specifically stated to the contrary, none of the information that we disclose under Items 2.02 or 7.01 of any Current Report on Form 8-K that we have furnished or may from time to time furnish with the SEC is or will be incorporated by reference in, or otherwise included in, this prospectus.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filed with the SEC are incorporated by reference in this prospectus supplement:</w:t>
      </w:r>
    </w:p>
    <w:p>
      <w:pPr>
        <w:spacing w:after="0" w:line="131" w:lineRule="exact"/>
        <w:rPr>
          <w:sz w:val="20"/>
          <w:szCs w:val="20"/>
          <w:color w:val="auto"/>
        </w:rPr>
      </w:pPr>
    </w:p>
    <w:p>
      <w:pPr>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March 31, 2022, filed on May 17, 2022 (including the portions of our Definitive Proxy Statement on </w:t>
      </w:r>
      <w:hyperlink r:id="rId6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2022 annual meeting of stockholders filed on July 27, 2022 incorporated by reference therein);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June 30, 2022, September 30, 2022 and December 31, 2022, filed on </w:t>
      </w:r>
      <w:hyperlink r:id="rId61">
        <w:r>
          <w:rPr>
            <w:rFonts w:ascii="Times New Roman" w:cs="Times New Roman" w:eastAsia="Times New Roman" w:hAnsi="Times New Roman"/>
            <w:sz w:val="18"/>
            <w:szCs w:val="18"/>
            <w:u w:val="single" w:color="auto"/>
            <w:color w:val="0000EE"/>
          </w:rPr>
          <w:t>August 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2">
        <w:r>
          <w:rPr>
            <w:rFonts w:ascii="Times New Roman" w:cs="Times New Roman" w:eastAsia="Times New Roman" w:hAnsi="Times New Roman"/>
            <w:sz w:val="18"/>
            <w:szCs w:val="18"/>
            <w:u w:val="single" w:color="auto"/>
            <w:color w:val="0000EE"/>
          </w:rPr>
          <w:t xml:space="preserve">November 8,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February 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40" w:hanging="424"/>
        <w:spacing w:after="0" w:line="258" w:lineRule="auto"/>
        <w:tabs>
          <w:tab w:leader="none" w:pos="1080" w:val="left"/>
        </w:tabs>
        <w:numPr>
          <w:ilvl w:val="0"/>
          <w:numId w:val="32"/>
        </w:numPr>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auto"/>
          </w:rPr>
          <w:t xml:space="preserve">our Current Reports on Form 8-K (in all cases other than information furnished rather than filed pursuant to any Form 8-K) filed </w:t>
        </w:r>
        <w:r>
          <w:rPr>
            <w:rFonts w:ascii="Times New Roman" w:cs="Times New Roman" w:eastAsia="Times New Roman" w:hAnsi="Times New Roman"/>
            <w:sz w:val="18"/>
            <w:szCs w:val="18"/>
            <w:u w:val="single" w:color="auto"/>
            <w:color w:val="0000EE"/>
          </w:rPr>
          <w:t>April 6,</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the risks relating to Zynga’s business detailed 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18,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19, 2022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 xml:space="preserve">May 26, 2022 </w:t>
        </w:r>
      </w:hyperlink>
      <w:hyperlink r:id="rId65">
        <w:r>
          <w:rPr>
            <w:rFonts w:ascii="Times New Roman" w:cs="Times New Roman" w:eastAsia="Times New Roman" w:hAnsi="Times New Roman"/>
            <w:sz w:val="18"/>
            <w:szCs w:val="18"/>
            <w:color w:val="000000"/>
          </w:rPr>
          <w:t>(as amended on</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August 5, 2022</w:t>
        </w:r>
      </w:hyperlink>
      <w:hyperlink r:id="rId65">
        <w:r>
          <w:rPr>
            <w:rFonts w:ascii="Times New Roman" w:cs="Times New Roman" w:eastAsia="Times New Roman" w:hAnsi="Times New Roman"/>
            <w:sz w:val="18"/>
            <w:szCs w:val="18"/>
            <w:color w:val="000000"/>
          </w:rPr>
          <w:t>) (including the consolidated financial statements of Zynga incorporated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reference therein), </w:t>
      </w:r>
      <w:hyperlink r:id="rId68">
        <w:r>
          <w:rPr>
            <w:rFonts w:ascii="Times New Roman" w:cs="Times New Roman" w:eastAsia="Times New Roman" w:hAnsi="Times New Roman"/>
            <w:sz w:val="18"/>
            <w:szCs w:val="18"/>
            <w:u w:val="single" w:color="auto"/>
            <w:color w:val="0000EE"/>
          </w:rPr>
          <w:t>June 24, 2022</w:t>
        </w:r>
      </w:hyperlink>
      <w:r>
        <w:rPr>
          <w:rFonts w:ascii="Times New Roman" w:cs="Times New Roman" w:eastAsia="Times New Roman" w:hAnsi="Times New Roman"/>
          <w:sz w:val="18"/>
          <w:szCs w:val="18"/>
          <w:color w:val="000000"/>
        </w:rPr>
        <w:t xml:space="preserve">, </w:t>
      </w:r>
      <w:hyperlink r:id="rId69">
        <w:r>
          <w:rPr>
            <w:rFonts w:ascii="Times New Roman" w:cs="Times New Roman" w:eastAsia="Times New Roman" w:hAnsi="Times New Roman"/>
            <w:sz w:val="18"/>
            <w:szCs w:val="18"/>
            <w:u w:val="single" w:color="auto"/>
            <w:color w:val="0000EE"/>
          </w:rPr>
          <w:t>August 19, 2022</w:t>
        </w:r>
      </w:hyperlink>
      <w:r>
        <w:rPr>
          <w:rFonts w:ascii="Times New Roman" w:cs="Times New Roman" w:eastAsia="Times New Roman" w:hAnsi="Times New Roman"/>
          <w:sz w:val="18"/>
          <w:szCs w:val="18"/>
          <w:color w:val="000000"/>
        </w:rPr>
        <w:t xml:space="preserve">, </w:t>
      </w:r>
      <w:hyperlink r:id="rId70">
        <w:r>
          <w:rPr>
            <w:rFonts w:ascii="Times New Roman" w:cs="Times New Roman" w:eastAsia="Times New Roman" w:hAnsi="Times New Roman"/>
            <w:sz w:val="18"/>
            <w:szCs w:val="18"/>
            <w:u w:val="single" w:color="auto"/>
            <w:color w:val="0000EE"/>
          </w:rPr>
          <w:t>September 19,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w:t>
      </w:r>
      <w:hyperlink r:id="rId71">
        <w:r>
          <w:rPr>
            <w:rFonts w:ascii="Times New Roman" w:cs="Times New Roman" w:eastAsia="Times New Roman" w:hAnsi="Times New Roman"/>
            <w:sz w:val="18"/>
            <w:szCs w:val="18"/>
            <w:u w:val="single" w:color="auto"/>
            <w:color w:val="0000EE"/>
          </w:rPr>
          <w:t>two filings</w:t>
        </w:r>
      </w:hyperlink>
      <w:r>
        <w:rPr>
          <w:rFonts w:ascii="Times New Roman" w:cs="Times New Roman" w:eastAsia="Times New Roman" w:hAnsi="Times New Roman"/>
          <w:sz w:val="18"/>
          <w:szCs w:val="18"/>
          <w:color w:val="000000"/>
        </w:rPr>
        <w:t xml:space="preserve">), </w:t>
      </w:r>
      <w:hyperlink r:id="rId72">
        <w:r>
          <w:rPr>
            <w:rFonts w:ascii="Times New Roman" w:cs="Times New Roman" w:eastAsia="Times New Roman" w:hAnsi="Times New Roman"/>
            <w:sz w:val="18"/>
            <w:szCs w:val="18"/>
            <w:u w:val="single" w:color="auto"/>
            <w:color w:val="0000EE"/>
          </w:rPr>
          <w:t>September 21, 2022</w:t>
        </w:r>
      </w:hyperlink>
      <w:r>
        <w:rPr>
          <w:rFonts w:ascii="Times New Roman" w:cs="Times New Roman" w:eastAsia="Times New Roman" w:hAnsi="Times New Roman"/>
          <w:sz w:val="18"/>
          <w:szCs w:val="18"/>
          <w:color w:val="000000"/>
        </w:rPr>
        <w:t xml:space="preserve">, </w:t>
      </w:r>
      <w:hyperlink r:id="rId73">
        <w:r>
          <w:rPr>
            <w:rFonts w:ascii="Times New Roman" w:cs="Times New Roman" w:eastAsia="Times New Roman" w:hAnsi="Times New Roman"/>
            <w:sz w:val="18"/>
            <w:szCs w:val="18"/>
            <w:u w:val="single" w:color="auto"/>
            <w:color w:val="0000EE"/>
          </w:rPr>
          <w:t>November 17, 2022</w:t>
        </w:r>
      </w:hyperlink>
      <w:r>
        <w:rPr>
          <w:rFonts w:ascii="Times New Roman" w:cs="Times New Roman" w:eastAsia="Times New Roman" w:hAnsi="Times New Roman"/>
          <w:sz w:val="18"/>
          <w:szCs w:val="18"/>
          <w:color w:val="000000"/>
        </w:rPr>
        <w:t xml:space="preserve">, </w:t>
      </w:r>
      <w:hyperlink r:id="rId74">
        <w:r>
          <w:rPr>
            <w:rFonts w:ascii="Times New Roman" w:cs="Times New Roman" w:eastAsia="Times New Roman" w:hAnsi="Times New Roman"/>
            <w:sz w:val="18"/>
            <w:szCs w:val="18"/>
            <w:u w:val="single" w:color="auto"/>
            <w:color w:val="0000EE"/>
          </w:rPr>
          <w:t>January 6,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February 7, 2023</w:t>
        </w:r>
      </w:hyperlink>
      <w:r>
        <w:rPr>
          <w:rFonts w:ascii="Times New Roman" w:cs="Times New Roman" w:eastAsia="Times New Roman" w:hAnsi="Times New Roman"/>
          <w:sz w:val="18"/>
          <w:szCs w:val="18"/>
          <w:color w:val="000000"/>
        </w:rPr>
        <w:t>;</w:t>
      </w:r>
    </w:p>
    <w:p>
      <w:pPr>
        <w:spacing w:after="0" w:line="88" w:lineRule="exact"/>
        <w:rPr>
          <w:rFonts w:ascii="Times New Roman" w:cs="Times New Roman" w:eastAsia="Times New Roman" w:hAnsi="Times New Roman"/>
          <w:sz w:val="18"/>
          <w:szCs w:val="18"/>
          <w:color w:val="0000EE"/>
        </w:rPr>
      </w:pPr>
    </w:p>
    <w:p>
      <w:pPr>
        <w:ind w:left="1080" w:right="1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our Registration Statement on </w:t>
      </w:r>
      <w:hyperlink r:id="rId76">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updated by </w:t>
      </w:r>
      <w:hyperlink r:id="rId7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2022, together with any subsequent amendment or report filed with the SEC for the purpose of updating this description;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 entitled </w:t>
      </w:r>
      <w:hyperlink r:id="rId78">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contained in our </w:t>
      </w:r>
      <w:hyperlink r:id="rId79">
        <w:r>
          <w:rPr>
            <w:rFonts w:ascii="Times New Roman" w:cs="Times New Roman" w:eastAsia="Times New Roman" w:hAnsi="Times New Roman"/>
            <w:sz w:val="18"/>
            <w:szCs w:val="18"/>
            <w:u w:val="single" w:color="auto"/>
            <w:color w:val="0000EE"/>
          </w:rPr>
          <w:t>joint proxy statement/prospectus</w:t>
        </w:r>
      </w:hyperlink>
      <w:r>
        <w:rPr>
          <w:rFonts w:ascii="Times New Roman" w:cs="Times New Roman" w:eastAsia="Times New Roman" w:hAnsi="Times New Roman"/>
          <w:sz w:val="18"/>
          <w:szCs w:val="18"/>
          <w:color w:val="auto"/>
        </w:rPr>
        <w:t>, filed April 7, 2022.</w:t>
      </w:r>
    </w:p>
    <w:p>
      <w:pPr>
        <w:spacing w:after="0" w:line="225" w:lineRule="exact"/>
        <w:rPr>
          <w:rFonts w:ascii="Times New Roman" w:cs="Times New Roman" w:eastAsia="Times New Roman" w:hAnsi="Times New Roman"/>
          <w:sz w:val="18"/>
          <w:szCs w:val="18"/>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herein any further filings we make with the SEC under Section 13(a), 13(c), 14 or 15(d) of the Exchange Act after the date of this prospectus supplement and until we terminate the offering of the notes. Our subsequent filings with the SEC will automatically update and supersede information in this prospectus.</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documents listed above (excluding the exhibits attached thereto unless those exhibits are specifically incorporated by reference into those documents) may be obtained free of charge by each person to whom a copy of this prospectus is delivered, upon written or oral request, by contacting us at Take-Two Interactive Software, Inc., 110 West 44th Street, New York, New York 10036, Attention: Chief Legal Officer, telephone number (646) 536-2842.</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97155</wp:posOffset>
            </wp:positionV>
            <wp:extent cx="702945" cy="668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029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1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By this prospectus, we may offer and sell from time to time our common stock, par value $.01 per share, and debt securities (which may be convertible into our common stock). We will determine when we sell securities, the amounts and types of securities we will sell and the prices and other terms on which we will sell them. We may sell securities to or through underwriters, dealers or agents or directly to purchasers.</w:t>
      </w:r>
    </w:p>
    <w:p>
      <w:pPr>
        <w:spacing w:after="0" w:line="6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describe in a prospectus supplement, which we will deliver with this prospectus, the terms of particular securities which we offer in the future. We may describe the terms of those securities in a term sheet or other offering materials which will precede the prospectus supplement. The prospectus supplement or term sheet or other offering materials may also add, update or change information contained in this prospectus. You should read this prospectus, any prospectus supplement, any free writing prospectus and any term sheet or other offering materials carefully before you invest in our securities.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prospectus supplement or related term sheet or other offering materials, if any, we will include the following information:</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or agents, if any, through which we will sell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amounts of securities, if any, which the underwriters will purchase;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if any, of those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risk factors associated with the securities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there is 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securities exchanges or automated quotation systems on which the securities will be listed or traded;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information about the offering and sale of the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7" w:lineRule="exact"/>
        <w:rPr>
          <w:sz w:val="20"/>
          <w:szCs w:val="20"/>
          <w:color w:val="auto"/>
        </w:rPr>
      </w:pPr>
    </w:p>
    <w:p>
      <w:pPr>
        <w:ind w:left="120" w:right="38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carefully consider the risks described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xml:space="preserve"> ” beginning on page 2 of this prospectus, as well as in the applicable prospectus supplement, any related free writing prospectus and other information contained or incorporated by reference in this prospectus and the applicable prospectus supplement, before making a decision to invest in our securities.</w:t>
      </w:r>
    </w:p>
    <w:p>
      <w:pPr>
        <w:spacing w:after="0" w:line="73"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 securities we may be offering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offered securities unless accompanied by a prospectus supplement.</w:t>
      </w:r>
    </w:p>
    <w:p>
      <w:pPr>
        <w:spacing w:after="0" w:line="11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6, 2022.</w:t>
      </w:r>
    </w:p>
    <w:p>
      <w:pPr>
        <w:sectPr>
          <w:pgSz w:w="11900" w:h="16838" w:orient="portrait"/>
          <w:cols w:equalWidth="0" w:num="1">
            <w:col w:w="11000"/>
          </w:cols>
          <w:pgMar w:left="320" w:top="455" w:right="5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Nobody has been authorized to give any information or to make any representations, other than those contained or incorporated in this prospectus or the applicable prospectus supplement. If given or made, that information or those representations may not be relied upon as having been authorized by us.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appearing in this prospectus and the documents incorporated herein by reference are accurate only as of their respective dates. Our business, financial condition, results of operations and prospects may have changed since those dates.</w:t>
      </w: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660" w:type="dxa"/>
            <w:vAlign w:val="bottom"/>
            <w:gridSpan w:val="1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320" w:type="dxa"/>
            <w:vAlign w:val="bottom"/>
            <w:gridSpan w:val="2"/>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3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77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INFORMATION INCORPORATED BY REFERENCE .</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940" w:type="dxa"/>
            <w:vAlign w:val="bottom"/>
            <w:tcBorders>
              <w:top w:val="single" w:sz="8" w:color="0000EE"/>
            </w:tcBorders>
            <w:gridSpan w:val="8"/>
          </w:tcPr>
          <w:p>
            <w:pPr>
              <w:spacing w:after="0"/>
              <w:rPr>
                <w:sz w:val="17"/>
                <w:szCs w:val="17"/>
                <w:color w:val="auto"/>
              </w:rPr>
            </w:pPr>
          </w:p>
        </w:tc>
        <w:tc>
          <w:tcPr>
            <w:tcW w:w="22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We may use it to sell any of the securities, or a combination of the securities, described in this prospectus from time to time in one or more offerings. This prospectus contains only a general description of the types of securities we may offer. Each time we propose to sell securities, we will file with the SEC a prospectus supplement that describes the specific securities that are being offered and the terms on which they are being offered. The prospectus supplement may also update or change information that is in this prospectus. Before purchasing our securities, you should read this prospectus and the prospectus supplement relating to the specific securities, as well as the information described under the heading “Where You Can Find More Information and Information Incorporated by Reference.”</w:t>
      </w:r>
    </w:p>
    <w:p>
      <w:pPr>
        <w:spacing w:after="0" w:line="188"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Nobody has been authorized to give any information or to make any representations, other than those contained or incorporated in this prospectus or the applicable prospectus supplement. If given or made, that information or those representations may not be relied upon as having been authorized by us. This prospectus does not constitute an offer to or solicitation of any person in any jurisdiction in which such an offer or solicitation would be unlawful.</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Industry and market data contained or incorporated by reference in this prospectus were obtained through company research, surveys and studies conducted by third parties and industry and general publications or based on our experience in the industry. We have not independently verified market and industry data from third-party sources. While we believe internal company surveys and assumptions are reliable and market definitions are appropriate, neither these surveys and assumptions nor these definitions have been verified by any independent sources and we cannot assure that they are accurate.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right="140"/>
        <w:spacing w:after="0" w:line="230" w:lineRule="auto"/>
        <w:rPr>
          <w:sz w:val="20"/>
          <w:szCs w:val="20"/>
          <w:color w:val="auto"/>
        </w:rPr>
      </w:pPr>
      <w:r>
        <w:rPr>
          <w:rFonts w:ascii="Times New Roman" w:cs="Times New Roman" w:eastAsia="Times New Roman" w:hAnsi="Times New Roman"/>
          <w:sz w:val="18"/>
          <w:szCs w:val="18"/>
          <w:color w:val="auto"/>
        </w:rPr>
        <w:t xml:space="preserve">TAKE-TWO INTERACTIVE and our T2 logo are among our key trademarks. This prospectus contains references to our trademarks, trade names and service marks and to those belonging to other entities. Solely for convenience, trademarks and trade names referred to in this prospectus, including any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that we will not assert our rights or the rights of the applicable licensor to these trademarks and trade names.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 statements contained herein which are not historical facts are considered forward-looking statements under federal securities laws and may be identified by words such as “anticipates,” “believes,” “estimates,” “expects,” “intends,” “plans,” “potential,” “predicts,” “projects,” “seeks,”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as the situation with the pandemic continues to evolve; the impact of reductions in interest rates by the Federal Reserve and other central banks, including on our short-term investment portfolio; the impact of potential inflation; volatility in foreign currency exchange rates; the occurrence of any event, change or other circumstances that could give rise to the termination of the merger agreement for the acquisition of Zynga Inc. (“Zynga”); the inability to obtain our or Zynga’s respective stockholder approval or the failure to satisfy other conditions to completion of the proposed acquisition, including receipt of regulatory approvals, on a timely basis or at all; risks that the proposed acquisition disrupts each company’s current plans and operations; the diversion of the attention of the respective management teams of Take-Two and Zynga from their respective ongoing business operations; the ability of either Take-Two, Zynga or the combined company to retain key personnel; the ability to realize the benefits of the proposed acquisition, including Net Bookings opportunities and cost synergies; the ability to successfully integrate Zynga’s business with Take-Two’s business or to integrate the businesses within the anticipated timeframe; the outcome of any legal proceedings that have been or may be instituted against Take-Two, Zynga or others related to the proposed acquisition; and the amount of the costs, fees, expenses and charges related to the proposed acquisition. Other important factors and information are discussed under the heading “Risk Factors” beginning on page 2, and are contained in our Annual Report on Form 10-K for the fiscal year ended March 31, 2021 and subsequently filed Quarterly Reports on Form 10-Q, in the section entitled “Risk Factors,” and our other periodic filings with the SEC, which can be accessed at www.sec.gov. All forward-looking statements are qualified by these cautionary statements and apply only as of the date they are made. We undertake no obligation to update any forward-looking statement, whether as a result of new information, future events or otherwise.</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and publish products principally through Rockstar Games, 2K, Private Division, and T2 Mobile Games. Our products are currently designed for console gaming systems, PC, and Mobile including smartphones and tablets. We deliver our products through physical retail, digital download, online platforms, and cloud streaming services.</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9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1993 and are headquartered at 110 West 44th Street, New York, New York 10036. Our telephone number is (646) 536-2842 and our website address is www.take2games.com. Our website and the information contained therein or connected thereto are not intended to be incorporated into this prospectus.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prospectus, unless otherwise specified, “Take-Two,” “we,” “us” and “our” refer to Take-Two Interactive Software, Inc. and its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January 9, 2022, we entered into an Agreement and Plan of Merger (as amended from time to time, the “Merger Agreement”) with Zebra MS I, Inc., a Delaware corporation and our direct wholly-owned subsidiary (“Merger Sub 1”), Zebra MS II, Inc., a Delaware corporation and our direct wholly-owned subsidiary (“Merger Sub 2”), and Zynga Inc. (“Zynga”), a Delaware corporation. Pursuant to the Merger Agreement, and subject to the satisfaction or waiver of the conditions set forth therein, Merger Sub 1 will be merged with and into Zynga (the “Merger”) with Zynga continuing as the surviving corporation and our wholly-owned subsidiary, and immediately following the Merger, the surviving corporation in the Merger will merge with and into Merger Sub 2, with Merger Sub 2 continuing as the surviving corporation (together with the Merger, the “Combination”). We currently expect the Combination to close in the first quarter of our fiscal year 2023, ending June 30, 2022. However, it is possible that factors outside the control of the parties to the Merger Agreement could result in the Combination being completed at a different time, or not at all.</w:t>
      </w:r>
    </w:p>
    <w:p>
      <w:pPr>
        <w:spacing w:after="0" w:line="19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the full text of the Merger Agreement, a copy of which is attached as Exhibit 2.1 to the Company’s Current Report on Form 8-K filed with the SEC on January 10, 2022, and is incorporated into this prospectus by reference.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carefully consider the risks described in Part I, Item 1A, Risk Factors, in our Annual Report on Form 10-K for the fiscal year ended</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March 31, 2021 and subsequently filed Quarterly Reports on Form 10-Q, together with the other information set forth in this prospectus and in the other documents that we include or incorporate by reference into this prospectus and any prospectus supplement we will provide in connection with our offering of securities described in this prospectus, which could materially affect our business, financial condition and future results. The risks described in our Annual Report on Form 10-K for the fiscal year ended March 31, 2021 and subsequently filed Quarterly Reports on Form 10-Q are not the only risks facing our company. Risks and uncertainties not currently known to us or that we currently deem to be immaterial also may materially adversely affect our business, financial condition and operating results. If any of the risks and uncertainties that are not yet identified or that we currently think are not material, actually occur, our business, financial condition and results of operations could be materially and adversely affected. In that event, the value of our securities could decline, and you may lose part or all of any investment in our securities.</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When we offer particular securities, we will describe in the prospectus supplement relating to the securities how we intend to use the proceeds of the sale of those securities.</w:t>
      </w:r>
    </w:p>
    <w:p>
      <w:pPr>
        <w:spacing w:after="0" w:line="37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and/or free writing prospectus a description of the common stock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5"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describes our common stock and the material provisions of our Restated Certificate of Incorporation, as amended (our “Certificate of Incorporation”) and our Third Amended and Restated By-Laws (our “By-Laws”). Because the following is only a summary, it does not contain all of the information that may be important to you, and is qualified in its entirety by the full text of our Certificate of Incorporation and By-Laws, copies of which are on file with the SEC and incorporated herein by reference. You should refer to the text of these documents for a complete description. Our authorized capital stock consists of 205,000,000 shares, with a par value of $0.01 per share, of which:</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are designated as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designated as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March 28, 2022, we had outstanding 115,419,585 shares of common stock and no shares of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Unless otherwise provided for in our Certificate of Incorporation, each stockholder shall at every meeting of stockholders be entitled to one vote in person or by proxy for each share of common stock held by such stockholder.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the preferential rights of the preferred stock, if any, the holders of shares of common stock shall be entitled to receive, when and if declared by our board of directors, out of the assets of the Company which are by law available therefor, dividends payable either in cash, in property or in shares of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the event of any dissolution, liquidation or winding-up of the affairs of the Company, after payment or provision for payment of the debts and other liabilities of the Company, and of the amounts to which the holders of preferred stock are entitled, if any, the holders of all outstanding shares of common stock shall be entitled to share ratably in the remaining net assets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Redemption or Conversion Rights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common stock is not subject to redemption or retirement, is not subject to sinking fund provisions, does not have any conversion rights and is not subject to call. The common stock does not have preemptive or other rights to subscribe for additional shares of any class of our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 for the Election of Directors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is not classified. Our Certificate of Incorporation and By-Laws provide that our board of directors may consist of any number of directors, not less than one and not more than ten.</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director shall be elected if the number of votes which are cast “for” his or her election by holders of the stock present in person or represented by proxy entitled to vote on the election of directors exceed the number of votes “against” his or her election by such holders; provided that, if the chairman of the meeting determines that the number of persons properly nominated to serve as directors of the corporation exceeds the number of directors to be elected, the directors shall be elected by a plurality of the stock present in person or represented by proxy entitled to vote on the election of directors. Our Certificate of Incorporation does not provide for cumulative voting in the election of directors.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board has the ability to fill vacancies on our board.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unless sooner displaced.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Stockholder Meetings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By-Laws provide for the right of stockholders to act by written consent without a meeting. In addition, our By-Laws provide that special meetings of the stockholders may be called by the executive chairman, non-executive chairman, chief executive officer or president and shall be called by the executive chairman, non-executive chairman, chief executive officer, president or secretary at the request in writing of a majority of the board of directors or at the request in writing of stockholders owning a majority in amount of the entire capital stock of the corporation issued and outstanding and entitled to vote.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Interested Stockholders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terms of Section 203 of the Delaware General Corporation Law (the “DGCL”) apply to us since we are a Delaware corporation. Pursuant to Section 203 of the DGCL, with certain exceptions, a Delaware corporation may not engage in any of a broad range of business combinations, such as mergers, consolidations and sales of assets, with an “interested stockholder,” as defined below, for a period of three years from the date that such person became an interested stockholder unless:</w:t>
      </w:r>
    </w:p>
    <w:p>
      <w:pPr>
        <w:spacing w:after="0" w:line="85" w:lineRule="exact"/>
        <w:rPr>
          <w:sz w:val="20"/>
          <w:szCs w:val="20"/>
          <w:color w:val="auto"/>
        </w:rPr>
      </w:pPr>
    </w:p>
    <w:p>
      <w:pPr>
        <w:ind w:left="1080" w:right="5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results in a person’s becoming an interested stockholder or the business combination is approved by the board of directors of the corporation before the person becomes an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results in the stockholder becoming an interested stockholder, the interested stockholder owns 85% or more of the voting stock of the corporation outstanding at the time the transaction commenced, excluding shares owned by persons who are directors and also officers and shares owned by certain employee stock plans; or</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time the person becomes an interested stockholder, the business combination is approved by the corporation’s board of directors and by holders of at least two-thirds of the corporation’s outstanding voting stock, excluding shares owned by the interested stockholder, at a meeting of stockholders.</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Under Section 203 of the DGCL, an “interested stockholder” is defined as any person, other than the corporation and any direct or indirect majority-owned subsidiary, that is:</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Section 203 of the DGCL does not apply to a corporation that so provides in an amendment to its certificate of incorporation or by-laws passed by a majority of its outstanding shares at any time. Such stockholder action does not become effective for 12 months following its adoption and would not apply to persons who were already interested stockholders at the time of the amendment. Our Certificate of Incorporation does not exclude us from the restrictions imposed under Section 203 of the DGCL.</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Under certain circumstances, Section 203 of the DGCL makes it more difficult for a person who would be an interested stockholder to effect various business combinations with a corporation for a three-year period, although the stockholders may elect to exclude a corporation from the restrictions imposed thereunder. The provisions of Section 203 of the DGCL may encourage companies interested in acquiring us to negotiate in advance with the Board, because the stockholder approval requirement would be avoided if a majority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directors then in office approve either the business combination or the transaction which results in the stockholder becoming an interested stockholder. These provisions also may have the effect of preventing changes in our management. It is further possible that such provisions could make it more difficult to accomplish transactions that stockholders may otherwise deem to be in their best interest.</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320" w:top="455" w:right="6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and the indenture to which this prospectus and any prospectus supplement may relate. The applicable prospectus supplement will describe the specific terms of the debt securities to be sold by us. Unless otherwise stated, any senior debt securities and any subordinated debt securities are together referred to as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We may issue from time to time one or more series of debt securities under an indenture to be entered into between us and The Bank of New York Mellon, as trustee, as supplemented from time to time (the “indenture”).</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direct, unsecured obligations. The senior debt securities will rank equally with all of our other senior debt. The indenture will not limit the amount of debt securities that we may issue.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following description of the debt securities is not complete and is subject to, and qualified in its entirety by, the detailed provisions of the indenture. The indenture is included as an exhibit to the registration statement of which this prospectus is a part. Whenever particular provisions of the indenture or terms defined in the indenture are referred to, those provisions or definitions are incorporated by reference. We urge you to read the indenture because the indenture defines your rights as a holder of debt securities, and describes in detail the terms of the debt securities summarized below. If any particular terms of the debt securities described in the applicable prospectus supplement differ from the terms described in this prospectus, then the terms described in the applicable prospectus supplement will amend, supplement or supersede the terms described in this prospectus. The terms of our debt securities will include those set forth in the indenture and those made a part of the indenture by the Trust Indenture Act of 1939, as amended.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Applicable to Debt Securities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prospectus supplement for a particular series of debt securities will contain the specific terms of the series of debt securities, which may include the following:</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as senior or subordinated debt securities and, if applicable, the subordination provisions that will apply;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the aggregate principal amount, the purchase price and the authorized denominations, if other than $2,000 and integral multiples of $1,000 thereafter;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payments on the debt securities will be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remaining outstanding principal amount, the principal amount of the debt securities that we will pay upon acceleration of their maturity;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each security registrar and/or paying agent;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if any, or the method of determination of such rate or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interest shall be payable;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premium or discount with which such debt securities will be issued or the method of determination of such premium or discount;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the interest, if any, shall accrue, the dates on which the interest, if any, will be payable and the method of determining holders to whom any of the interest shall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if any, at which, and the dates at or after which, we may or must repay, repurchase or redeem the debt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requirement to convert the debt securities into, or exchange the debt securities for, shares of our common stock or other securities or property and the factors considered in determining the conversion price or prices;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obligation with respect to the debt securities;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a transaction registered under the Securities Act and any restriction or condition on the transferability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issuable as global securities or definitive certificates and, in such case, the identity of the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exchanges or securities associations, if any, on which the debt securities may be listed or quoted;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covenants or defeasance provisions in the indenture;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way in which rights in respect of the debt securities are materially limited or qualified by the rights of any other authorized class of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material United States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 consistent with the provisions of the indenture.</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compute interest payments on the basis of a 360-day year consisting of twelve 30-day months.</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Some of the debt securities may be issued as discounted debt securities, which are debt securities sold at a substantial discount below their stated principal amount. The prospectus supplement relating to any discounted series of debt securities will describe any special consequences applicable to discounted debt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will not contain any provisions that:</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or issue any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declare dividends or require the maintenance of any asset ratios or the creation or maintenance of reserves; or</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protection in the event we choose to engage in a highly leveraged transaction, reorganization, restructuring, merger or similar transaction.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debt securities that are convertible into or exchangeable for our common stock, property or cash, or a combination of any of them. The terms, if any, on which debt securities of any series will be convertible or exchangeable will be summarized in the prospectus supplement relating to those debt securities. Those terms may include provisions, as applicable, for conversion or exchange on a mandatory basis, at your option, or at our option, in which case the number of shares of our common stock, property or cash, to be received upon the conversion or exchange of those debt securities would be calculated according to the factors and at such time as summarized in the related prospectus supplement. The applicable prospectus supplement will include a discussion of any material United States federal income tax consequences applicable to any such convertible or exchangeable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Reopening of Issue</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may, from time to time, reopen an issue of debt securities and issue additional debt securities with the same terms (including maturity date and interest rate) as debt securities issued on an earlier date. After such additional debt securities are issued, they will be fungible with the debt securities issued on the earlier date to the extent specified in the applicable prospectus supplement.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55"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unsecured, and will rank equal in right of payment with all of our existing and future unsecured and unsubordinated indebtedness. The ranking of the subordinated debt securities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debt securities protection in the event we have a change of control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for so long as any debt securities remain outstanding under the indenture, or any amount remains unpaid on any of the debt securities outstanding under the indenture, we will comply with the applicable terms of the covenants contained in the indenture and, with respect to a series of debt securities, such other covenants as may be provided in the terms of that series of debt securities and described in the applicable prospectus supplement. The indenture will include the following covenants: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of Securities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will duly and punctually pay the principal of, premium, if any, and interest on the debt securities in accordance with the terms of the debt securities and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 Reports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reporting requirements of Sections 13 and 15(d) under the Securities Exchange Act of 1934, as amended (the “Exchange Act”), and, in accordance with those requirements, we file certain reports and other information with the SEC. See “Where You Can Find More Information and Information Incorporated by Reference” below. If Sections 13 and 15(d) cease to apply to us, so that we no longer file those reports or other information with the SEC, we will instead provide copies of the reports and information that would have been required under Sections 13 and 15(d) of the Exchange Act to the trustee. Delivery of such reports, information and documents to the trustee will be for informational purposes only and the trustee’s receipt of such will not constitute constructive or actual notice or knowledge of any information contained therein or determinable from information contained therein, including our compliance with any of our covenants under the indenture.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We will not consolidate with or merge with or into or, directly or indirectly, sell, assign, convey, lease, transfer or otherwise dispose of all or substantially all of our properties and assets to any person or group of affiliated persons in a single transaction or series of related transactions, unless:</w:t>
      </w:r>
    </w:p>
    <w:p>
      <w:pPr>
        <w:spacing w:after="0" w:line="45" w:lineRule="exact"/>
        <w:rPr>
          <w:sz w:val="20"/>
          <w:szCs w:val="20"/>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if we are not the surviving entity, the surviving entity is a corporation organized and existing under the laws of the United States, any state or the District of Columbia;</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expressly assumes our obligations under the indenture and each outstanding series of debt securities and executes a supplemental indenture which is delivered, and is in form and substance reasonably satisfactory, to the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deliver to the trustee an officers’ certificate and an opinion of counsel, each in form reasonably satisfactory to the trustee, stating that the transaction or series of transactions and the supplemental indenture, if any, complies with the applicable provisions of the indenture, that all</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conditions precedent provided for in the indenture have been complied with and that such supplemental indenture is the legal, valid and binding obligation of the surviving entity enforceable in accordance with its terms.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properties and assets occurs in accordance with the indenture, the surviving entity (if other than us) will succeed to, and be substituted for, and may exercise every right and power we have under the indenture with the same effect as if such surviving entity had originally been named in the indenture and, except for any lease, we will be discharged from all obligations and covenants under the indenture and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will constitute “events of default” under the indenture with respect to a series of debt securities:</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installment due and payable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when due and payable on the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 in our performance of any other covenant or agreement in respect of the debt securities of such series for 90 days after written notice has been given either to us by the trustee, or to us and the trustee by the holders of at least 25% in principal amount of the debt securities of such series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bankruptcy, insolvency and reorganization specified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An event of default under one series of debt securities may, but will not necessarily, constitute an event of default under any other series of debt securities.</w:t>
      </w:r>
    </w:p>
    <w:p>
      <w:pPr>
        <w:spacing w:after="0" w:line="16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if an event of default (other than an event of default resulting from certain events of bankruptcy, insolvency or reorganization) occurs and is continuing with respect to any series of debt securities, either the trustee or the registered holders of at least 25% in aggregate principal amount of that series of debt securities may, by notice in writing to us and the trustee if given by the registered holders, declare the principal amount of those debt securities, any premium and any accrued and unpaid interest on those debt securities to be due and payable immediately. In the case of an event of default resulting from certain events of bankruptcy, insolvency or reorganization, the principal of, any premium and any accrued and unpaid interest on all outstanding debt securities will become and be immediately due and payable without any declaration or other act on the part of the trustee or any registered holder of outstanding debt securities. At any time after a declaration of acceleration, but before a judgment or decree for payment of money has been obtained, if all events of default with respect to those debt securities have been cured or waived (other than the nonpayment of principal of such debt securities which has become due solely by reason of the declaration of acceleration) then the acceleration and its consequences shall be automatically annulled and rescinded.</w:t>
      </w:r>
    </w:p>
    <w:p>
      <w:pPr>
        <w:spacing w:after="0" w:line="19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The indenture will require that we file annually with the trustee a compliance certificate describing any default by us in the performance of any conditions or covenants that has occurred under the indenture and the status of any such default. The trustee will be entitled under the indenture to be indemnified before proceeding to exercise any right or power under the indenture at the direction of the registered holders of the debt securities or which requires the trustee to expend or risk its own funds or otherwise incur any financial liability. The indenture will also provide that the registered holders of a majority in principal amount of the outstanding debt securities of any series issued under the indenture may direct the time, method and place of conducting any proceeding for any remedy available to the trustee or exercising any trust or power conferred on the trustee with respect to that series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of debt securities. The trustee, however, may refuse to follow any such direction that conflicts with law or the indenture, is unduly prejudicial to the rights of other registered holders of that series of debt securities, or would involve the trustee in personal liability.</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while the trustee generally must deliver notice of a default or an event of default to the registered holders of the debt securities of any series issued under the indenture within 90 days of the trustee’s knowledge of its occurrence (as provided in the indenture), the trustee may withhold notice of any default or event of default (except with respect to a default in payment on the debt securities) if and so long as a committee of its responsible officers in good faith determines that the withholding of such notice is in the interest of the registered holders of that series of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and the trustee may amend or supplement the indenture with respect to one or more series of debt securities if the holders of a majority in principal amount of the outstanding debt securities of each such series consent to it, except that no amendment or supplement may, without the consent of each affected registered holder of that series:</w:t>
      </w:r>
    </w:p>
    <w:p>
      <w:pPr>
        <w:spacing w:after="0" w:line="8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we must repay or change the date of 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change the time of payment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redemption or repurchase right to the detriment of the 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principal amount of debt securities needed to consent to an amendment, supplement or waiver;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the indenture relating to waiver of past defaults, rights of registered holders of the debt securities to receive payments or amendments of the indenture that require the consent of registered holders of each affected series.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of the debt securities of such series waive any past default under the indenture with respect to that series and its consequences, except a default in the payment of the principal, any premium or any interest on any debt security of that series or a default in respect of any provision that may not be amended without the consent of each affected registered holder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aggregate principal amount of the then outstanding debt securities of any series may rescind an acceleration and its consequences, including any related payment default that resulted from the acceleration.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Actions by Holders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 holder of debt securities of a series may not pursue any remedy with respect to the indenture or such series (except a registered holder of debt securities of such series may bring an action for payment of overdue principal, premium, if any, or interest on its debt securities), unless:</w:t>
      </w:r>
    </w:p>
    <w:p>
      <w:pPr>
        <w:spacing w:after="0" w:line="6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has given notice to the trustee of such series of a continuing event of default;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at least 25% in principal amount of that series of debt securities have made a written request to the trustee of such series to pursue such remedy;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registered holder or holders have offered the trustee of such series security or indemnity satisfactory to the trustee against any loss, liability or expense;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such series has not complied with such request within 60 days of such notice, request and offer;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a majority in principal amount of that series of debt securities have not given the trustee of such series a direction inconsistent with the request during that 60-day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Discharge and Termination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and Discharge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terms of the particular series of debt securities and described in the applicable prospectus supplement, the indenture will provide that we may discharge any and all of our obligations in respect of a series of debt securities, and, except with respect to certain provisions, the provisions of the indenture will no longer be in effect with respect to that series of debt securities on the 91st day after the date of the deposit with the trustee or paying agent, in trust, of money or U.S. Government Obligations in an amount sufficient to pay the principal, premium, if any, and interest on that series of debt securities, when due. Such discharge may only occur if, among other things:</w:t>
      </w:r>
    </w:p>
    <w:p>
      <w:pPr>
        <w:spacing w:after="0" w:line="89" w:lineRule="exact"/>
        <w:rPr>
          <w:sz w:val="20"/>
          <w:szCs w:val="20"/>
          <w:color w:val="auto"/>
        </w:rPr>
      </w:pPr>
    </w:p>
    <w:p>
      <w:pPr>
        <w:ind w:left="1080" w:hanging="424"/>
        <w:spacing w:after="0" w:line="25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either: (a) a ruling from the Internal Revenue Service (the “IRS”) to the effect that registered holders will not recognize income, gain or loss for U.S. federal income tax purposes as a result of the deposit, defeasance and discharge and will be subject to U.S. federal income tax on the same amount and in the same manner and at the same times as would have been the case if such deposit, defeasance and discharge had not occurred or (b) an opinion of outside counsel to the same effect as clause (a) accompanied by a ruling to that effect published by the IRS;</w:t>
      </w:r>
    </w:p>
    <w:p>
      <w:pPr>
        <w:spacing w:after="0" w:line="88"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 or during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shall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“U.S. Government Obligations” will be defined under the indenture as securities that are (x) direct obligations of the United States for the payment of which its full faith and credit is pledged or (y) obligations of a person controlled or supervised by and acting as an agency or instrumentality of the United States, the payment of which is unconditionally guaranteed as a full faith and credit obligation by the United States and which, in either case, are not callable or redeemable before their maturity.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Obligations in Certain Circumstances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we may at any time terminate any and all obligations in respect of a series of debt securities and, except with respect to certain provisions, the provisions of the indenture will no longer be in effect with respect to that series of debt securities if that series of debt securities matures or is redeemable within one year of such time and we deposit with the trustee or paying agent, in trust, money or U.S. Government Obligations in an amount sufficient to pay the principal of, premium, if any, and accrued interest on that series of debt securities when due. Such obligations may only be terminated if, among other things:</w:t>
      </w:r>
    </w:p>
    <w:p>
      <w:pPr>
        <w:spacing w:after="0" w:line="89"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will not result in or constitute a default or result in a breach or violation of, or constitute a default under, any other agreement or instrument to which we are a party or by which we are bound;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we terminate our obligations in respect of a series of debt securities pursuant to this provision, we are not required to deliver an opinion of counsel to the effect that registered holders or beneficial owners of that series will not recognize income, gain or loss for U.S. federal income tax purposes as a result of such deposit and termination, and there is no assurance that registered holders or beneficial owners of that series would not recognize income, gain or loss for U.S. federal income tax purposes as a result thereof or that they would be subject to U.S. federal income tax on the same amount and in the same manner and at the same times as would have been the case if such deposit and termination had not occurred.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Covenants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terms of a series of debt securities may provide that we may omit to comply with certain provisions or covenants established with respect to that series of debt securities, and non-compliance with any such provision or covenant will not be deemed an event of default, on the 91st day following the deposit with the trustee or paying agent, in trust, of money or U.S. Government Obligations in an amount sufficient to pay the principal, premium, if any, and interest on that series of debt securities, when due. Our exercise of this option is subject to conditions specified in the indenture, which will include, among other things:</w:t>
      </w:r>
    </w:p>
    <w:p>
      <w:pPr>
        <w:spacing w:after="0" w:line="89" w:lineRule="exact"/>
        <w:rPr>
          <w:sz w:val="20"/>
          <w:szCs w:val="20"/>
          <w:color w:val="auto"/>
        </w:rPr>
      </w:pPr>
    </w:p>
    <w:p>
      <w:pPr>
        <w:ind w:left="1080" w:right="2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opinion of outside counsel with respect to certain tax matters as described in the indenture, including that registered holders of that series will not recognize income, gain or loss for U.S. federal income tax purposes as a result of the exercise of our option under this section and will be subject to U.S. federal income tax on the same amount and in the same manner and at the same times as would have been the case if we had not exercised such option;</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 or during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shall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that series of debt securities will describe the provisions, covenants and related events of default with respect to that series which may be defeased pursuant to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Unclaimed Money</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Subject to any applicable abandoned property law, the indenture will provide that the trustee will pay to us upon request any money held by the trustee for the payment of principal, premium, if any, or interest that remains unclaimed for two years. After payment to us, registered holders of debt securities entitled to such money must look to us for payment as general creditors.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 and Paying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Bank of New York Mellon will initially act as trustee and paying agent for the debt securities.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any material business and other relationships (including additional trusteeships) other than ordinary banking relationships and the trusteeship under the indenture, between us and any of our affiliates, on the one hand, and each trustee and paying agent under the indenture, on the other hand.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direct the time, method and place of conducting any proceeding for exercising any remedy available to the trustee with respect to that series, subject to exceptions described in the indenture. If an event of default occurs and is not cured, the trustee will be required, in the exercise of its power, to use the degree of care and skill a prudent person would exercise or use under the circumstances in the conduct of his own affairs. The trustee will be under no obligation to exercise any of its rights or powers under the indenture at the request of any holder of debt securities, unless such holder shall have offered to the trustee security and indemnity satisfactory to the trustee against any loss, liability or expense and then only to the extent required by the terms of the indenture.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laws of the state of New York will govern the indenture and will govern each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deposited with or on behalf of The Depository Trust Company, as Depositary (the “Depositary”), and registered in the name of the Depositary’s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such debt security and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summarized below of the Depositary or its nominee for the related global debt security and, if such person is not a direct participant of the Depositary, on the procedures of the indirect participant of the Depositary through which such person owns its interest, to exercise any rights of a holder under the indenture.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About The Depositary</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Depositary’s nominee. The Depositary is a:</w:t>
      </w:r>
    </w:p>
    <w:p>
      <w:pPr>
        <w:spacing w:after="0" w:line="67" w:lineRule="exact"/>
        <w:rPr>
          <w:sz w:val="20"/>
          <w:szCs w:val="20"/>
          <w:color w:val="auto"/>
        </w:rPr>
      </w:pPr>
    </w:p>
    <w:p>
      <w:pPr>
        <w:ind w:left="5540" w:right="4500" w:hanging="4884"/>
        <w:spacing w:after="0" w:line="454" w:lineRule="auto"/>
        <w:tabs>
          <w:tab w:leader="none" w:pos="10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limited-purpose trust company organized under the New York Banking Law; 14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organization”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corporation” under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agency” registered under the provisions of Section 17A of the Exchange Act.</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Depositary holds securities that its direct participants (each, a “direct participant”) deposit with the Depositary. Direct participants of the Depositary include securities brokers and dealers, banks, trust companies, clearing corporations and certain other organizations. Indirect participants of the Depositary (each, an “indirect participant”), such as securities brokers and dealers, banks and trust companies, can also access the Depositary’s system if they maintain a custodial relationship with a direct participant.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Depositary has indicated it intends to follow the following procedures with respect to book-entry debt securities:</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Purchases of book-entry debt securities under the Depositary’s system must be made by or through direct participants, which will receive a credit for the book-entry debt securities on the Depositary’s records. The ownership interest of each beneficial owner is in turn to be recorded on the records of direct participants and indirect participants.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book-entry debt securities are to be accomplished by entries made on the books of participants acting on behalf of beneficial owners. Beneficial owners will not receive certificates representing their ownership interests in book-entry debt securities, except as provided below.</w:t>
      </w:r>
    </w:p>
    <w:p>
      <w:pPr>
        <w:spacing w:after="0" w:line="18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Book-Entry Format</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Under the book-entry format, the paying agent will pay interest or principal payments to the nominee of the Depositary. The Depositary’s practice is to credit the account of its direct participants, who will then forward the payment to the indirect participants or to you as the beneficial owner.</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Depositary is required to make book-entry transfers allowed in accordance with the indenture and the debt securities represented by the global securities on behalf of its direct participants and is required to receive and transmit payments of principal, premium, if any, and interest on the book-entry debt securities. Any direct participant or indirect participant with which you have an account is similarly required to make book-entry transfers and to receive and transmit payments with respect to the book-entry debt securities on your behalf. We and the trustee have no responsibility for any aspect of the actions and/or inactions of the Depositary or any of its direct or indirect participants.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So long as the Depositary’s nominee is the registered owner of the global securities representing the debt securities, the trustee will not recognize you as a holder under the indenture, and you can only exercise the rights of a holder indirectly through the Depositary and its direct participants. We understand that, under industry practice, in the event owners of beneficial interests in debt securities wish to take any action that the Depositary or its nominee is entitled to take, the Depositary would authorize the applicable participants to take such action, and that such participants would authorize beneficial owners owning through such participants to take such 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Depositary can only act on behalf of its direct participants. Your ability to pledge book-entry debt securities to non-direct participants, and to take other actions, may be limited because you will not possess a physical certificate that represents your book-entry debt securities.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Neither the Depositary nor its nominee will consent or vote with respect to the book-entry debt securities unless authorized by a direct participant in accordance with the Depositary’s procedures. Under its usual procedures, the Depositary will mail an omnibus proxy to us as soon as possible after the record date. The omnibus proxy assigns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Depositary has agreed to the foregoing procedures in order to facilitate transfers of the book-entry debt securities among participants of the Depositary. However, they are under no obligation to perform or continue to perform those procedures, and they may discontinue those procedures at any time.</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will issue certificated debt securities of any series if an event of default has occurred and is continuing with respect to such series. We may also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9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have obtained the foregoing information concerning the Depositary and the Depositary’s book-entry systems and procedures from sources we believe to be reliable, but we take no responsibility for the accuracy of this information.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avoidance of doubt, none of us, the trustee nor any agent under the indenture will have any liability for any actions of the Depositary.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320" w:top="455" w:right="5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our securities in any one or more of the following ways from time to time: (1) through agents; (2) to or through underwriters; (3) through brokers or dealers; (4) directly by us to purchasers, including through a specific bidding, auction or other process; or (5) through a combination of any of these methods of sale. The applicable prospectus supplement and/or other offering materials will contain the terms of the transaction, the name or names of any underwriters, dealers, agents and the respective amounts of securities underwritten or purchased by them, the initial public offering price of the securities, and the applicable agent’s commission, dealer’s purchase price or underwriter’s discount. Any dealers and agents participating in the distribution of the securities may be deemed to be underwriters, and compensation received by them on resale of the securities may be deemed to be underwriting discounts.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initial offering price, dealer purchase price, discount or commission may be changed from time to time.</w:t>
      </w:r>
    </w:p>
    <w:p>
      <w:pPr>
        <w:spacing w:after="0" w:line="225"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w:t>
      </w:r>
    </w:p>
    <w:p>
      <w:pPr>
        <w:spacing w:after="0" w:line="14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or by agents designated by us from time to time. Any such agent may be deemed to be an underwriter, as that term is defined in the Securities Act, of the securities so offered and sold.</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and/or other offering material, the obligations of the underwriters are subject to certain conditions precedent, and the underwriters will be obligated to purchase all such securities if they purchase any of them.</w:t>
      </w:r>
    </w:p>
    <w:p>
      <w:pPr>
        <w:spacing w:after="0" w:line="18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Transactions through brokers or dealers may include block trades in which brokers or dealers will attempt to sell shares as agent but may position and resell as principal to facilitate the transaction or in cross trades, in which the same broker or dealer acts as agent on both sides of the trade. Any such dealer may be deemed to be an underwriter, as such term is defined in the Securities Act, of the securities so offered and sold.</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so indicated in the applicable prospectus supplement and/or other offering material, we may authorize agents and underwriters to solicit offers by certain institutions to purchase securities from us at the public offering price set forth in the applicable prospectus supplement and/or other offering material pursuant to delayed delivery contracts providing for payment and delivery on the date or dates stated in the applicable prospectus supplement and/or other offering material. Such delayed delivery contracts will be subject only to those conditions set forth in the applicable prospectus supplement and/or other offering material.</w:t>
      </w:r>
    </w:p>
    <w:p>
      <w:pPr>
        <w:spacing w:after="0" w:line="183"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relevant agreements with us to indemnification by us against certain liabilities, including liabilities under the Securities Act, or to contribution with respect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payments which such agents, underwriters and dealers may be required to make in respect thereof. The terms and conditions of any indemnification or contribution will be described in the applicable prospectus supplement and/or other offering material.</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may also sell shares of our common stock through various arrangements involving mandatorily or optionally exchangeable securities, and this prospectus may be delivered in connection with those sales.</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may enter into derivative, sale or forward sale transactions with third parties, or sell securities not covered by this prospectus to third parties in privately negotiated transactions. If the applicable prospectus supplement and/or other offering material indicates, in connection with those transactions, the third parties may sell securities covered by this prospectus and the applicable prospectus supplement and/or other offering material, including in short sale transactions and by issuing securities not covered by this prospectus but convertible into, exchangeable for or representing beneficial interests in securities covered by this prospectus, or the return of which is derived in whole or in part from the value of such securities. The third parties may use securities received under derivative, sale or forward sale transactions or securities pledged by us or borrowed from us or others to settle those sales or to close out any related open borrowings of stock, and may use securities received from us in settlement of those transactions to close out any related open borrowings of stock. The third party in such sale transactions will be an underwriter and will be identified in the applicable prospectus supplement (or a post-effective amendment) and/or other offering material.</w:t>
      </w:r>
    </w:p>
    <w:p>
      <w:pPr>
        <w:spacing w:after="0" w:line="188"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Underwriters, broker-dealers or agents may receive compensation in the form of commissions, discounts or concessions from us. Underwriters, broker-dealers or agents may also receive compensation from the purchasers of shares for whom they act as agents or to whom they sell as principals, or both. Compensation as to a particular underwriter, broker-dealer or agent will be in amounts to be negotiated in connection with transactions involving shares and might be in excess of customary commissions. In effecting sales, broker-dealers engaged by us may arrange for other broker-dealers to participate in the resales.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Any securities offered other than common stock will be a new issue and, other than the common stock, which is listed on The NASDAQ Global Select Market, will have no established trading market. We may elect to list any series of securities on an exchange, and in the case of the common stock, on any additional exchange, but, unless otherwise specified in the applicable prospectus supplement and/or other offering material, we shall not be obligated to do so. No assurance can be given as to the liquidity of the trading market for any of the securities.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Agents, underwriters and dealers may engage in transactions with, or perform services for, us or our subsidiaries in the ordinary course of business.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The NASDAQ Global Select Market, in the over-the-counter market or otherwise.</w:t>
      </w:r>
    </w:p>
    <w:p>
      <w:pPr>
        <w:spacing w:after="0" w:line="192"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place and time of delivery for securities will be set forth in the accompanying prospectus supplement and/or other offering material for such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INFORMATION INCORPORATED BY REFERENCE</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this offering.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Our SEC filings are available at the SEC’s website at www.sec.gov.</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w:t>
      </w:r>
    </w:p>
    <w:p>
      <w:pPr>
        <w:spacing w:after="0" w:line="20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information in documents that we file later with the SEC will automatically update and supersede information in this prospectus, and any future filings made by us with the SEC under Section 13(a), 13(c), 14 or 15(d) of the Exchange Act. Unless specifically stated to the contrary, none of the information that we disclose under Items 2.02 or 7.01 of any Current Report on Form 8-K that we have furnished or may from time to time furnish with the SEC is or will be incorporated by reference in, or otherwise included in, this prospectus. The documents we incorporate by reference herein are:</w:t>
      </w:r>
    </w:p>
    <w:p>
      <w:pPr>
        <w:spacing w:after="0" w:line="93"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08">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109">
        <w:r>
          <w:rPr>
            <w:rFonts w:ascii="Times New Roman" w:cs="Times New Roman" w:eastAsia="Times New Roman" w:hAnsi="Times New Roman"/>
            <w:sz w:val="18"/>
            <w:szCs w:val="18"/>
            <w:u w:val="single" w:color="auto"/>
            <w:color w:val="0000EE"/>
          </w:rPr>
          <w:t>June 30, 2021</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EE"/>
          </w:rPr>
          <w:t>September 30,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1">
        <w:r>
          <w:rPr>
            <w:rFonts w:ascii="Times New Roman" w:cs="Times New Roman" w:eastAsia="Times New Roman" w:hAnsi="Times New Roman"/>
            <w:sz w:val="18"/>
            <w:szCs w:val="18"/>
            <w:u w:val="single" w:color="auto"/>
            <w:color w:val="0000EE"/>
          </w:rPr>
          <w:t>December 31, 2021</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11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2021 annual meeting of stockholders, filed on July 27, 2021, specifically incorporated by reference into our Annual Report on Form 10-K for the fiscal year ended March 31, 2021;</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2"/>
        </w:numPr>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auto"/>
          </w:rPr>
          <w:t xml:space="preserve">our Current Reports on Form 8-K (in all cases other than information furnished rather than filed pursuant to any Form 8-K) filed </w:t>
        </w:r>
        <w:r>
          <w:rPr>
            <w:rFonts w:ascii="Times New Roman" w:cs="Times New Roman" w:eastAsia="Times New Roman" w:hAnsi="Times New Roman"/>
            <w:sz w:val="18"/>
            <w:szCs w:val="18"/>
            <w:u w:val="single" w:color="auto"/>
            <w:color w:val="0000EE"/>
          </w:rPr>
          <w:t>June 2,</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4">
        <w:r>
          <w:rPr>
            <w:rFonts w:ascii="Times New Roman" w:cs="Times New Roman" w:eastAsia="Times New Roman" w:hAnsi="Times New Roman"/>
            <w:sz w:val="18"/>
            <w:szCs w:val="18"/>
            <w:u w:val="single" w:color="auto"/>
            <w:color w:val="0000EE"/>
          </w:rPr>
          <w:t>July 30, 2021</w:t>
        </w:r>
      </w:hyperlink>
      <w:hyperlink r:id="rId1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5">
        <w:r>
          <w:rPr>
            <w:rFonts w:ascii="Times New Roman" w:cs="Times New Roman" w:eastAsia="Times New Roman" w:hAnsi="Times New Roman"/>
            <w:sz w:val="18"/>
            <w:szCs w:val="18"/>
            <w:u w:val="single" w:color="auto"/>
            <w:color w:val="0000EE"/>
          </w:rPr>
          <w:t>September 17, 2021</w:t>
        </w:r>
      </w:hyperlink>
      <w:hyperlink r:id="rId1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6">
        <w:r>
          <w:rPr>
            <w:rFonts w:ascii="Times New Roman" w:cs="Times New Roman" w:eastAsia="Times New Roman" w:hAnsi="Times New Roman"/>
            <w:sz w:val="18"/>
            <w:szCs w:val="18"/>
            <w:u w:val="single" w:color="auto"/>
            <w:color w:val="0000EE"/>
          </w:rPr>
          <w:t xml:space="preserve">January 10, 2022 </w:t>
        </w:r>
      </w:hyperlink>
      <w:hyperlink r:id="rId1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April 6, 2022</w:t>
        </w:r>
      </w:hyperlink>
      <w:hyperlink r:id="rId113">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14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our </w:t>
      </w:r>
      <w:hyperlink r:id="rId117">
        <w:r>
          <w:rPr>
            <w:rFonts w:ascii="Times New Roman" w:cs="Times New Roman" w:eastAsia="Times New Roman" w:hAnsi="Times New Roman"/>
            <w:sz w:val="18"/>
            <w:szCs w:val="18"/>
            <w:u w:val="single" w:color="auto"/>
            <w:color w:val="0000EE"/>
          </w:rPr>
          <w:t>Registration Statement on Form 8-A</w:t>
        </w:r>
      </w:hyperlink>
      <w:r>
        <w:rPr>
          <w:rFonts w:ascii="Times New Roman" w:cs="Times New Roman" w:eastAsia="Times New Roman" w:hAnsi="Times New Roman"/>
          <w:sz w:val="18"/>
          <w:szCs w:val="18"/>
          <w:color w:val="auto"/>
        </w:rPr>
        <w:t xml:space="preserve">, as updated by </w:t>
      </w:r>
      <w:hyperlink r:id="rId7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2021, together with any subsequent amendment or report filed with the SEC for the purpose of updating this description.</w:t>
      </w:r>
    </w:p>
    <w:p>
      <w:pPr>
        <w:spacing w:after="0" w:line="176" w:lineRule="exact"/>
        <w:rPr>
          <w:rFonts w:ascii="Times New Roman" w:cs="Times New Roman" w:eastAsia="Times New Roman" w:hAnsi="Times New Roman"/>
          <w:sz w:val="18"/>
          <w:szCs w:val="18"/>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herein any further filings we make with the SEC under Section 13(a), 13(c), 14 or 15(d) of the Exchange Act after the date of the filing of the registration statement to which this prospectus relates and until we terminate the offering of securities pursuant to this prospectus. Our subsequent filings with the SEC will automatically update and supersede information in this prospectus.</w:t>
      </w:r>
    </w:p>
    <w:p>
      <w:pPr>
        <w:spacing w:after="0" w:line="176" w:lineRule="exact"/>
        <w:rPr>
          <w:rFonts w:ascii="Times New Roman" w:cs="Times New Roman" w:eastAsia="Times New Roman" w:hAnsi="Times New Roman"/>
          <w:sz w:val="18"/>
          <w:szCs w:val="18"/>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The documents listed above (excluding the exhibits attached thereto unless those exhibits are specifically incorporated by reference into those documents) may be obtained free of charge by each person to whom a copy of this prospectus is delivered, upon written or oral request, by contacting us at Take-Two Interactive Software, Inc., 110 West 44th Street, New York, New York 10036, Attention: General Counsel, telephone number (646)</w:t>
      </w:r>
    </w:p>
    <w:p>
      <w:pPr>
        <w:spacing w:after="0" w:line="1"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536-2842.</w:t>
      </w:r>
    </w:p>
    <w:p>
      <w:pPr>
        <w:spacing w:after="0" w:line="261"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Willkie Farr &amp; Gallagher LLP, New York, New York will pass upon the validity of any securities we offer by this prospectus. If the validity of any securities is also passed upon by counsel for the underwriters of an offering of those securities, that counsel will be named in the prospectus supplement relating to that offering.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Take-Two</w:t>
      </w:r>
    </w:p>
    <w:p>
      <w:pPr>
        <w:spacing w:after="0" w:line="121"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2021, and the effectiveness of Take-Two Interactive Software, Inc.’s internal control over financial reporting as of March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Zynga</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Zynga, Inc. appearing in Zynga, Inc.’s Annual Report (Form 10-K) for the year ended December 31, 2021, and the effectiveness of Zynga, Inc.’s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180975</wp:posOffset>
            </wp:positionV>
            <wp:extent cx="711200" cy="668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12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0" w:hanging="1450"/>
        <w:spacing w:after="0"/>
        <w:tabs>
          <w:tab w:leader="none" w:pos="5000" w:val="left"/>
        </w:tabs>
        <w:numPr>
          <w:ilvl w:val="0"/>
          <w:numId w:val="53"/>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w:t>
      </w:r>
    </w:p>
    <w:p>
      <w:pPr>
        <w:spacing w:after="0" w:line="44" w:lineRule="exact"/>
        <w:rPr>
          <w:sz w:val="20"/>
          <w:szCs w:val="20"/>
          <w:color w:val="auto"/>
        </w:rPr>
      </w:pPr>
    </w:p>
    <w:p>
      <w:pPr>
        <w:ind w:left="5000" w:hanging="1450"/>
        <w:spacing w:after="0"/>
        <w:tabs>
          <w:tab w:leader="none" w:pos="5000" w:val="left"/>
        </w:tabs>
        <w:numPr>
          <w:ilvl w:val="0"/>
          <w:numId w:val="5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1022985</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421005</wp:posOffset>
            </wp:positionV>
            <wp:extent cx="1474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April</w:t>
      </w:r>
      <w:r>
        <w:rPr>
          <w:sz w:val="20"/>
          <w:szCs w:val="20"/>
          <w:color w:val="auto"/>
        </w:rPr>
        <w:tab/>
      </w:r>
      <w:r>
        <w:rPr>
          <w:rFonts w:ascii="Times New Roman" w:cs="Times New Roman" w:eastAsia="Times New Roman" w:hAnsi="Times New Roman"/>
          <w:sz w:val="17"/>
          <w:szCs w:val="17"/>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371475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2"/>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6"/>
    </w:lvl>
  </w:abstractNum>
  <w:abstractNum w:abstractNumId="17">
    <w:nsid w:val="5072367"/>
    <w:multiLevelType w:val="hybridMultilevel"/>
    <w:lvl w:ilvl="0">
      <w:lvlJc w:val="left"/>
      <w:lvlText w:val="(%1)"/>
      <w:numFmt w:val="decimal"/>
      <w:start w:val="15"/>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5"/>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jpe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jpe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59" Type="http://schemas.openxmlformats.org/officeDocument/2006/relationships/hyperlink" Target="http://www.sec.gov/ix?doc=/Archives/edgar/data/946581/000162828022014580/ttwo-20220331.htm" TargetMode="External"/><Relationship Id="rId60" Type="http://schemas.openxmlformats.org/officeDocument/2006/relationships/hyperlink" Target="http://www.sec.gov/Archives/edgar/data/946581/000130817922000343/lttwo2022_def14a.htm" TargetMode="External"/><Relationship Id="rId61" Type="http://schemas.openxmlformats.org/officeDocument/2006/relationships/hyperlink" Target="http://www.sec.gov/ix?doc=/Archives/edgar/data/946581/000162828022021685/ttwo-20220630.htm" TargetMode="External"/><Relationship Id="rId62" Type="http://schemas.openxmlformats.org/officeDocument/2006/relationships/hyperlink" Target="http://www.sec.gov/ix?doc=/Archives/edgar/data/946581/000162828022028716/ttwo-20220930.htm" TargetMode="External"/><Relationship Id="rId63" Type="http://schemas.openxmlformats.org/officeDocument/2006/relationships/hyperlink" Target="http://www.sec.gov/ix?doc=/Archives/edgar/data/946581/000162828023002448/ttwo-20221231.htm" TargetMode="External"/><Relationship Id="rId64" Type="http://schemas.openxmlformats.org/officeDocument/2006/relationships/hyperlink" Target="http://www.sec.gov/ix?doc=/Archives/edgar/data/946581/000119312522096547/d342728d8k.htm" TargetMode="External"/><Relationship Id="rId65" Type="http://schemas.openxmlformats.org/officeDocument/2006/relationships/hyperlink" Target="http://www.sec.gov/ix?doc=/Archives/edgar/data/946581/000119312522155140/d131175d8k.htm" TargetMode="External"/><Relationship Id="rId66" Type="http://schemas.openxmlformats.org/officeDocument/2006/relationships/hyperlink" Target="http://www.sec.gov/ix?doc=/Archives/edgar/data/946581/000119312522160004/d306239d8k.htm" TargetMode="External"/><Relationship Id="rId67" Type="http://schemas.openxmlformats.org/officeDocument/2006/relationships/hyperlink" Target="http://www.sec.gov/ix?doc=/Archives/edgar/data/946581/000162828022021369/ttwo-20220520.htm" TargetMode="External"/><Relationship Id="rId68" Type="http://schemas.openxmlformats.org/officeDocument/2006/relationships/hyperlink" Target="http://www.sec.gov/ix?doc=/Archives/edgar/data/946581/000119312522181599/d345837d8k.htm" TargetMode="External"/><Relationship Id="rId69" Type="http://schemas.openxmlformats.org/officeDocument/2006/relationships/hyperlink" Target="http://www.sec.gov/ix?doc=/Archives/edgar/data/946581/000119312522225300/d586108d8k.htm" TargetMode="External"/><Relationship Id="rId70" Type="http://schemas.openxmlformats.org/officeDocument/2006/relationships/hyperlink" Target="http://www.sec.gov/ix?doc=/Archives/edgar/data/946581/000119312522246833/d392771d8k.htm" TargetMode="External"/><Relationship Id="rId71" Type="http://schemas.openxmlformats.org/officeDocument/2006/relationships/hyperlink" Target="http://www.sec.gov/ix?doc=/Archives/edgar/data/946581/000119312522247139/d264116d8k.htm" TargetMode="External"/><Relationship Id="rId72" Type="http://schemas.openxmlformats.org/officeDocument/2006/relationships/hyperlink" Target="http://www.sec.gov/ix?doc=/Archives/edgar/data/946581/000119312522247832/d402780d8k.htm" TargetMode="External"/><Relationship Id="rId73" Type="http://schemas.openxmlformats.org/officeDocument/2006/relationships/hyperlink" Target="http://www.sec.gov/ix?doc=/Archives/edgar/data/946581/000119312522287276/d396169d8k.htm" TargetMode="External"/><Relationship Id="rId74" Type="http://schemas.openxmlformats.org/officeDocument/2006/relationships/hyperlink" Target="http://www.sec.gov/ix?doc=/Archives/edgar/data/946581/000162828023000631/ttwo-20230104.htm" TargetMode="External"/><Relationship Id="rId75" Type="http://schemas.openxmlformats.org/officeDocument/2006/relationships/hyperlink" Target="http://www.sec.gov/ix?doc=/Archives/edgar/data/946581/000162828023002444/ttwo-20230206.htm" TargetMode="External"/><Relationship Id="rId76" Type="http://schemas.openxmlformats.org/officeDocument/2006/relationships/hyperlink" Target="http://www.sec.gov/Archives/edgar/data/946581/000110465908019702/a08-9031_28a12b.htm" TargetMode="External"/><Relationship Id="rId77" Type="http://schemas.openxmlformats.org/officeDocument/2006/relationships/hyperlink" Target="http://www.sec.gov/Archives/edgar/data/946581/000162828020008291/ex-4103312020.htm" TargetMode="External"/><Relationship Id="rId78" Type="http://schemas.openxmlformats.org/officeDocument/2006/relationships/hyperlink" Target="http://www.sec.gov/Archives/edgar/data/946581/000119312522098879/d420326d424b3.htm#rom420326_35" TargetMode="External"/><Relationship Id="rId79" Type="http://schemas.openxmlformats.org/officeDocument/2006/relationships/hyperlink" Target="http://www.sec.gov/Archives/edgar/data/946581/000119312522098879/d420326d424b3.htm" TargetMode="External"/><Relationship Id="rId108" Type="http://schemas.openxmlformats.org/officeDocument/2006/relationships/hyperlink" Target="http://www.sec.gov/ix?doc=/Archives/edgar/data/946581/000162828021010627/ttwo-20210331.htm" TargetMode="External"/><Relationship Id="rId109" Type="http://schemas.openxmlformats.org/officeDocument/2006/relationships/hyperlink" Target="http://www.sec.gov/ix?doc=/Archives/edgar/data/946581/000162828021015202/ttwo-20210630.htm" TargetMode="External"/><Relationship Id="rId110" Type="http://schemas.openxmlformats.org/officeDocument/2006/relationships/hyperlink" Target="http://www.sec.gov/ix?doc=/Archives/edgar/data/946581/000162828021021561/ttwo-20210930.htm" TargetMode="External"/><Relationship Id="rId111" Type="http://schemas.openxmlformats.org/officeDocument/2006/relationships/hyperlink" Target="http://www.sec.gov/ix?doc=/Archives/edgar/data/946581/000162828022001929/ttwo-20211231.htm" TargetMode="External"/><Relationship Id="rId112" Type="http://schemas.openxmlformats.org/officeDocument/2006/relationships/hyperlink" Target="http://www.sec.gov/Archives/edgar/data/946581/000119312521225858/d148254ddef14a.htm" TargetMode="External"/><Relationship Id="rId113" Type="http://schemas.openxmlformats.org/officeDocument/2006/relationships/hyperlink" Target="http://www.sec.gov/ix?doc=/Archives/edgar/data/0000946581/000110465921075414/tm2118183d1_8k.htm" TargetMode="External"/><Relationship Id="rId114" Type="http://schemas.openxmlformats.org/officeDocument/2006/relationships/hyperlink" Target="http://www.sec.gov/ix?doc=/Archives/edgar/data/0000946581/000110465921098296/tm2123646d1_8k.htm" TargetMode="External"/><Relationship Id="rId115" Type="http://schemas.openxmlformats.org/officeDocument/2006/relationships/hyperlink" Target="http://www.sec.gov/ix?doc=/Archives/edgar/data/0000946581/000110465921116991/tm2127732d1_8k.htm" TargetMode="External"/><Relationship Id="rId116" Type="http://schemas.openxmlformats.org/officeDocument/2006/relationships/hyperlink" Target="http://www.sec.gov/ix?doc=/Archives/edgar/data/0000946581/000119312522005771/d282059d8k.htm" TargetMode="External"/><Relationship Id="rId117" Type="http://schemas.openxmlformats.org/officeDocument/2006/relationships/hyperlink" Target="http://www.sec.gov/Archives/edgar/data/0000946581/000110465908019702/a08-9031_2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2023-04-10T08:04:33Z</dcterms:created>
  <dcterms:modified xsi:type="dcterms:W3CDTF">2023-04-10T08:04:33Z</dcterms:modified>
</cp:coreProperties>
</file>