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Courier New" w:cs="Courier New" w:eastAsia="Courier New" w:hAnsi="Courier New"/>
          <w:sz w:val="17"/>
          <w:szCs w:val="17"/>
          <w:color w:val="auto"/>
        </w:rPr>
        <w:t>As filed with the Securities and Exchange Commission on December 22, 2004.</w:t>
      </w:r>
    </w:p>
    <w:p>
      <w:pPr>
        <w:jc w:val="center"/>
        <w:ind w:right="1100"/>
        <w:spacing w:after="0" w:line="238" w:lineRule="auto"/>
        <w:rPr>
          <w:sz w:val="20"/>
          <w:szCs w:val="20"/>
          <w:color w:val="auto"/>
        </w:rPr>
      </w:pPr>
      <w:r>
        <w:rPr>
          <w:rFonts w:ascii="Courier New" w:cs="Courier New" w:eastAsia="Courier New" w:hAnsi="Courier New"/>
          <w:sz w:val="17"/>
          <w:szCs w:val="17"/>
          <w:color w:val="auto"/>
        </w:rPr>
        <w:t>Registration No. 333-</w:t>
      </w:r>
    </w:p>
    <w:p>
      <w:pPr>
        <w:spacing w:after="0" w:line="190"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7"/>
          <w:szCs w:val="17"/>
          <w:color w:val="auto"/>
        </w:rPr>
        <w:t>UNITED STATES</w:t>
      </w:r>
    </w:p>
    <w:p>
      <w:pPr>
        <w:jc w:val="center"/>
        <w:ind w:right="1200"/>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jc w:val="center"/>
        <w:ind w:right="1200"/>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S-8</w:t>
      </w:r>
    </w:p>
    <w:p>
      <w:pPr>
        <w:ind w:left="2880"/>
        <w:spacing w:after="0" w:line="238" w:lineRule="auto"/>
        <w:rPr>
          <w:sz w:val="20"/>
          <w:szCs w:val="20"/>
          <w:color w:val="auto"/>
        </w:rPr>
      </w:pPr>
      <w:r>
        <w:rPr>
          <w:rFonts w:ascii="Courier New" w:cs="Courier New" w:eastAsia="Courier New" w:hAnsi="Courier New"/>
          <w:sz w:val="17"/>
          <w:szCs w:val="17"/>
          <w:color w:val="auto"/>
        </w:rPr>
        <w:t>REGISTRATION STATEMENT</w:t>
      </w:r>
    </w:p>
    <w:p>
      <w:pPr>
        <w:ind w:left="3780"/>
        <w:spacing w:after="0" w:line="238" w:lineRule="auto"/>
        <w:rPr>
          <w:sz w:val="20"/>
          <w:szCs w:val="20"/>
          <w:color w:val="auto"/>
        </w:rPr>
      </w:pPr>
      <w:r>
        <w:rPr>
          <w:rFonts w:ascii="Courier New" w:cs="Courier New" w:eastAsia="Courier New" w:hAnsi="Courier New"/>
          <w:sz w:val="17"/>
          <w:szCs w:val="17"/>
          <w:color w:val="auto"/>
        </w:rPr>
        <w:t>UNDER</w:t>
      </w:r>
    </w:p>
    <w:p>
      <w:pPr>
        <w:ind w:left="2680"/>
        <w:spacing w:after="0"/>
        <w:rPr>
          <w:sz w:val="20"/>
          <w:szCs w:val="20"/>
          <w:color w:val="auto"/>
        </w:rPr>
      </w:pPr>
      <w:r>
        <w:rPr>
          <w:rFonts w:ascii="Courier New" w:cs="Courier New" w:eastAsia="Courier New" w:hAnsi="Courier New"/>
          <w:sz w:val="17"/>
          <w:szCs w:val="17"/>
          <w:color w:val="auto"/>
        </w:rPr>
        <w:t>THE SECURITIES ACT OF 1933</w:t>
      </w:r>
    </w:p>
    <w:p>
      <w:pPr>
        <w:spacing w:after="0" w:line="189"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7"/>
          <w:szCs w:val="17"/>
          <w:color w:val="auto"/>
        </w:rPr>
        <w:t>TAKE-TWO INTERACTIVE SOFTWARE, INC.</w:t>
      </w:r>
    </w:p>
    <w:p>
      <w:pPr>
        <w:jc w:val="center"/>
        <w:ind w:right="12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p>
      <w:pPr>
        <w:ind w:left="1000"/>
        <w:spacing w:after="0"/>
        <w:tabs>
          <w:tab w:leader="none" w:pos="576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7"/>
          <w:szCs w:val="17"/>
          <w:color w:val="auto"/>
        </w:rPr>
        <w:t>51-0350842</w:t>
      </w:r>
    </w:p>
    <w:p>
      <w:pPr>
        <w:spacing w:after="0"/>
        <w:tabs>
          <w:tab w:leader="none" w:pos="45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436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189" w:lineRule="exact"/>
        <w:rPr>
          <w:sz w:val="24"/>
          <w:szCs w:val="24"/>
          <w:color w:val="auto"/>
        </w:rPr>
      </w:pPr>
    </w:p>
    <w:p>
      <w:pPr>
        <w:ind w:left="200"/>
        <w:spacing w:after="0"/>
        <w:tabs>
          <w:tab w:leader="none" w:pos="6240" w:val="left"/>
        </w:tabs>
        <w:rPr>
          <w:sz w:val="20"/>
          <w:szCs w:val="20"/>
          <w:color w:val="auto"/>
        </w:rPr>
      </w:pPr>
      <w:r>
        <w:rPr>
          <w:rFonts w:ascii="Courier New" w:cs="Courier New" w:eastAsia="Courier New" w:hAnsi="Courier New"/>
          <w:sz w:val="17"/>
          <w:szCs w:val="17"/>
          <w:color w:val="auto"/>
        </w:rPr>
        <w:t>622 Broadway, New York, New York</w:t>
      </w:r>
      <w:r>
        <w:rPr>
          <w:sz w:val="20"/>
          <w:szCs w:val="20"/>
          <w:color w:val="auto"/>
        </w:rPr>
        <w:tab/>
      </w:r>
      <w:r>
        <w:rPr>
          <w:rFonts w:ascii="Courier New" w:cs="Courier New" w:eastAsia="Courier New" w:hAnsi="Courier New"/>
          <w:sz w:val="16"/>
          <w:szCs w:val="16"/>
          <w:color w:val="auto"/>
        </w:rPr>
        <w:t>10012</w:t>
      </w:r>
    </w:p>
    <w:p>
      <w:pPr>
        <w:spacing w:after="0"/>
        <w:tabs>
          <w:tab w:leader="none" w:pos="60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59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90" w:lineRule="exact"/>
        <w:rPr>
          <w:sz w:val="24"/>
          <w:szCs w:val="24"/>
          <w:color w:val="auto"/>
        </w:rPr>
      </w:pPr>
    </w:p>
    <w:p>
      <w:pPr>
        <w:jc w:val="center"/>
        <w:ind w:right="1200"/>
        <w:spacing w:after="0"/>
        <w:rPr>
          <w:sz w:val="20"/>
          <w:szCs w:val="20"/>
          <w:color w:val="auto"/>
        </w:rPr>
      </w:pPr>
      <w:r>
        <w:rPr>
          <w:rFonts w:ascii="Courier New" w:cs="Courier New" w:eastAsia="Courier New" w:hAnsi="Courier New"/>
          <w:sz w:val="17"/>
          <w:szCs w:val="17"/>
          <w:color w:val="auto"/>
        </w:rPr>
        <w:t>Take-Two Interactive Software, Inc. Incentive Stock Plan</w:t>
      </w:r>
    </w:p>
    <w:p>
      <w:pPr>
        <w:jc w:val="center"/>
        <w:ind w:right="1200"/>
        <w:spacing w:after="0" w:line="238" w:lineRule="auto"/>
        <w:rPr>
          <w:sz w:val="20"/>
          <w:szCs w:val="20"/>
          <w:color w:val="auto"/>
        </w:rPr>
      </w:pPr>
      <w:r>
        <w:rPr>
          <w:rFonts w:ascii="Courier New" w:cs="Courier New" w:eastAsia="Courier New" w:hAnsi="Courier New"/>
          <w:sz w:val="17"/>
          <w:szCs w:val="17"/>
          <w:color w:val="auto"/>
        </w:rPr>
        <w:t>(Full title of the plan)</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Richard W. Roedel, Chief Executive Officer</w:t>
      </w:r>
    </w:p>
    <w:p>
      <w:pPr>
        <w:ind w:left="2280"/>
        <w:spacing w:after="0" w:line="238" w:lineRule="auto"/>
        <w:rPr>
          <w:sz w:val="20"/>
          <w:szCs w:val="20"/>
          <w:color w:val="auto"/>
        </w:rPr>
      </w:pPr>
      <w:r>
        <w:rPr>
          <w:rFonts w:ascii="Courier New" w:cs="Courier New" w:eastAsia="Courier New" w:hAnsi="Courier New"/>
          <w:sz w:val="17"/>
          <w:szCs w:val="17"/>
          <w:color w:val="auto"/>
        </w:rPr>
        <w:t>Take-Two Interactive Software, Inc.</w:t>
      </w:r>
    </w:p>
    <w:p>
      <w:pPr>
        <w:ind w:left="3380"/>
        <w:spacing w:after="0" w:line="238" w:lineRule="auto"/>
        <w:rPr>
          <w:sz w:val="20"/>
          <w:szCs w:val="20"/>
          <w:color w:val="auto"/>
        </w:rPr>
      </w:pPr>
      <w:r>
        <w:rPr>
          <w:rFonts w:ascii="Courier New" w:cs="Courier New" w:eastAsia="Courier New" w:hAnsi="Courier New"/>
          <w:sz w:val="17"/>
          <w:szCs w:val="17"/>
          <w:color w:val="auto"/>
        </w:rPr>
        <w:t>622 Broadway</w:t>
      </w:r>
    </w:p>
    <w:p>
      <w:pPr>
        <w:ind w:left="2780"/>
        <w:spacing w:after="0"/>
        <w:rPr>
          <w:sz w:val="20"/>
          <w:szCs w:val="20"/>
          <w:color w:val="auto"/>
        </w:rPr>
      </w:pPr>
      <w:r>
        <w:rPr>
          <w:rFonts w:ascii="Courier New" w:cs="Courier New" w:eastAsia="Courier New" w:hAnsi="Courier New"/>
          <w:sz w:val="17"/>
          <w:szCs w:val="17"/>
          <w:color w:val="auto"/>
        </w:rPr>
        <w:t>New York, New York 10012</w:t>
      </w:r>
    </w:p>
    <w:p>
      <w:pPr>
        <w:ind w:left="2100"/>
        <w:spacing w:after="0" w:line="237" w:lineRule="auto"/>
        <w:rPr>
          <w:sz w:val="20"/>
          <w:szCs w:val="20"/>
          <w:color w:val="auto"/>
        </w:rPr>
      </w:pPr>
      <w:r>
        <w:rPr>
          <w:rFonts w:ascii="Courier New" w:cs="Courier New" w:eastAsia="Courier New" w:hAnsi="Courier New"/>
          <w:sz w:val="17"/>
          <w:szCs w:val="17"/>
          <w:color w:val="auto"/>
        </w:rPr>
        <w:t>(Name and address of agent for service)</w:t>
      </w:r>
    </w:p>
    <w:p>
      <w:pPr>
        <w:spacing w:after="0" w:line="190" w:lineRule="exact"/>
        <w:rPr>
          <w:sz w:val="24"/>
          <w:szCs w:val="24"/>
          <w:color w:val="auto"/>
        </w:rPr>
      </w:pPr>
    </w:p>
    <w:tbl>
      <w:tblPr>
        <w:tblLayout w:type="fixed"/>
        <w:tblInd w:w="2000" w:type="dxa"/>
        <w:tblCellMar>
          <w:top w:w="0" w:type="dxa"/>
          <w:left w:w="0" w:type="dxa"/>
          <w:bottom w:w="0" w:type="dxa"/>
          <w:right w:w="0" w:type="dxa"/>
        </w:tblCellMar>
      </w:tblPr>
      <w:tr>
        <w:trPr>
          <w:trHeight w:val="19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(646)</w:t>
            </w:r>
          </w:p>
        </w:tc>
        <w:tc>
          <w:tcPr>
            <w:tcW w:w="2020" w:type="dxa"/>
            <w:vAlign w:val="bottom"/>
          </w:tcPr>
          <w:p>
            <w:pPr>
              <w:ind w:left="40"/>
              <w:spacing w:after="0"/>
              <w:rPr>
                <w:sz w:val="20"/>
                <w:szCs w:val="20"/>
                <w:color w:val="auto"/>
              </w:rPr>
            </w:pPr>
            <w:r>
              <w:rPr>
                <w:rFonts w:ascii="Courier New" w:cs="Courier New" w:eastAsia="Courier New" w:hAnsi="Courier New"/>
                <w:sz w:val="17"/>
                <w:szCs w:val="17"/>
                <w:color w:val="auto"/>
              </w:rPr>
              <w:t>536-2842</w:t>
            </w:r>
          </w:p>
        </w:tc>
      </w:tr>
      <w:tr>
        <w:trPr>
          <w:trHeight w:val="191"/>
        </w:trPr>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(Telephone number,</w:t>
            </w:r>
          </w:p>
        </w:tc>
        <w:tc>
          <w:tcPr>
            <w:tcW w:w="2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including area code,</w:t>
            </w:r>
          </w:p>
        </w:tc>
      </w:tr>
      <w:tr>
        <w:trPr>
          <w:trHeight w:val="191"/>
        </w:trPr>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agent</w:t>
            </w:r>
          </w:p>
        </w:tc>
        <w:tc>
          <w:tcPr>
            <w:tcW w:w="2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for service)</w:t>
            </w:r>
          </w:p>
        </w:tc>
      </w:tr>
    </w:tbl>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Copy to:</w:t>
      </w:r>
    </w:p>
    <w:p>
      <w:pPr>
        <w:jc w:val="center"/>
        <w:ind w:right="1100"/>
        <w:spacing w:after="0" w:line="238" w:lineRule="auto"/>
        <w:rPr>
          <w:sz w:val="20"/>
          <w:szCs w:val="20"/>
          <w:color w:val="auto"/>
        </w:rPr>
      </w:pPr>
      <w:r>
        <w:rPr>
          <w:rFonts w:ascii="Courier New" w:cs="Courier New" w:eastAsia="Courier New" w:hAnsi="Courier New"/>
          <w:sz w:val="17"/>
          <w:szCs w:val="17"/>
          <w:color w:val="auto"/>
        </w:rPr>
        <w:t>Robert J. Mittman, Esq.</w:t>
      </w:r>
    </w:p>
    <w:p>
      <w:pPr>
        <w:jc w:val="center"/>
        <w:ind w:right="1200"/>
        <w:spacing w:after="0" w:line="238" w:lineRule="auto"/>
        <w:rPr>
          <w:sz w:val="20"/>
          <w:szCs w:val="20"/>
          <w:color w:val="auto"/>
        </w:rPr>
      </w:pPr>
      <w:r>
        <w:rPr>
          <w:rFonts w:ascii="Courier New" w:cs="Courier New" w:eastAsia="Courier New" w:hAnsi="Courier New"/>
          <w:sz w:val="17"/>
          <w:szCs w:val="17"/>
          <w:color w:val="auto"/>
        </w:rPr>
        <w:t>Ethan Seer, Esq.</w:t>
      </w:r>
    </w:p>
    <w:p>
      <w:pPr>
        <w:jc w:val="center"/>
        <w:ind w:right="1200"/>
        <w:spacing w:after="0"/>
        <w:rPr>
          <w:sz w:val="20"/>
          <w:szCs w:val="20"/>
          <w:color w:val="auto"/>
        </w:rPr>
      </w:pPr>
      <w:r>
        <w:rPr>
          <w:rFonts w:ascii="Courier New" w:cs="Courier New" w:eastAsia="Courier New" w:hAnsi="Courier New"/>
          <w:sz w:val="17"/>
          <w:szCs w:val="17"/>
          <w:color w:val="auto"/>
        </w:rPr>
        <w:t>Blank Rome LLP</w:t>
      </w:r>
    </w:p>
    <w:p>
      <w:pPr>
        <w:jc w:val="center"/>
        <w:ind w:right="1200"/>
        <w:spacing w:after="0" w:line="237" w:lineRule="auto"/>
        <w:rPr>
          <w:sz w:val="20"/>
          <w:szCs w:val="20"/>
          <w:color w:val="auto"/>
        </w:rPr>
      </w:pPr>
      <w:r>
        <w:rPr>
          <w:rFonts w:ascii="Courier New" w:cs="Courier New" w:eastAsia="Courier New" w:hAnsi="Courier New"/>
          <w:sz w:val="17"/>
          <w:szCs w:val="17"/>
          <w:color w:val="auto"/>
        </w:rPr>
        <w:t>405 Lexington Avenue</w:t>
      </w:r>
    </w:p>
    <w:p>
      <w:pPr>
        <w:jc w:val="center"/>
        <w:ind w:right="1200"/>
        <w:spacing w:after="0" w:line="238" w:lineRule="auto"/>
        <w:rPr>
          <w:sz w:val="20"/>
          <w:szCs w:val="20"/>
          <w:color w:val="auto"/>
        </w:rPr>
      </w:pPr>
      <w:r>
        <w:rPr>
          <w:rFonts w:ascii="Courier New" w:cs="Courier New" w:eastAsia="Courier New" w:hAnsi="Courier New"/>
          <w:sz w:val="17"/>
          <w:szCs w:val="17"/>
          <w:color w:val="auto"/>
        </w:rPr>
        <w:t>New York, New York 10174</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CALCULATION OF REGISTRATION FEE</w:t>
            </w:r>
          </w:p>
        </w:tc>
        <w:tc>
          <w:tcPr>
            <w:tcW w:w="2240" w:type="dxa"/>
            <w:vAlign w:val="bottom"/>
          </w:tcPr>
          <w:p>
            <w:pPr>
              <w:spacing w:after="0"/>
              <w:rPr>
                <w:sz w:val="16"/>
                <w:szCs w:val="16"/>
                <w:color w:val="auto"/>
              </w:rPr>
            </w:pPr>
          </w:p>
        </w:tc>
      </w:tr>
      <w:tr>
        <w:trPr>
          <w:trHeight w:val="765"/>
        </w:trPr>
        <w:tc>
          <w:tcPr>
            <w:tcW w:w="2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7"/>
                <w:szCs w:val="17"/>
                <w:color w:val="auto"/>
              </w:rPr>
              <w:t>Proposed</w:t>
            </w:r>
          </w:p>
        </w:tc>
        <w:tc>
          <w:tcPr>
            <w:tcW w:w="2240" w:type="dxa"/>
            <w:vAlign w:val="bottom"/>
          </w:tcPr>
          <w:p>
            <w:pPr>
              <w:spacing w:after="0"/>
              <w:rPr>
                <w:sz w:val="24"/>
                <w:szCs w:val="24"/>
                <w:color w:val="auto"/>
              </w:rPr>
            </w:pPr>
          </w:p>
        </w:tc>
      </w:tr>
      <w:tr>
        <w:trPr>
          <w:trHeight w:val="191"/>
        </w:trPr>
        <w:tc>
          <w:tcPr>
            <w:tcW w:w="2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Maximum</w:t>
            </w:r>
          </w:p>
        </w:tc>
        <w:tc>
          <w:tcPr>
            <w:tcW w:w="224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 of each class of</w:t>
            </w:r>
          </w:p>
        </w:tc>
        <w:tc>
          <w:tcPr>
            <w:tcW w:w="2440" w:type="dxa"/>
            <w:vAlign w:val="bottom"/>
          </w:tcPr>
          <w:p>
            <w:pPr>
              <w:spacing w:after="0"/>
              <w:rPr>
                <w:sz w:val="16"/>
                <w:szCs w:val="16"/>
                <w:color w:val="auto"/>
              </w:rPr>
            </w:pPr>
          </w:p>
        </w:tc>
        <w:tc>
          <w:tcPr>
            <w:tcW w:w="2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Aggregate</w:t>
            </w:r>
          </w:p>
        </w:tc>
        <w:tc>
          <w:tcPr>
            <w:tcW w:w="2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Proposed Maximum</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 to</w:t>
            </w:r>
          </w:p>
        </w:tc>
        <w:tc>
          <w:tcPr>
            <w:tcW w:w="24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Amount to be</w:t>
            </w:r>
          </w:p>
        </w:tc>
        <w:tc>
          <w:tcPr>
            <w:tcW w:w="2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Offering Price</w:t>
            </w:r>
          </w:p>
        </w:tc>
        <w:tc>
          <w:tcPr>
            <w:tcW w:w="2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Aggregate Offering</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be Registered</w:t>
            </w:r>
          </w:p>
        </w:tc>
        <w:tc>
          <w:tcPr>
            <w:tcW w:w="24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Registered(1)</w:t>
            </w:r>
          </w:p>
        </w:tc>
        <w:tc>
          <w:tcPr>
            <w:tcW w:w="2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Per Share(2)</w:t>
            </w:r>
          </w:p>
        </w:tc>
        <w:tc>
          <w:tcPr>
            <w:tcW w:w="2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Price (2)</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24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w:t>
            </w:r>
          </w:p>
        </w:tc>
        <w:tc>
          <w:tcPr>
            <w:tcW w:w="20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Common Stock, par</w:t>
            </w:r>
          </w:p>
        </w:tc>
        <w:tc>
          <w:tcPr>
            <w:tcW w:w="2440" w:type="dxa"/>
            <w:vAlign w:val="bottom"/>
          </w:tcPr>
          <w:p>
            <w:pPr>
              <w:ind w:left="540"/>
              <w:spacing w:after="0"/>
              <w:rPr>
                <w:sz w:val="20"/>
                <w:szCs w:val="20"/>
                <w:color w:val="auto"/>
              </w:rPr>
            </w:pPr>
            <w:r>
              <w:rPr>
                <w:rFonts w:ascii="Courier New" w:cs="Courier New" w:eastAsia="Courier New" w:hAnsi="Courier New"/>
                <w:sz w:val="17"/>
                <w:szCs w:val="17"/>
                <w:color w:val="auto"/>
              </w:rPr>
              <w:t>724,319 shares</w:t>
            </w:r>
          </w:p>
        </w:tc>
        <w:tc>
          <w:tcPr>
            <w:tcW w:w="2040" w:type="dxa"/>
            <w:vAlign w:val="bottom"/>
          </w:tcPr>
          <w:p>
            <w:pPr>
              <w:ind w:left="700"/>
              <w:spacing w:after="0"/>
              <w:rPr>
                <w:sz w:val="20"/>
                <w:szCs w:val="20"/>
                <w:color w:val="auto"/>
              </w:rPr>
            </w:pPr>
            <w:r>
              <w:rPr>
                <w:rFonts w:ascii="Courier New" w:cs="Courier New" w:eastAsia="Courier New" w:hAnsi="Courier New"/>
                <w:sz w:val="17"/>
                <w:szCs w:val="17"/>
                <w:color w:val="auto"/>
              </w:rPr>
              <w:t>$32.25</w:t>
            </w:r>
          </w:p>
        </w:tc>
        <w:tc>
          <w:tcPr>
            <w:tcW w:w="2240" w:type="dxa"/>
            <w:vAlign w:val="bottom"/>
          </w:tcPr>
          <w:p>
            <w:pPr>
              <w:ind w:left="240"/>
              <w:spacing w:after="0"/>
              <w:rPr>
                <w:sz w:val="20"/>
                <w:szCs w:val="20"/>
                <w:color w:val="auto"/>
              </w:rPr>
            </w:pPr>
            <w:r>
              <w:rPr>
                <w:rFonts w:ascii="Courier New" w:cs="Courier New" w:eastAsia="Courier New" w:hAnsi="Courier New"/>
                <w:sz w:val="17"/>
                <w:szCs w:val="17"/>
                <w:color w:val="auto"/>
              </w:rPr>
              <w:t>$23,359,288</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value $.01 per share</w:t>
            </w:r>
          </w:p>
        </w:tc>
        <w:tc>
          <w:tcPr>
            <w:tcW w:w="2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388" w:lineRule="exact"/>
        <w:rPr>
          <w:sz w:val="24"/>
          <w:szCs w:val="24"/>
          <w:color w:val="auto"/>
        </w:rPr>
      </w:pPr>
    </w:p>
    <w:p>
      <w:pPr>
        <w:ind w:left="600" w:right="1400" w:hanging="598"/>
        <w:spacing w:after="0" w:line="237"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pursuant to Rule 416 under the Securities Act of 1933 (the "Securities Act"), this registration statement also registers an indeterminate number of shares of common stock which may become issuable pursuant to the anti-dilution provisions of the registrant's Incentive Stock Plan or to otherwise prevent dilution resulting from stock dividends, stock splits or similar transactions.</w:t>
      </w:r>
    </w:p>
    <w:p>
      <w:pPr>
        <w:spacing w:after="0" w:line="6" w:lineRule="exact"/>
        <w:rPr>
          <w:rFonts w:ascii="Courier New" w:cs="Courier New" w:eastAsia="Courier New" w:hAnsi="Courier New"/>
          <w:sz w:val="17"/>
          <w:szCs w:val="17"/>
          <w:color w:val="auto"/>
        </w:rPr>
      </w:pPr>
    </w:p>
    <w:p>
      <w:pPr>
        <w:ind w:left="600" w:right="1200" w:hanging="598"/>
        <w:spacing w:after="0" w:line="237"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purpose of calculating the registration fee. Pursuant to Rule 457(c) of the Securities Act of 1933, as amended, the registration fee has been calculated based upon the average of the high and low prices, as reported by Nasdaq, for the registrant's common stock as of December 20, 2004.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180"/>
        <w:spacing w:after="0" w:line="253" w:lineRule="auto"/>
        <w:rPr>
          <w:sz w:val="20"/>
          <w:szCs w:val="20"/>
          <w:color w:val="auto"/>
        </w:rPr>
      </w:pPr>
      <w:r>
        <w:rPr>
          <w:rFonts w:ascii="Courier New" w:cs="Courier New" w:eastAsia="Courier New" w:hAnsi="Courier New"/>
          <w:sz w:val="16"/>
          <w:szCs w:val="16"/>
          <w:color w:val="auto"/>
        </w:rPr>
        <w:t>Amount of Registration Fee</w:t>
      </w: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$2,749.39</w:t>
      </w:r>
    </w:p>
    <w:p>
      <w:pPr>
        <w:sectPr>
          <w:pgSz w:w="11900" w:h="16838" w:orient="portrait"/>
          <w:cols w:equalWidth="0" w:num="2">
            <w:col w:w="9160" w:space="580"/>
            <w:col w:w="1780"/>
          </w:cols>
          <w:pgMar w:left="240" w:top="237" w:right="139" w:bottom="1440" w:gutter="0" w:footer="0" w:header="0"/>
        </w:sectPr>
      </w:pPr>
    </w:p>
    <w:bookmarkStart w:id="1" w:name="page2"/>
    <w:bookmarkEnd w:id="1"/>
    <w:p>
      <w:pPr>
        <w:ind w:left="3680"/>
        <w:spacing w:after="0"/>
        <w:rPr>
          <w:sz w:val="20"/>
          <w:szCs w:val="20"/>
          <w:color w:val="auto"/>
        </w:rPr>
      </w:pPr>
      <w:r>
        <w:rPr>
          <w:rFonts w:ascii="Courier New" w:cs="Courier New" w:eastAsia="Courier New" w:hAnsi="Courier New"/>
          <w:sz w:val="17"/>
          <w:szCs w:val="17"/>
          <w:color w:val="auto"/>
        </w:rPr>
        <w:t>PART 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Plan Information.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Registrant Information and Employee Plan Annual Information. *</w:t>
      </w:r>
    </w:p>
    <w:p>
      <w:pPr>
        <w:spacing w:after="0" w:line="196" w:lineRule="exact"/>
        <w:rPr>
          <w:sz w:val="20"/>
          <w:szCs w:val="20"/>
          <w:color w:val="auto"/>
        </w:rPr>
      </w:pPr>
    </w:p>
    <w:p>
      <w:pPr>
        <w:ind w:right="2459" w:firstLine="599"/>
        <w:spacing w:after="0" w:line="236" w:lineRule="auto"/>
        <w:tabs>
          <w:tab w:leader="none" w:pos="79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required by Part I to be contained in the Section 10(a) prospectus is omitted from this Registration Statement in accordance with Rule 428 under the Securities Act and the Note to Part I of Form S-8.</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683" w:right="1440" w:bottom="1440" w:gutter="0" w:footer="0" w:header="0"/>
        </w:sectPr>
      </w:pPr>
    </w:p>
    <w:bookmarkStart w:id="2" w:name="page3"/>
    <w:bookmarkEnd w:id="2"/>
    <w:p>
      <w:pPr>
        <w:jc w:val="center"/>
        <w:ind w:right="21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Incorporation of Documents by Reference.</w:t>
      </w:r>
    </w:p>
    <w:p>
      <w:pPr>
        <w:spacing w:after="0" w:line="196" w:lineRule="exact"/>
        <w:rPr>
          <w:sz w:val="20"/>
          <w:szCs w:val="20"/>
          <w:color w:val="auto"/>
        </w:rPr>
      </w:pPr>
    </w:p>
    <w:p>
      <w:pPr>
        <w:jc w:val="both"/>
        <w:ind w:right="2959" w:firstLine="597"/>
        <w:spacing w:after="0" w:line="236" w:lineRule="auto"/>
        <w:rPr>
          <w:sz w:val="20"/>
          <w:szCs w:val="20"/>
          <w:color w:val="auto"/>
        </w:rPr>
      </w:pPr>
      <w:r>
        <w:rPr>
          <w:rFonts w:ascii="Courier New" w:cs="Courier New" w:eastAsia="Courier New" w:hAnsi="Courier New"/>
          <w:sz w:val="17"/>
          <w:szCs w:val="17"/>
          <w:color w:val="auto"/>
        </w:rPr>
        <w:t>The following documents previously filed by the registrant with the Securities and Exchange Commission (the "Commission") are incorporated by reference in this Registration Statement:</w:t>
      </w:r>
    </w:p>
    <w:p>
      <w:pPr>
        <w:spacing w:after="0" w:line="197" w:lineRule="exact"/>
        <w:rPr>
          <w:sz w:val="20"/>
          <w:szCs w:val="20"/>
          <w:color w:val="auto"/>
        </w:rPr>
      </w:pPr>
    </w:p>
    <w:p>
      <w:pPr>
        <w:ind w:left="1200" w:right="2659" w:hanging="601"/>
        <w:spacing w:after="0" w:line="235"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for the fiscal year ended October 31, 2004.</w:t>
      </w:r>
    </w:p>
    <w:p>
      <w:pPr>
        <w:spacing w:after="0" w:line="196" w:lineRule="exact"/>
        <w:rPr>
          <w:rFonts w:ascii="Courier New" w:cs="Courier New" w:eastAsia="Courier New" w:hAnsi="Courier New"/>
          <w:sz w:val="17"/>
          <w:szCs w:val="17"/>
          <w:color w:val="auto"/>
        </w:rPr>
      </w:pPr>
    </w:p>
    <w:p>
      <w:pPr>
        <w:ind w:left="1200" w:right="2559" w:hanging="601"/>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common stock contained in its Registration Statement on Form 8-A together with any amendment or report filed with the Securities and Exchange Commission for the purpose of updating this description.</w:t>
      </w:r>
    </w:p>
    <w:p>
      <w:pPr>
        <w:spacing w:after="0" w:line="198" w:lineRule="exact"/>
        <w:rPr>
          <w:rFonts w:ascii="Courier New" w:cs="Courier New" w:eastAsia="Courier New" w:hAnsi="Courier New"/>
          <w:sz w:val="17"/>
          <w:szCs w:val="17"/>
          <w:color w:val="auto"/>
        </w:rPr>
      </w:pPr>
    </w:p>
    <w:p>
      <w:pPr>
        <w:ind w:left="1200" w:right="2259" w:hanging="601"/>
        <w:spacing w:after="0" w:line="237"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documents subsequently filed by the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a part hereof from the respective date of filing of such documents.</w:t>
      </w:r>
    </w:p>
    <w:p>
      <w:pPr>
        <w:spacing w:after="0" w:line="200"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Any statement herein or contained in a document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Description of Securities.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Interests of Named Experts and Counsel.</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Indemnification of Directors and Officers.</w:t>
      </w:r>
    </w:p>
    <w:p>
      <w:pPr>
        <w:spacing w:after="0" w:line="196"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Section 145 of the General Corporation Law of the State of Delaware ("GCL") provides for the indemnification of officers and directors under certain circumstances against expenses incurred in successfully defending against a claim and authorizes Delaware corporations to indemnify their officers and directors under certain circumstances against expenses and liabilities incurred in legal proceedings involving such persons because of their being or having been an officer or director.</w:t>
      </w:r>
    </w:p>
    <w:p>
      <w:pPr>
        <w:spacing w:after="0" w:line="199" w:lineRule="exact"/>
        <w:rPr>
          <w:sz w:val="20"/>
          <w:szCs w:val="20"/>
          <w:color w:val="auto"/>
        </w:rPr>
      </w:pPr>
    </w:p>
    <w:p>
      <w:pPr>
        <w:ind w:right="2359" w:firstLine="597"/>
        <w:spacing w:after="0" w:line="253" w:lineRule="auto"/>
        <w:rPr>
          <w:sz w:val="20"/>
          <w:szCs w:val="20"/>
          <w:color w:val="auto"/>
        </w:rPr>
      </w:pPr>
      <w:r>
        <w:rPr>
          <w:rFonts w:ascii="Courier New" w:cs="Courier New" w:eastAsia="Courier New" w:hAnsi="Courier New"/>
          <w:sz w:val="16"/>
          <w:szCs w:val="16"/>
          <w:color w:val="auto"/>
        </w:rPr>
        <w:t>Section 102(b) of the GCL permits a corporation, by so providing in its certificate of incorporation, to eliminate or limit director's liability to the corporation and its shareholders for monetary damages arising out of certain alleged breaches of their fiduciary duty. Section 102(b)(7) of the GCL provides that no such limitation of liability may affect a director's liability with respect to any of the following: (i) breaches of the director's duty of loyalty to the corporation or its shareholders; (ii) acts or omissions not made in good faith or which involve intentional misconduct of knowing violations of law;</w:t>
      </w:r>
    </w:p>
    <w:p>
      <w:pPr>
        <w:spacing w:after="0" w:line="1" w:lineRule="exact"/>
        <w:rPr>
          <w:sz w:val="20"/>
          <w:szCs w:val="20"/>
          <w:color w:val="auto"/>
        </w:rPr>
      </w:pPr>
    </w:p>
    <w:p>
      <w:pPr>
        <w:ind w:right="2259" w:firstLine="2"/>
        <w:spacing w:after="0" w:line="254" w:lineRule="auto"/>
        <w:tabs>
          <w:tab w:leader="none" w:pos="5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for dividends paid or stock repurchased or redeemed in violation of the GCL; or (iv) any transaction from which the director derived an improper personal benefit. Section 102(b)(7) does not authorize any limitation on the ability of the corporation or its shareholders to obtain injunction relief, specific performance or other equitable relief against directors.</w:t>
      </w: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3" w:right="1440" w:bottom="1440" w:gutter="0" w:footer="0" w:header="0"/>
        </w:sectPr>
      </w:pPr>
    </w:p>
    <w:bookmarkStart w:id="3" w:name="page4"/>
    <w:bookmarkEnd w:id="3"/>
    <w:p>
      <w:pPr>
        <w:ind w:right="2459" w:firstLine="597"/>
        <w:spacing w:after="0" w:line="237" w:lineRule="auto"/>
        <w:rPr>
          <w:sz w:val="20"/>
          <w:szCs w:val="20"/>
          <w:color w:val="auto"/>
        </w:rPr>
      </w:pPr>
      <w:r>
        <w:rPr>
          <w:rFonts w:ascii="Courier New" w:cs="Courier New" w:eastAsia="Courier New" w:hAnsi="Courier New"/>
          <w:sz w:val="17"/>
          <w:szCs w:val="17"/>
          <w:color w:val="auto"/>
        </w:rPr>
        <w:t>The registrant's Certificate of Incorporation provides that it shall indemnify its officers and directors to the maximum extent permitted from time to time under the GCL and requires the registrant to advance expenses to any director or officer to the extent that such indemnification and advancement of expenses is permitted under such law, as it may, from time to time, be in effect.</w:t>
      </w:r>
    </w:p>
    <w:p>
      <w:pPr>
        <w:spacing w:after="0" w:line="198"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In addition, the registrant's By-laws require the registrant to indemnify, to the fullest extent permitted by law, any director, officer, employee or agent for acts which such person reasonably believes are not in violation of the registrant's corporate purposes as set forth in the registrant's Certificate of Incorporation. At present, the GCL provides that, in order to be entitled to indemnification, an individual must have acted in good faith and in a manner he or she reasonably believed to be in or not opposed to the best interests of the registrant.</w:t>
      </w:r>
    </w:p>
    <w:p>
      <w:pPr>
        <w:spacing w:after="0" w:line="200"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Exemption from Registration Claimed.</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690" w:right="1440" w:bottom="1440" w:gutter="0" w:footer="0" w:header="0"/>
        </w:sectPr>
      </w:pPr>
    </w:p>
    <w:p>
      <w:pPr>
        <w:spacing w:after="0" w:line="196" w:lineRule="exact"/>
        <w:rPr>
          <w:sz w:val="20"/>
          <w:szCs w:val="20"/>
          <w:color w:val="auto"/>
        </w:rPr>
      </w:pPr>
    </w:p>
    <w:p>
      <w:pPr>
        <w:spacing w:after="0" w:line="253"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2">
            <w:col w:w="1300" w:space="500"/>
            <w:col w:w="8419"/>
          </w:cols>
          <w:pgMar w:left="240" w:top="690" w:right="1440" w:bottom="1440" w:gutter="0" w:footer="0" w:header="0"/>
          <w:type w:val="continuous"/>
        </w:sectPr>
      </w:pPr>
    </w:p>
    <w:p>
      <w:pPr>
        <w:ind w:left="1800" w:hanging="1599"/>
        <w:spacing w:after="0" w:line="232" w:lineRule="auto"/>
        <w:tabs>
          <w:tab w:leader="none" w:pos="1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Blank Rome  LLP</w:t>
      </w:r>
    </w:p>
    <w:tbl>
      <w:tblPr>
        <w:tblLayout w:type="fixed"/>
        <w:tblInd w:w="200" w:type="dxa"/>
        <w:tblCellMar>
          <w:top w:w="0" w:type="dxa"/>
          <w:left w:w="0" w:type="dxa"/>
          <w:bottom w:w="0" w:type="dxa"/>
          <w:right w:w="0" w:type="dxa"/>
        </w:tblCellMar>
      </w:tblPr>
      <w:tr>
        <w:trPr>
          <w:trHeight w:val="192"/>
        </w:trPr>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23.1</w:t>
            </w:r>
          </w:p>
        </w:tc>
        <w:tc>
          <w:tcPr>
            <w:tcW w:w="62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Consent of PricewaterhouseCoopers LLP</w:t>
            </w:r>
          </w:p>
        </w:tc>
      </w:tr>
      <w:tr>
        <w:trPr>
          <w:trHeight w:val="191"/>
        </w:trPr>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23.2</w:t>
            </w:r>
          </w:p>
        </w:tc>
        <w:tc>
          <w:tcPr>
            <w:tcW w:w="62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Consent of Blank Rome  LLP (included in Exhibit 5)</w:t>
            </w:r>
          </w:p>
        </w:tc>
      </w:tr>
      <w:tr>
        <w:trPr>
          <w:trHeight w:val="191"/>
        </w:trPr>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24.1</w:t>
            </w:r>
          </w:p>
        </w:tc>
        <w:tc>
          <w:tcPr>
            <w:tcW w:w="62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7"/>
              </w:rPr>
              <w:t>Power of Attorney (included on the Signature Page of this</w:t>
            </w:r>
          </w:p>
        </w:tc>
      </w:tr>
      <w:tr>
        <w:trPr>
          <w:trHeight w:val="191"/>
        </w:trPr>
        <w:tc>
          <w:tcPr>
            <w:tcW w:w="1000" w:type="dxa"/>
            <w:vAlign w:val="bottom"/>
          </w:tcPr>
          <w:p>
            <w:pPr>
              <w:spacing w:after="0"/>
              <w:rPr>
                <w:sz w:val="16"/>
                <w:szCs w:val="16"/>
                <w:color w:val="auto"/>
              </w:rPr>
            </w:pPr>
          </w:p>
        </w:tc>
        <w:tc>
          <w:tcPr>
            <w:tcW w:w="62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Registration Statement)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Undertakings.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690" w:right="1440" w:bottom="1440" w:gutter="0" w:footer="0" w:header="0"/>
          <w:type w:val="continuous"/>
        </w:sectPr>
      </w:pPr>
    </w:p>
    <w:bookmarkStart w:id="4" w:name="page5"/>
    <w:bookmarkEnd w:id="4"/>
    <w:p>
      <w:pPr>
        <w:ind w:right="2959" w:firstLine="2"/>
        <w:spacing w:after="0" w:line="235" w:lineRule="auto"/>
        <w:tabs>
          <w:tab w:leader="none" w:pos="39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sz w:val="20"/>
          <w:szCs w:val="20"/>
          <w:color w:val="auto"/>
        </w:rPr>
      </w:pPr>
    </w:p>
    <w:p>
      <w:pPr>
        <w:ind w:right="2259" w:firstLine="2"/>
        <w:spacing w:after="0" w:line="235" w:lineRule="auto"/>
        <w:tabs>
          <w:tab w:leader="none" w:pos="39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right="2359" w:firstLine="2"/>
        <w:spacing w:after="0" w:line="237" w:lineRule="auto"/>
        <w:tabs>
          <w:tab w:leader="none" w:pos="49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Registration Statement any facts or events arising after the effective date of the prospectus (or the most recent post-effective amendments thereto)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prices represent no more than 20 percent change in the maximum aggregate offering price set forth in the "Calculation of Registration Fee" table in the effective Registration Statement; and</w:t>
      </w:r>
    </w:p>
    <w:p>
      <w:pPr>
        <w:spacing w:after="0" w:line="204" w:lineRule="exact"/>
        <w:rPr>
          <w:rFonts w:ascii="Courier New" w:cs="Courier New" w:eastAsia="Courier New" w:hAnsi="Courier New"/>
          <w:sz w:val="17"/>
          <w:szCs w:val="17"/>
          <w:color w:val="auto"/>
        </w:rPr>
      </w:pPr>
    </w:p>
    <w:p>
      <w:pPr>
        <w:ind w:right="2859" w:firstLine="2"/>
        <w:spacing w:after="0" w:line="236" w:lineRule="auto"/>
        <w:tabs>
          <w:tab w:leader="none" w:pos="59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Provided, however, that paragraphs (1)(i) and (1)(ii) do not apply if the information required to be filed with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98" w:lineRule="exact"/>
        <w:rPr>
          <w:sz w:val="20"/>
          <w:szCs w:val="20"/>
          <w:color w:val="auto"/>
        </w:rPr>
      </w:pPr>
    </w:p>
    <w:p>
      <w:pPr>
        <w:ind w:right="2359" w:firstLine="2"/>
        <w:spacing w:after="0" w:line="237"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Courier New" w:cs="Courier New" w:eastAsia="Courier New" w:hAnsi="Courier New"/>
          <w:sz w:val="17"/>
          <w:szCs w:val="17"/>
          <w:color w:val="auto"/>
        </w:rPr>
      </w:pPr>
    </w:p>
    <w:p>
      <w:pPr>
        <w:jc w:val="both"/>
        <w:ind w:right="2559" w:firstLine="2"/>
        <w:spacing w:after="0" w:line="236"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3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690" w:right="1440" w:bottom="1440" w:gutter="0" w:footer="0" w:header="0"/>
        </w:sectPr>
      </w:pPr>
    </w:p>
    <w:bookmarkStart w:id="5" w:name="page6"/>
    <w:bookmarkEnd w:id="5"/>
    <w:p>
      <w:pPr>
        <w:jc w:val="center"/>
        <w:ind w:right="2259"/>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20th day of December 2004.</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TAKE-TWO INTERACTIVE SOFTWARE, INC.</w:t>
      </w:r>
    </w:p>
    <w:p>
      <w:pPr>
        <w:spacing w:after="0" w:line="381" w:lineRule="exact"/>
        <w:rPr>
          <w:sz w:val="20"/>
          <w:szCs w:val="20"/>
          <w:color w:val="auto"/>
        </w:rPr>
      </w:pPr>
    </w:p>
    <w:p>
      <w:pPr>
        <w:jc w:val="center"/>
        <w:ind w:right="-320"/>
        <w:spacing w:after="0"/>
        <w:tabs>
          <w:tab w:leader="none" w:pos="180" w:val="left"/>
        </w:tabs>
        <w:rPr>
          <w:sz w:val="20"/>
          <w:szCs w:val="20"/>
          <w:color w:val="auto"/>
        </w:rPr>
      </w:pPr>
      <w:r>
        <w:rPr>
          <w:rFonts w:ascii="Courier New" w:cs="Courier New" w:eastAsia="Courier New" w:hAnsi="Courier New"/>
          <w:sz w:val="17"/>
          <w:szCs w:val="17"/>
          <w:color w:val="auto"/>
        </w:rPr>
        <w:t>By: /s/ Richard</w:t>
      </w:r>
      <w:r>
        <w:rPr>
          <w:sz w:val="20"/>
          <w:szCs w:val="20"/>
          <w:color w:val="auto"/>
        </w:rPr>
        <w:tab/>
      </w:r>
      <w:r>
        <w:rPr>
          <w:rFonts w:ascii="Courier New" w:cs="Courier New" w:eastAsia="Courier New" w:hAnsi="Courier New"/>
          <w:sz w:val="16"/>
          <w:szCs w:val="16"/>
          <w:color w:val="auto"/>
        </w:rPr>
        <w:t>W. Roedel</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Richard W. Roedel</w:t>
      </w:r>
    </w:p>
    <w:p>
      <w:pPr>
        <w:ind w:left="4280"/>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197" w:lineRule="exact"/>
        <w:rPr>
          <w:sz w:val="20"/>
          <w:szCs w:val="20"/>
          <w:color w:val="auto"/>
        </w:rPr>
      </w:pPr>
    </w:p>
    <w:p>
      <w:pPr>
        <w:ind w:right="2459" w:firstLine="597"/>
        <w:spacing w:after="0" w:line="254" w:lineRule="auto"/>
        <w:rPr>
          <w:sz w:val="20"/>
          <w:szCs w:val="20"/>
          <w:color w:val="auto"/>
        </w:rPr>
      </w:pPr>
      <w:r>
        <w:rPr>
          <w:rFonts w:ascii="Courier New" w:cs="Courier New" w:eastAsia="Courier New" w:hAnsi="Courier New"/>
          <w:sz w:val="16"/>
          <w:szCs w:val="16"/>
          <w:color w:val="auto"/>
        </w:rPr>
        <w:t>Each person whose signature appears below authorizes each of Richard W. Roedel and Karl H. Winters, or either of them acting individually, as his true and lawful attorney-in-fact, each with full power of substitution, to sign the Registration Statement on Form S-8 of Take-Two Interactive Software, Inc., including any and all pre-effective and post-effective amendments, in the name and on behalf of each such person, individually and in each capacity stated below, and to file the same, with exhibits thereto and other documents in connection therewith with the Securities and Exchange Commission.</w:t>
      </w:r>
    </w:p>
    <w:p>
      <w:pPr>
        <w:spacing w:after="0" w:line="187" w:lineRule="exact"/>
        <w:rPr>
          <w:sz w:val="20"/>
          <w:szCs w:val="20"/>
          <w:color w:val="auto"/>
        </w:rPr>
      </w:pPr>
    </w:p>
    <w:p>
      <w:pPr>
        <w:jc w:val="both"/>
        <w:ind w:right="3259" w:firstLine="5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219"/>
          </w:cols>
          <w:pgMar w:left="240" w:top="683" w:right="144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Signature</w:t>
      </w:r>
    </w:p>
    <w:p>
      <w:pPr>
        <w:spacing w:after="0" w:line="1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5240" w:space="720"/>
            <w:col w:w="2280" w:space="720"/>
            <w:col w:w="1259"/>
          </w:cols>
          <w:pgMar w:left="240" w:top="683"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Richard W. Roedel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Officer (Principal Executive Officer)</w:t>
      </w:r>
    </w:p>
    <w:p>
      <w:pPr>
        <w:spacing w:after="0" w:line="20" w:lineRule="exact"/>
        <w:rPr>
          <w:sz w:val="20"/>
          <w:szCs w:val="20"/>
          <w:color w:val="auto"/>
        </w:rPr>
      </w:pPr>
      <w:r>
        <w:rPr>
          <w:sz w:val="20"/>
          <w:szCs w:val="20"/>
          <w:color w:val="auto"/>
        </w:rPr>
        <w:br w:type="column"/>
      </w:r>
    </w:p>
    <w:p>
      <w:pPr>
        <w:jc w:val="center"/>
        <w:ind w:right="279"/>
        <w:spacing w:after="0"/>
        <w:rPr>
          <w:sz w:val="20"/>
          <w:szCs w:val="20"/>
          <w:color w:val="auto"/>
        </w:rPr>
      </w:pPr>
      <w:r>
        <w:rPr>
          <w:rFonts w:ascii="Courier New" w:cs="Courier New" w:eastAsia="Courier New" w:hAnsi="Courier New"/>
          <w:sz w:val="16"/>
          <w:szCs w:val="16"/>
          <w:color w:val="auto"/>
        </w:rPr>
        <w:t>December 20, 2004</w:t>
      </w:r>
    </w:p>
    <w:p>
      <w:pPr>
        <w:spacing w:after="0" w:line="201" w:lineRule="exact"/>
        <w:rPr>
          <w:sz w:val="20"/>
          <w:szCs w:val="20"/>
          <w:color w:val="auto"/>
        </w:rPr>
      </w:pPr>
    </w:p>
    <w:p>
      <w:pPr>
        <w:sectPr>
          <w:pgSz w:w="11900" w:h="16838" w:orient="portrait"/>
          <w:cols w:equalWidth="0" w:num="3">
            <w:col w:w="3680" w:space="200"/>
            <w:col w:w="4080" w:space="300"/>
            <w:col w:w="1959"/>
          </w:cols>
          <w:pgMar w:left="240" w:top="68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Richard W. Roedel</w:t>
      </w:r>
    </w:p>
    <w:p>
      <w:pPr>
        <w:sectPr>
          <w:pgSz w:w="11900" w:h="16838" w:orient="portrait"/>
          <w:cols w:equalWidth="0" w:num="1">
            <w:col w:w="10219"/>
          </w:cols>
          <w:pgMar w:left="240" w:top="683" w:right="1440" w:bottom="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Paul Eibeler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 2004</w:t>
      </w:r>
    </w:p>
    <w:p>
      <w:pPr>
        <w:spacing w:after="0" w:line="3" w:lineRule="exact"/>
        <w:rPr>
          <w:sz w:val="20"/>
          <w:szCs w:val="20"/>
          <w:color w:val="auto"/>
        </w:rPr>
      </w:pPr>
    </w:p>
    <w:p>
      <w:pPr>
        <w:sectPr>
          <w:pgSz w:w="11900" w:h="16838" w:orient="portrait"/>
          <w:cols w:equalWidth="0" w:num="3">
            <w:col w:w="3160" w:space="720"/>
            <w:col w:w="3660" w:space="720"/>
            <w:col w:w="1959"/>
          </w:cols>
          <w:pgMar w:left="240" w:top="683" w:right="1440" w:bottom="0" w:gutter="0" w:footer="0" w:header="0"/>
          <w:type w:val="continuous"/>
        </w:sectPr>
      </w:pPr>
    </w:p>
    <w:p>
      <w:pPr>
        <w:ind w:left="200" w:hanging="198"/>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Paul Eibeler</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Karl H. Winters</w:t>
      </w:r>
      <w:r>
        <w:rPr>
          <w:sz w:val="20"/>
          <w:szCs w:val="20"/>
          <w:color w:val="auto"/>
        </w:rPr>
        <w:tab/>
      </w:r>
      <w:r>
        <w:rPr>
          <w:rFonts w:ascii="Courier New" w:cs="Courier New" w:eastAsia="Courier New" w:hAnsi="Courier New"/>
          <w:sz w:val="17"/>
          <w:szCs w:val="17"/>
          <w:color w:val="auto"/>
        </w:rPr>
        <w:t>Chief Financial and Accounting Officer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Karl H. Winters</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Robert Flug</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Robert Flug</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Steven Tisch</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Steven Tisch</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Oliver R. Grace, Jr.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Oliver R. Grace, Jr.</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Todd Emmel</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 2004</w:t>
      </w:r>
    </w:p>
    <w:p>
      <w:pPr>
        <w:ind w:left="200" w:hanging="198"/>
        <w:spacing w:after="0" w:line="238" w:lineRule="auto"/>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Todd Emmel</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Mark Lewis</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Mark Lewis</w:t>
      </w:r>
    </w:p>
    <w:p>
      <w:pPr>
        <w:spacing w:after="0" w:line="381" w:lineRule="exact"/>
        <w:rPr>
          <w:sz w:val="20"/>
          <w:szCs w:val="20"/>
          <w:color w:val="auto"/>
        </w:rPr>
      </w:pPr>
    </w:p>
    <w:p>
      <w:pPr>
        <w:spacing w:after="0"/>
        <w:tabs>
          <w:tab w:leader="none" w:pos="3860" w:val="left"/>
          <w:tab w:leader="none" w:pos="8240" w:val="left"/>
        </w:tabs>
        <w:rPr>
          <w:sz w:val="20"/>
          <w:szCs w:val="20"/>
          <w:color w:val="auto"/>
        </w:rPr>
      </w:pPr>
      <w:r>
        <w:rPr>
          <w:rFonts w:ascii="Courier New" w:cs="Courier New" w:eastAsia="Courier New" w:hAnsi="Courier New"/>
          <w:sz w:val="17"/>
          <w:szCs w:val="17"/>
          <w:color w:val="auto"/>
        </w:rPr>
        <w:t>/s/ Barbara A. Kaczynski</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December 20, 2004</w:t>
      </w:r>
    </w:p>
    <w:p>
      <w:pPr>
        <w:ind w:left="200" w:hanging="198"/>
        <w:spacing w:after="0" w:line="238"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Barbara A. Kaczynski</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683" w:right="1440" w:bottom="0" w:gutter="0" w:footer="0" w:header="0"/>
          <w:type w:val="continuous"/>
        </w:sectPr>
      </w:pPr>
    </w:p>
    <w:bookmarkStart w:id="6" w:name="page7"/>
    <w:bookmarkEnd w:id="6"/>
    <w:p>
      <w:pPr>
        <w:ind w:left="3380"/>
        <w:spacing w:after="0"/>
        <w:rPr>
          <w:sz w:val="20"/>
          <w:szCs w:val="20"/>
          <w:color w:val="auto"/>
        </w:rPr>
      </w:pPr>
      <w:r>
        <w:rPr>
          <w:rFonts w:ascii="Courier New" w:cs="Courier New" w:eastAsia="Courier New" w:hAnsi="Courier New"/>
          <w:sz w:val="17"/>
          <w:szCs w:val="17"/>
          <w:color w:val="auto"/>
        </w:rPr>
        <w:t>Exhibit Index</w:t>
      </w:r>
    </w:p>
    <w:p>
      <w:pPr>
        <w:spacing w:after="0" w:line="19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17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ind w:left="1600" w:hanging="1598"/>
        <w:spacing w:after="0" w:line="238" w:lineRule="auto"/>
        <w:tabs>
          <w:tab w:leader="none" w:pos="16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Blank Rome  LLP</w:t>
      </w:r>
    </w:p>
    <w:tbl>
      <w:tblPr>
        <w:tblLayout w:type="fixed"/>
        <w:tblInd w:w="0" w:type="dxa"/>
        <w:tblCellMar>
          <w:top w:w="0" w:type="dxa"/>
          <w:left w:w="0" w:type="dxa"/>
          <w:bottom w:w="0" w:type="dxa"/>
          <w:right w:w="0" w:type="dxa"/>
        </w:tblCellMar>
      </w:tblPr>
      <w:tr>
        <w:trPr>
          <w:trHeight w:val="192"/>
        </w:trPr>
        <w:tc>
          <w:tcPr>
            <w:tcW w:w="10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3"/>
              </w:rPr>
              <w:t>23.1</w:t>
            </w:r>
          </w:p>
        </w:tc>
        <w:tc>
          <w:tcPr>
            <w:tcW w:w="1640" w:type="dxa"/>
            <w:vAlign w:val="bottom"/>
          </w:tcPr>
          <w:p>
            <w:pPr>
              <w:ind w:left="600"/>
              <w:spacing w:after="0"/>
              <w:rPr>
                <w:sz w:val="20"/>
                <w:szCs w:val="20"/>
                <w:color w:val="auto"/>
              </w:rPr>
            </w:pPr>
            <w:r>
              <w:rPr>
                <w:rFonts w:ascii="Courier New" w:cs="Courier New" w:eastAsia="Courier New" w:hAnsi="Courier New"/>
                <w:sz w:val="17"/>
                <w:szCs w:val="17"/>
                <w:color w:val="auto"/>
                <w:w w:val="99"/>
              </w:rPr>
              <w:t>Consent of</w:t>
            </w:r>
          </w:p>
        </w:tc>
        <w:tc>
          <w:tcPr>
            <w:tcW w:w="4120" w:type="dxa"/>
            <w:vAlign w:val="bottom"/>
          </w:tcPr>
          <w:p>
            <w:pPr>
              <w:ind w:left="40"/>
              <w:spacing w:after="0"/>
              <w:rPr>
                <w:sz w:val="20"/>
                <w:szCs w:val="20"/>
                <w:color w:val="auto"/>
              </w:rPr>
            </w:pPr>
            <w:r>
              <w:rPr>
                <w:rFonts w:ascii="Courier New" w:cs="Courier New" w:eastAsia="Courier New" w:hAnsi="Courier New"/>
                <w:sz w:val="17"/>
                <w:szCs w:val="17"/>
                <w:color w:val="auto"/>
              </w:rPr>
              <w:t>PricewaterhouseCoopers LLP</w:t>
            </w:r>
          </w:p>
        </w:tc>
      </w:tr>
      <w:tr>
        <w:trPr>
          <w:trHeight w:val="191"/>
        </w:trPr>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23.2</w:t>
            </w:r>
          </w:p>
        </w:tc>
        <w:tc>
          <w:tcPr>
            <w:tcW w:w="1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9"/>
              </w:rPr>
              <w:t>Consent of</w:t>
            </w:r>
          </w:p>
        </w:tc>
        <w:tc>
          <w:tcPr>
            <w:tcW w:w="4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Blank Rome LLP (included in Exhibit 5)</w:t>
            </w:r>
          </w:p>
        </w:tc>
      </w:tr>
      <w:tr>
        <w:trPr>
          <w:trHeight w:val="191"/>
        </w:trPr>
        <w:tc>
          <w:tcPr>
            <w:tcW w:w="1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3"/>
              </w:rPr>
              <w:t>24.1</w:t>
            </w:r>
          </w:p>
        </w:tc>
        <w:tc>
          <w:tcPr>
            <w:tcW w:w="57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w w:val="96"/>
              </w:rPr>
              <w:t>Power of Attorney (included on Signature Page of the</w:t>
            </w:r>
          </w:p>
        </w:tc>
      </w:tr>
      <w:tr>
        <w:trPr>
          <w:trHeight w:val="191"/>
        </w:trPr>
        <w:tc>
          <w:tcPr>
            <w:tcW w:w="1000" w:type="dxa"/>
            <w:vAlign w:val="bottom"/>
          </w:tcPr>
          <w:p>
            <w:pPr>
              <w:spacing w:after="0"/>
              <w:rPr>
                <w:sz w:val="16"/>
                <w:szCs w:val="16"/>
                <w:color w:val="auto"/>
              </w:rPr>
            </w:pPr>
          </w:p>
        </w:tc>
        <w:tc>
          <w:tcPr>
            <w:tcW w:w="57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Registration Statement)</w:t>
            </w:r>
          </w:p>
        </w:tc>
      </w:tr>
    </w:tbl>
    <w:p>
      <w:pPr>
        <w:sectPr>
          <w:pgSz w:w="11900" w:h="16838" w:orient="portrait"/>
          <w:cols w:equalWidth="0" w:num="1">
            <w:col w:w="10219"/>
          </w:cols>
          <w:pgMar w:left="240" w:top="683" w:right="1440" w:bottom="1440" w:gutter="0" w:footer="0" w:header="0"/>
        </w:sectPr>
      </w:pPr>
    </w:p>
    <w:bookmarkStart w:id="7" w:name="page8"/>
    <w:bookmarkEnd w:id="7"/>
    <w:p>
      <w:pPr>
        <w:ind w:left="2480"/>
        <w:spacing w:after="0"/>
        <w:rPr>
          <w:sz w:val="20"/>
          <w:szCs w:val="20"/>
          <w:color w:val="auto"/>
        </w:rPr>
      </w:pPr>
      <w:r>
        <w:rPr>
          <w:rFonts w:ascii="Courier New" w:cs="Courier New" w:eastAsia="Courier New" w:hAnsi="Courier New"/>
          <w:sz w:val="17"/>
          <w:szCs w:val="17"/>
          <w:color w:val="auto"/>
        </w:rPr>
        <w:t>[LETTERHEAD OF BLANK ROME LLP]</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December 20, 2004</w:t>
      </w:r>
    </w:p>
    <w:p>
      <w:pPr>
        <w:spacing w:after="0" w:line="381"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7"/>
          <w:szCs w:val="17"/>
          <w:color w:val="auto"/>
        </w:rPr>
        <w:t>Take-Two Interactive Software,</w:t>
      </w:r>
      <w:r>
        <w:rPr>
          <w:sz w:val="20"/>
          <w:szCs w:val="20"/>
          <w:color w:val="auto"/>
        </w:rPr>
        <w:tab/>
      </w:r>
      <w:r>
        <w:rPr>
          <w:rFonts w:ascii="Courier New" w:cs="Courier New" w:eastAsia="Courier New" w:hAnsi="Courier New"/>
          <w:sz w:val="16"/>
          <w:szCs w:val="16"/>
          <w:color w:val="auto"/>
        </w:rPr>
        <w:t>Inc.</w:t>
      </w:r>
    </w:p>
    <w:p>
      <w:pPr>
        <w:spacing w:after="0" w:line="238" w:lineRule="auto"/>
        <w:rPr>
          <w:sz w:val="20"/>
          <w:szCs w:val="20"/>
          <w:color w:val="auto"/>
        </w:rPr>
      </w:pPr>
      <w:r>
        <w:rPr>
          <w:rFonts w:ascii="Courier New" w:cs="Courier New" w:eastAsia="Courier New" w:hAnsi="Courier New"/>
          <w:sz w:val="17"/>
          <w:szCs w:val="17"/>
          <w:color w:val="auto"/>
        </w:rPr>
        <w:t>622 Broadway</w:t>
      </w:r>
    </w:p>
    <w:p>
      <w:pPr>
        <w:spacing w:after="0" w:line="238" w:lineRule="auto"/>
        <w:rPr>
          <w:sz w:val="20"/>
          <w:szCs w:val="20"/>
          <w:color w:val="auto"/>
        </w:rPr>
      </w:pPr>
      <w:r>
        <w:rPr>
          <w:rFonts w:ascii="Courier New" w:cs="Courier New" w:eastAsia="Courier New" w:hAnsi="Courier New"/>
          <w:sz w:val="17"/>
          <w:szCs w:val="17"/>
          <w:color w:val="auto"/>
        </w:rPr>
        <w:t>New York, New York 10012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6"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You have requested our opinion with respect to the offering by you, Take-Two Interactive Software, Inc., a Delaware corporation (the "Company"), pursuant to a Registration Statement on Form S-8 (the "Registration Statement") to be filed under the Securities Act of 1933, as amended (the "Act"), of up to 724,319 shares of the Company's common stock (the "Shares") issuable upon the future grant of stock-based awards (collectively, the "Plan Awards") under the Company's Incentive Stock Plan (the "Plan").</w:t>
      </w:r>
    </w:p>
    <w:p>
      <w:pPr>
        <w:spacing w:after="0" w:line="199" w:lineRule="exact"/>
        <w:rPr>
          <w:sz w:val="20"/>
          <w:szCs w:val="20"/>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We have examined and relied upon originals, or copies certified or otherwise identified to our satisfaction, of such documents and corporate and public records as we deemed necessary as a basis for the opinion hereinafter expressed. With respect to such examination, we have assumed the genuineness of all signatures appearing on all documents presented to us as originals, and the conformity to the originals of all documents presented to us as conformed or reproduced copies. Where factual matters relevant to such opinion were not independently established, we have relied upon representations of executive officers of the Company.</w:t>
      </w:r>
    </w:p>
    <w:p>
      <w:pPr>
        <w:spacing w:after="0" w:line="201" w:lineRule="exact"/>
        <w:rPr>
          <w:sz w:val="20"/>
          <w:szCs w:val="20"/>
          <w:color w:val="auto"/>
        </w:rPr>
      </w:pPr>
    </w:p>
    <w:p>
      <w:pPr>
        <w:jc w:val="both"/>
        <w:ind w:right="2259" w:firstLine="597"/>
        <w:spacing w:after="0" w:line="236" w:lineRule="auto"/>
        <w:rPr>
          <w:sz w:val="20"/>
          <w:szCs w:val="20"/>
          <w:color w:val="auto"/>
        </w:rPr>
      </w:pPr>
      <w:r>
        <w:rPr>
          <w:rFonts w:ascii="Courier New" w:cs="Courier New" w:eastAsia="Courier New" w:hAnsi="Courier New"/>
          <w:sz w:val="17"/>
          <w:szCs w:val="17"/>
          <w:color w:val="auto"/>
        </w:rPr>
        <w:t>Based upon the foregoing, it is our opinion that the Shares, when paid for and issued as contemplated by the Registration Statement, the Plan and the Plan Awards, will be validly issued, fully paid and nonassessable.</w:t>
      </w:r>
    </w:p>
    <w:p>
      <w:pPr>
        <w:spacing w:after="0" w:line="197"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We hereby consent to the use of this opinion as Exhibit 5 to the Registration Statement, and to the use of our name as your counsel in connection with the Registration Statement and in the Prospectus forming a part thereof. In giving this consent, we do not thereby concede that we come within the categories of persons whose consent is required by the Act or the General Rules and Regulations promulgated thereunder.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Very truly yours,</w:t>
      </w:r>
    </w:p>
    <w:p>
      <w:pPr>
        <w:spacing w:after="0" w:line="381" w:lineRule="exact"/>
        <w:rPr>
          <w:sz w:val="20"/>
          <w:szCs w:val="20"/>
          <w:color w:val="auto"/>
        </w:rPr>
      </w:pPr>
    </w:p>
    <w:p>
      <w:pPr>
        <w:ind w:left="3980"/>
        <w:spacing w:after="0"/>
        <w:tabs>
          <w:tab w:leader="none" w:pos="5560" w:val="left"/>
        </w:tabs>
        <w:rPr>
          <w:sz w:val="20"/>
          <w:szCs w:val="20"/>
          <w:color w:val="auto"/>
        </w:rPr>
      </w:pPr>
      <w:r>
        <w:rPr>
          <w:rFonts w:ascii="Courier New" w:cs="Courier New" w:eastAsia="Courier New" w:hAnsi="Courier New"/>
          <w:sz w:val="17"/>
          <w:szCs w:val="17"/>
          <w:color w:val="auto"/>
        </w:rPr>
        <w:t>/s/ Blank Rome</w:t>
      </w:r>
      <w:r>
        <w:rPr>
          <w:sz w:val="20"/>
          <w:szCs w:val="20"/>
          <w:color w:val="auto"/>
        </w:rPr>
        <w:tab/>
      </w:r>
      <w:r>
        <w:rPr>
          <w:rFonts w:ascii="Courier New" w:cs="Courier New" w:eastAsia="Courier New" w:hAnsi="Courier New"/>
          <w:sz w:val="15"/>
          <w:szCs w:val="15"/>
          <w:color w:val="auto"/>
        </w:rPr>
        <w:t>LLP</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BLANK ROME LLP</w:t>
      </w:r>
    </w:p>
    <w:p>
      <w:pPr>
        <w:sectPr>
          <w:pgSz w:w="11900" w:h="16838" w:orient="portrait"/>
          <w:cols w:equalWidth="0" w:num="1">
            <w:col w:w="10219"/>
          </w:cols>
          <w:pgMar w:left="240" w:top="135" w:right="1440" w:bottom="1440" w:gutter="0" w:footer="0" w:header="0"/>
        </w:sectPr>
      </w:pPr>
    </w:p>
    <w:bookmarkStart w:id="8" w:name="page9"/>
    <w:bookmarkEnd w:id="8"/>
    <w:p>
      <w:pPr>
        <w:ind w:left="120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196"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on Form S-8 of our report, dated December 15, 2004, relating to the financial statements and financial statement schedule of Take-Two Interactive Software, Inc., which appears in Take-Two Interactive Software, Inc.'s Annual Report on Form 10-K for the year ended October 31, 2004.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238" w:lineRule="auto"/>
        <w:rPr>
          <w:sz w:val="20"/>
          <w:szCs w:val="20"/>
          <w:color w:val="auto"/>
        </w:rPr>
      </w:pPr>
      <w:r>
        <w:rPr>
          <w:rFonts w:ascii="Courier New" w:cs="Courier New" w:eastAsia="Courier New" w:hAnsi="Courier New"/>
          <w:sz w:val="17"/>
          <w:szCs w:val="17"/>
          <w:color w:val="auto"/>
        </w:rPr>
        <w:t>December 20, 2004</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Roman"/>
      <w:start w:val="3"/>
    </w:lvl>
  </w:abstractNum>
  <w:abstractNum w:abstractNumId="4">
    <w:nsid w:val="1F16E9E8"/>
    <w:multiLevelType w:val="hybridMultilevel"/>
    <w:lvl w:ilvl="0">
      <w:lvlJc w:val="left"/>
      <w:lvlText w:val="5"/>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2019-12-14T05:35:37Z</dcterms:created>
  <dcterms:modified xsi:type="dcterms:W3CDTF">2019-12-14T05:35:37Z</dcterms:modified>
</cp:coreProperties>
</file>