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Srinivasan LaVerne Evans</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05/24/2018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05/24/2018</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469</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2,733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24, 2018; and (ii) the number of shares were determined based on the dollar value of the award and the average of the closing prices of the common stock on the ten trading days prior to May 24, 2018 (the "Pricing Date"), the fifth trading day following the filing of the Issuer's Annual Report on Form 10-K.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color w:val="0000FF"/>
                <w:w w:val="87"/>
              </w:rPr>
              <w:t>/s/ LaVerne E. Srinivasan</w:t>
            </w:r>
          </w:p>
        </w:tc>
        <w:tc>
          <w:tcPr>
            <w:tcW w:w="3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05/29/2018</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163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2019-12-23T21:10:52Z</dcterms:created>
  <dcterms:modified xsi:type="dcterms:W3CDTF">2019-12-23T21:10:52Z</dcterms:modified>
</cp:coreProperties>
</file>