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0"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SCHEDULE 14A</w:t>
      </w:r>
    </w:p>
    <w:p>
      <w:pPr>
        <w:spacing w:after="0" w:line="1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jc w:val="center"/>
        <w:ind w:right="-239"/>
        <w:spacing w:after="0"/>
        <w:tabs>
          <w:tab w:leader="none" w:pos="18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5" w:lineRule="exact"/>
        <w:rPr>
          <w:sz w:val="24"/>
          <w:szCs w:val="24"/>
          <w:color w:val="auto"/>
        </w:rPr>
      </w:pPr>
    </w:p>
    <w:p>
      <w:pPr>
        <w:ind w:left="120"/>
        <w:spacing w:after="0" w:line="161" w:lineRule="exact"/>
        <w:tabs>
          <w:tab w:leader="none" w:pos="290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60"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36"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04" w:lineRule="exact"/>
        <w:rPr>
          <w:rFonts w:ascii="MS PGothic" w:cs="MS PGothic" w:eastAsia="MS PGothic" w:hAnsi="MS PGothic"/>
          <w:sz w:val="14"/>
          <w:szCs w:val="1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4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660" w:hanging="544"/>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65" w:lineRule="exact"/>
        <w:rPr>
          <w:sz w:val="24"/>
          <w:szCs w:val="24"/>
          <w:color w:val="auto"/>
        </w:rPr>
      </w:pPr>
    </w:p>
    <w:p>
      <w:pPr>
        <w:jc w:val="center"/>
        <w:ind w:right="-219"/>
        <w:spacing w:after="0"/>
        <w:rPr>
          <w:sz w:val="20"/>
          <w:szCs w:val="20"/>
          <w:color w:val="auto"/>
        </w:rPr>
      </w:pPr>
      <w:r>
        <w:rPr>
          <w:rFonts w:ascii="Arial" w:cs="Arial" w:eastAsia="Arial" w:hAnsi="Arial"/>
          <w:sz w:val="36"/>
          <w:szCs w:val="36"/>
          <w:b w:val="1"/>
          <w:bCs w:val="1"/>
          <w:color w:val="auto"/>
        </w:rPr>
        <w:t>Take-Two Interactive Software, Inc.</w:t>
      </w:r>
    </w:p>
    <w:p>
      <w:pPr>
        <w:spacing w:after="0" w:line="57"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23"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3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the appropriate box):</w:t>
      </w:r>
    </w:p>
    <w:p>
      <w:pPr>
        <w:spacing w:after="0" w:line="123"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09" w:lineRule="exact"/>
        <w:rPr>
          <w:rFonts w:ascii="MS PGothic" w:cs="MS PGothic" w:eastAsia="MS PGothic" w:hAnsi="MS PGothic"/>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57"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57" w:lineRule="exact"/>
        <w:rPr>
          <w:rFonts w:ascii="Arial" w:cs="Arial" w:eastAsia="Arial" w:hAnsi="Arial"/>
          <w:sz w:val="14"/>
          <w:szCs w:val="14"/>
          <w:color w:val="auto"/>
        </w:rPr>
      </w:pPr>
    </w:p>
    <w:p>
      <w:pPr>
        <w:ind w:left="1220" w:right="460" w:hanging="537"/>
        <w:spacing w:after="0" w:line="258" w:lineRule="auto"/>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34"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57"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79" w:lineRule="exact"/>
        <w:rPr>
          <w:rFonts w:ascii="Arial" w:cs="Arial" w:eastAsia="Arial" w:hAnsi="Arial"/>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09" w:lineRule="exact"/>
        <w:rPr>
          <w:rFonts w:ascii="MS PGothic" w:cs="MS PGothic" w:eastAsia="MS PGothic" w:hAnsi="MS PGothic"/>
          <w:sz w:val="14"/>
          <w:szCs w:val="14"/>
          <w:color w:val="auto"/>
        </w:rPr>
      </w:pPr>
    </w:p>
    <w:p>
      <w:pPr>
        <w:ind w:left="680" w:hanging="564"/>
        <w:spacing w:after="0" w:line="258" w:lineRule="auto"/>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5" w:lineRule="exact"/>
        <w:rPr>
          <w:rFonts w:ascii="MS PGothic" w:cs="MS PGothic" w:eastAsia="MS PGothic" w:hAnsi="MS PGothic"/>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57"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57"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57"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-2607945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-2341880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-1973580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-1707515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-1442085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-653415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-387350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-121920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143510</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120" w:right="120"/>
        <w:spacing w:after="0" w:line="285" w:lineRule="auto"/>
        <w:rPr>
          <w:sz w:val="20"/>
          <w:szCs w:val="20"/>
          <w:color w:val="auto"/>
        </w:rPr>
      </w:pPr>
      <w:r>
        <w:rPr>
          <w:rFonts w:ascii="Arial" w:cs="Arial" w:eastAsia="Arial" w:hAnsi="Arial"/>
          <w:sz w:val="14"/>
          <w:szCs w:val="14"/>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48260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230" w:right="5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28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360"/>
        <w:spacing w:after="0"/>
        <w:rPr>
          <w:sz w:val="20"/>
          <w:szCs w:val="20"/>
          <w:color w:val="auto"/>
        </w:rPr>
      </w:pPr>
      <w:r>
        <w:rPr>
          <w:rFonts w:ascii="Arial" w:cs="Arial" w:eastAsia="Arial" w:hAnsi="Arial"/>
          <w:sz w:val="40"/>
          <w:szCs w:val="40"/>
          <w:b w:val="1"/>
          <w:bCs w:val="1"/>
          <w:color w:val="FFFFFF"/>
        </w:rPr>
        <w:t>LETTER TO OUR SHAREHOLDERS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July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370840</wp:posOffset>
            </wp:positionV>
            <wp:extent cx="1208405" cy="1440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840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005CB9"/>
        </w:rPr>
        <w:t>Dear Shareholders:</w:t>
      </w:r>
    </w:p>
    <w:p>
      <w:pPr>
        <w:spacing w:after="0" w:line="132" w:lineRule="exact"/>
        <w:rPr>
          <w:sz w:val="20"/>
          <w:szCs w:val="20"/>
          <w:color w:val="auto"/>
        </w:rPr>
      </w:pPr>
    </w:p>
    <w:p>
      <w:pPr>
        <w:ind w:left="2820" w:right="280"/>
        <w:spacing w:after="0" w:line="253" w:lineRule="auto"/>
        <w:rPr>
          <w:sz w:val="20"/>
          <w:szCs w:val="20"/>
          <w:color w:val="auto"/>
        </w:rPr>
      </w:pPr>
      <w:r>
        <w:rPr>
          <w:rFonts w:ascii="Arial" w:cs="Arial" w:eastAsia="Arial" w:hAnsi="Arial"/>
          <w:sz w:val="16"/>
          <w:szCs w:val="16"/>
          <w:color w:val="auto"/>
        </w:rPr>
        <w:t>You are cordially invited to attend the Annual Meeting of Shareholders of Take-Two Interactive Software, Inc., that will be held on September 16, 2020, at 9:00 a.m. local time at the W Hotel, 201 Park Avenue South, New York, New York 10003.</w:t>
      </w:r>
    </w:p>
    <w:p>
      <w:pPr>
        <w:spacing w:after="0" w:line="134" w:lineRule="exact"/>
        <w:rPr>
          <w:sz w:val="20"/>
          <w:szCs w:val="20"/>
          <w:color w:val="auto"/>
        </w:rPr>
      </w:pPr>
    </w:p>
    <w:p>
      <w:pPr>
        <w:ind w:left="2820" w:right="200"/>
        <w:spacing w:after="0" w:line="260" w:lineRule="auto"/>
        <w:rPr>
          <w:sz w:val="20"/>
          <w:szCs w:val="20"/>
          <w:color w:val="auto"/>
        </w:rPr>
      </w:pPr>
      <w:r>
        <w:rPr>
          <w:rFonts w:ascii="Arial" w:cs="Arial" w:eastAsia="Arial" w:hAnsi="Arial"/>
          <w:sz w:val="16"/>
          <w:szCs w:val="16"/>
          <w:color w:val="auto"/>
        </w:rPr>
        <w:t>Details of the business to be conducted at the Annual Meeting are given in the attached Notice of Annual Meeting of Shareholders and Proxy Statement, which you are urged to read carefully.</w:t>
      </w:r>
    </w:p>
    <w:p>
      <w:pPr>
        <w:spacing w:after="0" w:line="128" w:lineRule="exact"/>
        <w:rPr>
          <w:sz w:val="20"/>
          <w:szCs w:val="20"/>
          <w:color w:val="auto"/>
        </w:rPr>
      </w:pPr>
    </w:p>
    <w:p>
      <w:pPr>
        <w:ind w:left="2820" w:right="480"/>
        <w:spacing w:after="0" w:line="260" w:lineRule="auto"/>
        <w:rPr>
          <w:sz w:val="20"/>
          <w:szCs w:val="20"/>
          <w:color w:val="auto"/>
        </w:rPr>
      </w:pPr>
      <w:r>
        <w:rPr>
          <w:rFonts w:ascii="Arial" w:cs="Arial" w:eastAsia="Arial" w:hAnsi="Arial"/>
          <w:sz w:val="16"/>
          <w:szCs w:val="16"/>
          <w:color w:val="auto"/>
        </w:rPr>
        <w:t>We are pleased to use Securities and Exchange Commission rules that allow issuers to furnish proxy materials to their shareholders on the Internet.</w:t>
      </w:r>
    </w:p>
    <w:p>
      <w:pPr>
        <w:spacing w:after="0" w:line="114" w:lineRule="exact"/>
        <w:rPr>
          <w:sz w:val="20"/>
          <w:szCs w:val="20"/>
          <w:color w:val="auto"/>
        </w:rPr>
      </w:pPr>
    </w:p>
    <w:p>
      <w:pPr>
        <w:ind w:left="660" w:firstLine="2146"/>
        <w:spacing w:after="0" w:line="248" w:lineRule="auto"/>
        <w:rPr>
          <w:sz w:val="20"/>
          <w:szCs w:val="20"/>
          <w:color w:val="auto"/>
        </w:rPr>
      </w:pPr>
      <w:r>
        <w:rPr>
          <w:rFonts w:ascii="Arial" w:cs="Arial" w:eastAsia="Arial" w:hAnsi="Arial"/>
          <w:sz w:val="16"/>
          <w:szCs w:val="16"/>
          <w:color w:val="auto"/>
        </w:rPr>
        <w:t>We believe these rules allow us to provide our shareholders with the information they need, while lowering the costs of delivery and reducing the environmental impact of our Annual Meeting. On or about July 30, 2020, we expect to begin mailing to most of our shareholders a Notice of Internet Availability of Proxy Materials containing instructions on how to access our Proxy Statement and Annual Report and vote online; however, shareholders of record will receive a copy of the Proxy Statement and Annual Report by mail instead of receiving the Notice of Internet Availability of Proxy Materials. The Proxy Statement and Notice of Internet Availability of Proxy Materials contain instructions on how you can receive a paper copy of the Proxy Statement and Annual Report if you only received a Notice of Internet Availability of Proxy Materials by mail.</w:t>
      </w:r>
    </w:p>
    <w:p>
      <w:pPr>
        <w:spacing w:after="0" w:line="208"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color w:val="auto"/>
        </w:rPr>
        <w:t>Whether or not you plan to attend the meeting in person, it is important that your shares be represented and voted. After you read the Notice of Annual Meeting of Shareholders and Proxy Statement, we urge you to cast your vote via the Internet or, if you received a proxy card, complete, sign, date and return the proxy card in the envelope provided, or follow the instructions for voting by telephone that may be included therein. If the address on the Notice of Internet Availability of Proxy Materials or the accompanying material is incorrect, please advise our Transfer Agent, American Stock Transfer &amp; Trust Company, in writing at 6201 15th Avenue, Brooklyn, New York 11219.</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hope to see you at the meeting and appreciate your continued support.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79375</wp:posOffset>
            </wp:positionV>
            <wp:extent cx="13030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020" cy="22288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Strauss Zelnick</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Executive Chairman and Chief</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Executive Officer</w:t>
      </w:r>
    </w:p>
    <w:p>
      <w:pPr>
        <w:spacing w:after="0" w:line="316"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Take-Two Interactive Software, Inc. | 110 West 44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Street | New York, New York 10036, USA</w:t>
      </w:r>
    </w:p>
    <w:p>
      <w:pPr>
        <w:jc w:val="center"/>
        <w:ind w:right="-719"/>
        <w:spacing w:after="0"/>
        <w:rPr>
          <w:sz w:val="20"/>
          <w:szCs w:val="20"/>
          <w:color w:val="auto"/>
        </w:rPr>
      </w:pPr>
      <w:r>
        <w:rPr>
          <w:rFonts w:ascii="Arial" w:cs="Arial" w:eastAsia="Arial" w:hAnsi="Arial"/>
          <w:sz w:val="16"/>
          <w:szCs w:val="16"/>
          <w:color w:val="auto"/>
        </w:rPr>
        <w:t>tel 646.536.2842 | fax 646.536.2926 | www.take2games.com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636270</wp:posOffset>
            </wp:positionV>
            <wp:extent cx="702945"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668655"/>
                    </a:xfrm>
                    <a:prstGeom prst="rect">
                      <a:avLst/>
                    </a:prstGeom>
                    <a:noFill/>
                  </pic:spPr>
                </pic:pic>
              </a:graphicData>
            </a:graphic>
          </wp:anchor>
        </w:drawing>
      </w:r>
    </w:p>
    <w:p>
      <w:pPr>
        <w:sectPr>
          <w:pgSz w:w="11900" w:h="16838" w:orient="portrait"/>
          <w:cols w:equalWidth="0" w:num="1">
            <w:col w:w="10520"/>
          </w:cols>
          <w:pgMar w:left="320" w:top="459" w:right="10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28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20"/>
        <w:spacing w:after="0"/>
        <w:rPr>
          <w:sz w:val="20"/>
          <w:szCs w:val="20"/>
          <w:color w:val="auto"/>
        </w:rPr>
      </w:pPr>
      <w:r>
        <w:rPr>
          <w:rFonts w:ascii="Arial" w:cs="Arial" w:eastAsia="Arial" w:hAnsi="Arial"/>
          <w:sz w:val="39"/>
          <w:szCs w:val="39"/>
          <w:b w:val="1"/>
          <w:bCs w:val="1"/>
          <w:color w:val="FFFFFF"/>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377190</wp:posOffset>
            </wp:positionV>
            <wp:extent cx="702945" cy="668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 cy="6686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Date and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September 16, 2020</w:t>
      </w:r>
    </w:p>
    <w:p>
      <w:pPr>
        <w:spacing w:after="0" w:line="93" w:lineRule="exact"/>
        <w:rPr>
          <w:sz w:val="20"/>
          <w:szCs w:val="20"/>
          <w:color w:val="auto"/>
        </w:rPr>
      </w:pPr>
    </w:p>
    <w:p>
      <w:pPr>
        <w:sectPr>
          <w:pgSz w:w="11900" w:h="16838" w:orient="portrait"/>
          <w:cols w:equalWidth="0" w:num="2">
            <w:col w:w="1820" w:space="500"/>
            <w:col w:w="8260"/>
          </w:cols>
          <w:pgMar w:left="320" w:top="459" w:right="999" w:bottom="1440" w:gutter="0" w:footer="0" w:header="0"/>
          <w:type w:val="continuous"/>
        </w:sectPr>
      </w:pPr>
    </w:p>
    <w:p>
      <w:pPr>
        <w:ind w:left="660"/>
        <w:spacing w:after="0"/>
        <w:rPr>
          <w:sz w:val="20"/>
          <w:szCs w:val="20"/>
          <w:color w:val="auto"/>
        </w:rPr>
      </w:pPr>
      <w:r>
        <w:rPr>
          <w:rFonts w:ascii="Arial" w:cs="Arial" w:eastAsia="Arial" w:hAnsi="Arial"/>
          <w:sz w:val="16"/>
          <w:szCs w:val="16"/>
          <w:b w:val="1"/>
          <w:bCs w:val="1"/>
          <w:color w:val="005CB9"/>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9:00 a.m. local time</w:t>
      </w:r>
    </w:p>
    <w:p>
      <w:pPr>
        <w:spacing w:after="0" w:line="93" w:lineRule="exact"/>
        <w:rPr>
          <w:sz w:val="20"/>
          <w:szCs w:val="20"/>
          <w:color w:val="auto"/>
        </w:rPr>
      </w:pPr>
    </w:p>
    <w:p>
      <w:pPr>
        <w:sectPr>
          <w:pgSz w:w="11900" w:h="16838" w:orient="portrait"/>
          <w:cols w:equalWidth="0" w:num="2">
            <w:col w:w="1600" w:space="720"/>
            <w:col w:w="8260"/>
          </w:cols>
          <w:pgMar w:left="320" w:top="459" w:right="999" w:bottom="1440" w:gutter="0" w:footer="0" w:header="0"/>
          <w:type w:val="continuous"/>
        </w:sectPr>
      </w:pPr>
    </w:p>
    <w:p>
      <w:pPr>
        <w:ind w:left="660"/>
        <w:spacing w:after="0"/>
        <w:rPr>
          <w:sz w:val="20"/>
          <w:szCs w:val="20"/>
          <w:color w:val="auto"/>
        </w:rPr>
      </w:pPr>
      <w:r>
        <w:rPr>
          <w:rFonts w:ascii="Arial" w:cs="Arial" w:eastAsia="Arial" w:hAnsi="Arial"/>
          <w:sz w:val="16"/>
          <w:szCs w:val="16"/>
          <w:b w:val="1"/>
          <w:bCs w:val="1"/>
          <w:color w:val="005CB9"/>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 Hotel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 Park Avenue South</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10003</w:t>
      </w:r>
    </w:p>
    <w:p>
      <w:pPr>
        <w:spacing w:after="0" w:line="118" w:lineRule="exact"/>
        <w:rPr>
          <w:sz w:val="20"/>
          <w:szCs w:val="20"/>
          <w:color w:val="auto"/>
        </w:rPr>
      </w:pPr>
    </w:p>
    <w:p>
      <w:pPr>
        <w:sectPr>
          <w:pgSz w:w="11900" w:h="16838" w:orient="portrait"/>
          <w:cols w:equalWidth="0" w:num="2">
            <w:col w:w="1600" w:space="720"/>
            <w:col w:w="8260"/>
          </w:cols>
          <w:pgMar w:left="320" w:top="459" w:right="999" w:bottom="1440" w:gutter="0" w:footer="0" w:header="0"/>
          <w:type w:val="continuous"/>
        </w:sectPr>
      </w:pPr>
    </w:p>
    <w:p>
      <w:pPr>
        <w:ind w:left="660"/>
        <w:spacing w:after="0"/>
        <w:tabs>
          <w:tab w:leader="none" w:pos="2300" w:val="left"/>
          <w:tab w:leader="none" w:pos="2640" w:val="left"/>
        </w:tabs>
        <w:rPr>
          <w:sz w:val="20"/>
          <w:szCs w:val="20"/>
          <w:color w:val="auto"/>
        </w:rPr>
      </w:pPr>
      <w:r>
        <w:rPr>
          <w:rFonts w:ascii="Arial" w:cs="Arial" w:eastAsia="Arial" w:hAnsi="Arial"/>
          <w:sz w:val="16"/>
          <w:szCs w:val="16"/>
          <w:b w:val="1"/>
          <w:bCs w:val="1"/>
          <w:color w:val="005CB9"/>
        </w:rPr>
        <w:t>Items of Business:</w:t>
      </w:r>
      <w:r>
        <w:rPr>
          <w:sz w:val="20"/>
          <w:szCs w:val="20"/>
          <w:color w:val="auto"/>
        </w:rPr>
        <w:tab/>
      </w:r>
      <w:r>
        <w:rPr>
          <w:rFonts w:ascii="Arial" w:cs="Arial" w:eastAsia="Arial" w:hAnsi="Arial"/>
          <w:sz w:val="16"/>
          <w:szCs w:val="16"/>
          <w:color w:val="auto"/>
        </w:rPr>
        <w:t>1.</w:t>
        <w:tab/>
        <w:t>Election of eight directors;</w:t>
      </w:r>
    </w:p>
    <w:p>
      <w:pPr>
        <w:spacing w:after="0" w:line="79" w:lineRule="exact"/>
        <w:rPr>
          <w:sz w:val="20"/>
          <w:szCs w:val="20"/>
          <w:color w:val="auto"/>
        </w:rPr>
      </w:pPr>
    </w:p>
    <w:p>
      <w:pPr>
        <w:ind w:left="2660" w:right="120" w:hanging="330"/>
        <w:spacing w:after="0" w:line="260" w:lineRule="auto"/>
        <w:tabs>
          <w:tab w:leader="none" w:pos="2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Approval, on a non-binding advisory basis, of the compensation of the Company’s “named executive officers” as disclosed in the attached proxy statement;</w:t>
      </w:r>
    </w:p>
    <w:p>
      <w:pPr>
        <w:spacing w:after="0" w:line="33" w:lineRule="exact"/>
        <w:rPr>
          <w:rFonts w:ascii="Arial" w:cs="Arial" w:eastAsia="Arial" w:hAnsi="Arial"/>
          <w:sz w:val="16"/>
          <w:szCs w:val="16"/>
          <w:color w:val="auto"/>
        </w:rPr>
      </w:pPr>
    </w:p>
    <w:p>
      <w:pPr>
        <w:ind w:left="2660" w:right="420" w:hanging="330"/>
        <w:spacing w:after="0" w:line="260" w:lineRule="auto"/>
        <w:tabs>
          <w:tab w:leader="none" w:pos="2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Approval of the Amended and Restated Take-Two Interactive Software, Inc. 2017 Stock Incentive Plan to increase the available shares reserved thereunder;</w:t>
      </w:r>
    </w:p>
    <w:p>
      <w:pPr>
        <w:spacing w:after="0" w:line="33" w:lineRule="exact"/>
        <w:rPr>
          <w:rFonts w:ascii="Arial" w:cs="Arial" w:eastAsia="Arial" w:hAnsi="Arial"/>
          <w:sz w:val="16"/>
          <w:szCs w:val="16"/>
          <w:color w:val="auto"/>
        </w:rPr>
      </w:pPr>
    </w:p>
    <w:p>
      <w:pPr>
        <w:ind w:left="2660" w:right="100" w:hanging="330"/>
        <w:spacing w:after="0" w:line="260" w:lineRule="auto"/>
        <w:tabs>
          <w:tab w:leader="none" w:pos="2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as our independent registered public accounting firm for the fiscal year ending March 31, 2021; and</w:t>
      </w:r>
    </w:p>
    <w:p>
      <w:pPr>
        <w:spacing w:after="0" w:line="33" w:lineRule="exact"/>
        <w:rPr>
          <w:rFonts w:ascii="Arial" w:cs="Arial" w:eastAsia="Arial" w:hAnsi="Arial"/>
          <w:sz w:val="16"/>
          <w:szCs w:val="16"/>
          <w:color w:val="auto"/>
        </w:rPr>
      </w:pPr>
    </w:p>
    <w:p>
      <w:pPr>
        <w:ind w:left="2660" w:hanging="330"/>
        <w:spacing w:after="0"/>
        <w:tabs>
          <w:tab w:leader="none" w:pos="2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business that may properly come before the Annual Meeting or any adjournment thereof.</w:t>
      </w:r>
    </w:p>
    <w:p>
      <w:pPr>
        <w:spacing w:after="0" w:line="93" w:lineRule="exact"/>
        <w:rPr>
          <w:sz w:val="20"/>
          <w:szCs w:val="20"/>
          <w:color w:val="auto"/>
        </w:rPr>
      </w:pPr>
    </w:p>
    <w:p>
      <w:pPr>
        <w:ind w:left="2320" w:right="300" w:hanging="1659"/>
        <w:spacing w:after="0" w:line="260" w:lineRule="auto"/>
        <w:tabs>
          <w:tab w:leader="none" w:pos="2300" w:val="left"/>
        </w:tabs>
        <w:rPr>
          <w:sz w:val="20"/>
          <w:szCs w:val="20"/>
          <w:color w:val="auto"/>
        </w:rPr>
      </w:pPr>
      <w:r>
        <w:rPr>
          <w:rFonts w:ascii="Arial" w:cs="Arial" w:eastAsia="Arial" w:hAnsi="Arial"/>
          <w:sz w:val="16"/>
          <w:szCs w:val="16"/>
          <w:b w:val="1"/>
          <w:bCs w:val="1"/>
          <w:color w:val="005CB9"/>
        </w:rPr>
        <w:t>Record Date:</w:t>
      </w:r>
      <w:r>
        <w:rPr>
          <w:sz w:val="20"/>
          <w:szCs w:val="20"/>
          <w:color w:val="auto"/>
        </w:rPr>
        <w:tab/>
      </w:r>
      <w:r>
        <w:rPr>
          <w:rFonts w:ascii="Arial" w:cs="Arial" w:eastAsia="Arial" w:hAnsi="Arial"/>
          <w:sz w:val="16"/>
          <w:szCs w:val="16"/>
          <w:color w:val="auto"/>
        </w:rPr>
        <w:t>Only shareholders of record at the close of business on July 20, 2020 are entitled to notice of and to vote at the Annual Meeting or any adjournment thereof.</w:t>
      </w:r>
    </w:p>
    <w:p>
      <w:pPr>
        <w:spacing w:after="0" w:line="215" w:lineRule="exact"/>
        <w:rPr>
          <w:sz w:val="20"/>
          <w:szCs w:val="20"/>
          <w:color w:val="auto"/>
        </w:rPr>
      </w:pPr>
    </w:p>
    <w:p>
      <w:pPr>
        <w:ind w:left="660" w:right="80"/>
        <w:spacing w:after="0" w:line="251" w:lineRule="auto"/>
        <w:rPr>
          <w:sz w:val="20"/>
          <w:szCs w:val="20"/>
          <w:color w:val="auto"/>
        </w:rPr>
      </w:pPr>
      <w:r>
        <w:rPr>
          <w:rFonts w:ascii="Arial" w:cs="Arial" w:eastAsia="Arial" w:hAnsi="Arial"/>
          <w:sz w:val="16"/>
          <w:szCs w:val="16"/>
          <w:color w:val="auto"/>
        </w:rPr>
        <w:t>The Board of Directors believes that the election of the nominated directors, the approval on an advisory basis of the compensation of the named executive officers, the approval of the Amended and Restated Take-Two Interactive Software, Inc. 2017 Stock Incentive Plan, and the ratification of the appointment of Ernst &amp; Young LLP are in the best interests of the Company and its shareholders and, accordingly, recommends a vote “FOR” for each of these proposals.</w:t>
      </w:r>
    </w:p>
    <w:p>
      <w:pPr>
        <w:spacing w:after="0" w:line="202" w:lineRule="exact"/>
        <w:rPr>
          <w:sz w:val="20"/>
          <w:szCs w:val="20"/>
          <w:color w:val="auto"/>
        </w:rPr>
      </w:pPr>
    </w:p>
    <w:p>
      <w:pPr>
        <w:ind w:left="660" w:right="80"/>
        <w:spacing w:after="0" w:line="249" w:lineRule="auto"/>
        <w:rPr>
          <w:sz w:val="20"/>
          <w:szCs w:val="20"/>
          <w:color w:val="auto"/>
        </w:rPr>
      </w:pPr>
      <w:r>
        <w:rPr>
          <w:rFonts w:ascii="Arial" w:cs="Arial" w:eastAsia="Arial" w:hAnsi="Arial"/>
          <w:sz w:val="16"/>
          <w:szCs w:val="16"/>
          <w:color w:val="auto"/>
        </w:rPr>
        <w:t>We are actively monitoring the public health and travel safety concerns relating to the Coronavirus (COVID-19) and the advisories or mandates that federal, state, and local governments, and related agencies, may issue. In the event it is not possible or advisable to hold our annual meeting as currently planned, we will announce any additional or alternative arrangements for the meeting, which may include a change in venue or holding the meeting solely by means of remote communication. Please monitor our website at www.take2games.com and our filings with the SEC for updated information. If you are planning to attend our meeting, please check our website the week of the meeting. As always, we encourage you to vote your shares prior to the annual meeting.</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233680</wp:posOffset>
            </wp:positionV>
            <wp:extent cx="1920240" cy="52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202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Matthew K. Breitman</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General Counsel Americas and</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Corporate Secretary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July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156210</wp:posOffset>
            </wp:positionV>
            <wp:extent cx="6292215" cy="419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419735"/>
                    </a:xfrm>
                    <a:prstGeom prst="rect">
                      <a:avLst/>
                    </a:prstGeom>
                    <a:noFill/>
                  </pic:spPr>
                </pic:pic>
              </a:graphicData>
            </a:graphic>
          </wp:anchor>
        </w:drawing>
      </w:r>
    </w:p>
    <w:p>
      <w:pPr>
        <w:spacing w:after="0" w:line="249" w:lineRule="exact"/>
        <w:rPr>
          <w:sz w:val="20"/>
          <w:szCs w:val="20"/>
          <w:color w:val="auto"/>
        </w:rPr>
      </w:pPr>
    </w:p>
    <w:p>
      <w:pPr>
        <w:ind w:left="760" w:right="220"/>
        <w:spacing w:after="0" w:line="266" w:lineRule="auto"/>
        <w:rPr>
          <w:sz w:val="20"/>
          <w:szCs w:val="20"/>
          <w:color w:val="auto"/>
        </w:rPr>
      </w:pPr>
      <w:r>
        <w:rPr>
          <w:rFonts w:ascii="Arial" w:cs="Arial" w:eastAsia="Arial" w:hAnsi="Arial"/>
          <w:sz w:val="16"/>
          <w:szCs w:val="16"/>
          <w:b w:val="1"/>
          <w:bCs w:val="1"/>
          <w:color w:val="auto"/>
        </w:rPr>
        <w:t>Your vote is very important, regardless of the number of shares you own. Please read the attached proxy statement carefully and complete and submit your proxy card via the Internet or telephone (as instructed on your proxy card) or sign and date your paper proxy card as promptly as possible and return it in the enclosed envelope.</w:t>
      </w:r>
    </w:p>
    <w:p>
      <w:pPr>
        <w:sectPr>
          <w:pgSz w:w="11900" w:h="16838" w:orient="portrait"/>
          <w:cols w:equalWidth="0" w:num="1">
            <w:col w:w="10580"/>
          </w:cols>
          <w:pgMar w:left="320" w:top="459" w:right="99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28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100"/>
        <w:spacing w:after="0"/>
        <w:rPr>
          <w:sz w:val="20"/>
          <w:szCs w:val="20"/>
          <w:color w:val="auto"/>
        </w:rPr>
      </w:pPr>
      <w:r>
        <w:rPr>
          <w:rFonts w:ascii="Arial" w:cs="Arial" w:eastAsia="Arial" w:hAnsi="Arial"/>
          <w:sz w:val="40"/>
          <w:szCs w:val="40"/>
          <w:b w:val="1"/>
          <w:bCs w:val="1"/>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370205</wp:posOffset>
            </wp:positionV>
            <wp:extent cx="702945" cy="668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110 West 44</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Street</w:t>
      </w:r>
    </w:p>
    <w:p>
      <w:pPr>
        <w:jc w:val="center"/>
        <w:ind w:right="-659"/>
        <w:spacing w:after="0"/>
        <w:rPr>
          <w:sz w:val="20"/>
          <w:szCs w:val="20"/>
          <w:color w:val="auto"/>
        </w:rPr>
      </w:pPr>
      <w:r>
        <w:rPr>
          <w:rFonts w:ascii="Arial" w:cs="Arial" w:eastAsia="Arial" w:hAnsi="Arial"/>
          <w:sz w:val="16"/>
          <w:szCs w:val="16"/>
          <w:b w:val="1"/>
          <w:bCs w:val="1"/>
          <w:color w:val="auto"/>
        </w:rPr>
        <w:t>New York, New York 10036</w:t>
      </w:r>
    </w:p>
    <w:p>
      <w:pPr>
        <w:spacing w:after="0" w:line="189" w:lineRule="exact"/>
        <w:rPr>
          <w:sz w:val="20"/>
          <w:szCs w:val="20"/>
          <w:color w:val="auto"/>
        </w:rPr>
      </w:pPr>
    </w:p>
    <w:p>
      <w:pPr>
        <w:jc w:val="center"/>
        <w:ind w:right="-659"/>
        <w:spacing w:after="0"/>
        <w:rPr>
          <w:sz w:val="20"/>
          <w:szCs w:val="20"/>
          <w:color w:val="auto"/>
        </w:rPr>
      </w:pPr>
      <w:r>
        <w:rPr>
          <w:rFonts w:ascii="Arial" w:cs="Arial" w:eastAsia="Arial" w:hAnsi="Arial"/>
          <w:sz w:val="25"/>
          <w:szCs w:val="25"/>
          <w:b w:val="1"/>
          <w:bCs w:val="1"/>
          <w:color w:val="005CB9"/>
        </w:rPr>
        <w:t>ANNUAL MEETING OF SHAREHOLDERS</w:t>
      </w:r>
    </w:p>
    <w:p>
      <w:pPr>
        <w:spacing w:after="0" w:line="42" w:lineRule="exact"/>
        <w:rPr>
          <w:sz w:val="20"/>
          <w:szCs w:val="20"/>
          <w:color w:val="auto"/>
        </w:rPr>
      </w:pPr>
    </w:p>
    <w:p>
      <w:pPr>
        <w:jc w:val="center"/>
        <w:ind w:right="-659"/>
        <w:spacing w:after="0"/>
        <w:rPr>
          <w:sz w:val="20"/>
          <w:szCs w:val="20"/>
          <w:color w:val="auto"/>
        </w:rPr>
      </w:pPr>
      <w:r>
        <w:rPr>
          <w:rFonts w:ascii="Arial" w:cs="Arial" w:eastAsia="Arial" w:hAnsi="Arial"/>
          <w:sz w:val="25"/>
          <w:szCs w:val="25"/>
          <w:b w:val="1"/>
          <w:bCs w:val="1"/>
          <w:color w:val="005CB9"/>
        </w:rPr>
        <w:t>TO BE HELD ON SEPTEMBER 16, 2020</w:t>
      </w:r>
    </w:p>
    <w:p>
      <w:pPr>
        <w:spacing w:after="0" w:line="226" w:lineRule="exact"/>
        <w:rPr>
          <w:sz w:val="20"/>
          <w:szCs w:val="20"/>
          <w:color w:val="auto"/>
        </w:rPr>
      </w:pPr>
    </w:p>
    <w:p>
      <w:pPr>
        <w:ind w:left="660" w:right="680"/>
        <w:spacing w:after="0" w:line="251"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of Take-Two Interactive Software, Inc. (the “</w:t>
      </w:r>
      <w:r>
        <w:rPr>
          <w:rFonts w:ascii="Arial" w:cs="Arial" w:eastAsia="Arial" w:hAnsi="Arial"/>
          <w:sz w:val="16"/>
          <w:szCs w:val="16"/>
          <w:i w:val="1"/>
          <w:iCs w:val="1"/>
          <w:color w:val="auto"/>
        </w:rPr>
        <w:t>Company</w:t>
      </w:r>
      <w:r>
        <w:rPr>
          <w:rFonts w:ascii="Arial" w:cs="Arial" w:eastAsia="Arial" w:hAnsi="Arial"/>
          <w:sz w:val="16"/>
          <w:szCs w:val="16"/>
          <w:color w:val="auto"/>
        </w:rPr>
        <w:t>” or “</w:t>
      </w:r>
      <w:r>
        <w:rPr>
          <w:rFonts w:ascii="Arial" w:cs="Arial" w:eastAsia="Arial" w:hAnsi="Arial"/>
          <w:sz w:val="16"/>
          <w:szCs w:val="16"/>
          <w:i w:val="1"/>
          <w:iCs w:val="1"/>
          <w:color w:val="auto"/>
        </w:rPr>
        <w:t>Take-Two</w:t>
      </w:r>
      <w:r>
        <w:rPr>
          <w:rFonts w:ascii="Arial" w:cs="Arial" w:eastAsia="Arial" w:hAnsi="Arial"/>
          <w:sz w:val="16"/>
          <w:szCs w:val="16"/>
          <w:color w:val="auto"/>
        </w:rPr>
        <w:t>”) for use at the Annual Meeting of Shareholders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xml:space="preserve"> ”) to be held on September 16, 2020 at 9:00 a.m. local time, including any adjournment or adjournments thereof, for the purposes set forth in the accompanying Notice of Annual Meeting of Shareholders.</w:t>
      </w:r>
    </w:p>
    <w:p>
      <w:pPr>
        <w:spacing w:after="0" w:line="202" w:lineRule="exact"/>
        <w:rPr>
          <w:sz w:val="20"/>
          <w:szCs w:val="20"/>
          <w:color w:val="auto"/>
        </w:rPr>
      </w:pPr>
    </w:p>
    <w:p>
      <w:pPr>
        <w:ind w:left="660" w:right="260"/>
        <w:spacing w:after="0" w:line="260" w:lineRule="auto"/>
        <w:rPr>
          <w:sz w:val="20"/>
          <w:szCs w:val="20"/>
          <w:color w:val="auto"/>
        </w:rPr>
      </w:pPr>
      <w:r>
        <w:rPr>
          <w:rFonts w:ascii="Arial" w:cs="Arial" w:eastAsia="Arial" w:hAnsi="Arial"/>
          <w:sz w:val="16"/>
          <w:szCs w:val="16"/>
          <w:color w:val="auto"/>
        </w:rPr>
        <w:t>The Company expects to either mail or provide notice and electronic delivery of this Proxy Statement and the enclosed form of proxy to shareholders on or about July 30, 2020.</w:t>
      </w:r>
    </w:p>
    <w:p>
      <w:pPr>
        <w:spacing w:after="0" w:line="195" w:lineRule="exact"/>
        <w:rPr>
          <w:sz w:val="20"/>
          <w:szCs w:val="20"/>
          <w:color w:val="auto"/>
        </w:rPr>
      </w:pPr>
    </w:p>
    <w:p>
      <w:pPr>
        <w:ind w:left="660" w:right="60"/>
        <w:spacing w:after="0" w:line="251" w:lineRule="auto"/>
        <w:rPr>
          <w:sz w:val="20"/>
          <w:szCs w:val="20"/>
          <w:color w:val="auto"/>
        </w:rPr>
      </w:pPr>
      <w:r>
        <w:rPr>
          <w:rFonts w:ascii="Arial" w:cs="Arial" w:eastAsia="Arial" w:hAnsi="Arial"/>
          <w:sz w:val="16"/>
          <w:szCs w:val="16"/>
          <w:color w:val="auto"/>
        </w:rPr>
        <w:t>Proxies in the accompanying form, duly executed and returned to the management of the Company and not revoked, will be voted at the Annual Meeting. A proxy may be revoked by the shareholder of record at any time prior to the voting of the proxy by a subsequently dated proxy, by written notification to the Secretary of the Company, or by personally withdrawing the proxy at the Annual Meeting and voting in person.</w:t>
      </w:r>
    </w:p>
    <w:p>
      <w:pPr>
        <w:spacing w:after="0" w:line="197" w:lineRule="exact"/>
        <w:rPr>
          <w:sz w:val="20"/>
          <w:szCs w:val="20"/>
          <w:color w:val="auto"/>
        </w:rPr>
      </w:pPr>
    </w:p>
    <w:p>
      <w:pPr>
        <w:ind w:left="660" w:right="340"/>
        <w:spacing w:after="0" w:line="188" w:lineRule="auto"/>
        <w:rPr>
          <w:sz w:val="20"/>
          <w:szCs w:val="20"/>
          <w:color w:val="auto"/>
        </w:rPr>
      </w:pPr>
      <w:r>
        <w:rPr>
          <w:rFonts w:ascii="Arial" w:cs="Arial" w:eastAsia="Arial" w:hAnsi="Arial"/>
          <w:sz w:val="16"/>
          <w:szCs w:val="16"/>
          <w:color w:val="auto"/>
        </w:rPr>
        <w:t>The address of the principal executive offices of the Company is 110 West 44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Street, New York, New York 10036, and our telephone number is (646) 536-2842.</w:t>
      </w:r>
    </w:p>
    <w:p>
      <w:pPr>
        <w:spacing w:after="0" w:line="196" w:lineRule="exact"/>
        <w:rPr>
          <w:sz w:val="20"/>
          <w:szCs w:val="20"/>
          <w:color w:val="auto"/>
        </w:rPr>
      </w:pPr>
    </w:p>
    <w:p>
      <w:pPr>
        <w:ind w:left="660" w:right="40"/>
        <w:spacing w:after="0" w:line="281" w:lineRule="auto"/>
        <w:rPr>
          <w:sz w:val="20"/>
          <w:szCs w:val="20"/>
          <w:color w:val="auto"/>
        </w:rPr>
      </w:pPr>
      <w:r>
        <w:rPr>
          <w:rFonts w:ascii="Arial" w:cs="Arial" w:eastAsia="Arial" w:hAnsi="Arial"/>
          <w:sz w:val="16"/>
          <w:szCs w:val="16"/>
          <w:color w:val="auto"/>
        </w:rPr>
        <w:t>The rules of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require us to notify all shareholders, including those shareholders to whom we have mailed proxy materials, of the availability of our proxy materials through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927100</wp:posOffset>
            </wp:positionV>
            <wp:extent cx="6292215" cy="951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25"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for the Shareholder Meeting to be held on September 16, 2020</w:t>
      </w:r>
    </w:p>
    <w:p>
      <w:pPr>
        <w:spacing w:after="0" w:line="201"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Our Proxy Statement and 2020 Annual Report to Shareholders are available at</w:t>
      </w:r>
    </w:p>
    <w:p>
      <w:pPr>
        <w:spacing w:after="0" w:line="25"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http://www.proxyvote.com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499110</wp:posOffset>
            </wp:positionV>
            <wp:extent cx="291465"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4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bl>
    <w:p>
      <w:pPr>
        <w:sectPr>
          <w:pgSz w:w="11900" w:h="16838" w:orient="portrait"/>
          <w:cols w:equalWidth="0" w:num="1">
            <w:col w:w="10580"/>
          </w:cols>
          <w:pgMar w:left="320" w:top="459" w:right="9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28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3260"/>
        <w:spacing w:after="0"/>
        <w:rPr>
          <w:sz w:val="20"/>
          <w:szCs w:val="20"/>
          <w:color w:val="auto"/>
        </w:rPr>
      </w:pPr>
      <w:r>
        <w:rPr>
          <w:rFonts w:ascii="Arial" w:cs="Arial" w:eastAsia="Arial" w:hAnsi="Arial"/>
          <w:sz w:val="40"/>
          <w:szCs w:val="40"/>
          <w:b w:val="1"/>
          <w:bCs w:val="1"/>
          <w:color w:val="FFFFFF"/>
        </w:rPr>
        <w:t>Table of Contents</w:t>
      </w:r>
    </w:p>
    <w:p>
      <w:pPr>
        <w:sectPr>
          <w:pgSz w:w="11900" w:h="16838" w:orient="portrait"/>
          <w:cols w:equalWidth="0" w:num="1">
            <w:col w:w="10580"/>
          </w:cols>
          <w:pgMar w:left="320" w:top="459"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420" w:type="dxa"/>
            <w:vAlign w:val="bottom"/>
            <w:tcBorders>
              <w:bottom w:val="single" w:sz="8" w:color="auto"/>
            </w:tcBorders>
            <w:gridSpan w:val="11"/>
          </w:tcPr>
          <w:p>
            <w:pPr>
              <w:ind w:left="20"/>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Proxy Summary</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3</w:t>
            </w:r>
          </w:p>
        </w:tc>
        <w:tc>
          <w:tcPr>
            <w:tcW w:w="0" w:type="dxa"/>
            <w:vAlign w:val="bottom"/>
          </w:tcPr>
          <w:p>
            <w:pPr>
              <w:spacing w:after="0"/>
              <w:rPr>
                <w:sz w:val="1"/>
                <w:szCs w:val="1"/>
                <w:color w:val="auto"/>
              </w:rPr>
            </w:pPr>
          </w:p>
        </w:tc>
      </w:tr>
      <w:tr>
        <w:trPr>
          <w:trHeight w:val="304"/>
        </w:trPr>
        <w:tc>
          <w:tcPr>
            <w:tcW w:w="4420" w:type="dxa"/>
            <w:vAlign w:val="bottom"/>
            <w:tcBorders>
              <w:bottom w:val="single" w:sz="8" w:color="auto"/>
            </w:tcBorders>
            <w:gridSpan w:val="11"/>
          </w:tcPr>
          <w:p>
            <w:pPr>
              <w:ind w:left="20"/>
              <w:spacing w:after="0"/>
              <w:rPr>
                <w:rFonts w:ascii="Arial" w:cs="Arial" w:eastAsia="Arial" w:hAnsi="Arial"/>
                <w:sz w:val="16"/>
                <w:szCs w:val="16"/>
                <w:b w:val="1"/>
                <w:bCs w:val="1"/>
                <w:u w:val="single" w:color="auto"/>
                <w:color w:val="0000EE"/>
              </w:rPr>
            </w:pPr>
            <w:hyperlink w:anchor="page11">
              <w:r>
                <w:rPr>
                  <w:rFonts w:ascii="Arial" w:cs="Arial" w:eastAsia="Arial" w:hAnsi="Arial"/>
                  <w:sz w:val="16"/>
                  <w:szCs w:val="16"/>
                  <w:b w:val="1"/>
                  <w:bCs w:val="1"/>
                  <w:u w:val="single" w:color="auto"/>
                  <w:color w:val="0000EE"/>
                </w:rPr>
                <w:t>Proposal 1: Election of Directors</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8</w:t>
            </w:r>
          </w:p>
        </w:tc>
        <w:tc>
          <w:tcPr>
            <w:tcW w:w="0" w:type="dxa"/>
            <w:vAlign w:val="bottom"/>
          </w:tcPr>
          <w:p>
            <w:pPr>
              <w:spacing w:after="0"/>
              <w:rPr>
                <w:sz w:val="1"/>
                <w:szCs w:val="1"/>
                <w:color w:val="auto"/>
              </w:rPr>
            </w:pPr>
          </w:p>
        </w:tc>
      </w:tr>
      <w:tr>
        <w:trPr>
          <w:trHeight w:val="184"/>
        </w:trPr>
        <w:tc>
          <w:tcPr>
            <w:tcW w:w="4420" w:type="dxa"/>
            <w:vAlign w:val="bottom"/>
            <w:gridSpan w:val="11"/>
          </w:tcPr>
          <w:p>
            <w:pPr>
              <w:ind w:left="22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Corporate Governance and Board Practices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4420" w:type="dxa"/>
            <w:vAlign w:val="bottom"/>
            <w:gridSpan w:val="11"/>
          </w:tcPr>
          <w:p>
            <w:pPr>
              <w:ind w:left="220"/>
              <w:spacing w:after="0"/>
              <w:rPr>
                <w:rFonts w:ascii="Arial" w:cs="Arial" w:eastAsia="Arial" w:hAnsi="Arial"/>
                <w:sz w:val="14"/>
                <w:szCs w:val="14"/>
                <w:u w:val="single" w:color="auto"/>
                <w:color w:val="0000EE"/>
              </w:rPr>
            </w:pPr>
            <w:hyperlink w:anchor="page21">
              <w:r>
                <w:rPr>
                  <w:rFonts w:ascii="Arial" w:cs="Arial" w:eastAsia="Arial" w:hAnsi="Arial"/>
                  <w:sz w:val="14"/>
                  <w:szCs w:val="14"/>
                  <w:u w:val="single" w:color="auto"/>
                  <w:color w:val="0000EE"/>
                </w:rPr>
                <w:t>Board Committees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4420" w:type="dxa"/>
            <w:vAlign w:val="bottom"/>
            <w:gridSpan w:val="11"/>
          </w:tcPr>
          <w:p>
            <w:pPr>
              <w:ind w:left="220"/>
              <w:spacing w:after="0"/>
              <w:rPr>
                <w:rFonts w:ascii="Arial" w:cs="Arial" w:eastAsia="Arial" w:hAnsi="Arial"/>
                <w:sz w:val="14"/>
                <w:szCs w:val="14"/>
                <w:u w:val="single" w:color="auto"/>
                <w:color w:val="0000EE"/>
              </w:rPr>
            </w:pPr>
            <w:hyperlink w:anchor="page22">
              <w:r>
                <w:rPr>
                  <w:rFonts w:ascii="Arial" w:cs="Arial" w:eastAsia="Arial" w:hAnsi="Arial"/>
                  <w:sz w:val="14"/>
                  <w:szCs w:val="14"/>
                  <w:u w:val="single" w:color="auto"/>
                  <w:color w:val="0000EE"/>
                </w:rPr>
                <w:t>Other Executive Officers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82"/>
        </w:trPr>
        <w:tc>
          <w:tcPr>
            <w:tcW w:w="4420" w:type="dxa"/>
            <w:vAlign w:val="bottom"/>
            <w:gridSpan w:val="11"/>
          </w:tcPr>
          <w:p>
            <w:pPr>
              <w:ind w:left="20"/>
              <w:spacing w:after="0"/>
              <w:rPr>
                <w:rFonts w:ascii="Arial" w:cs="Arial" w:eastAsia="Arial" w:hAnsi="Arial"/>
                <w:sz w:val="16"/>
                <w:szCs w:val="16"/>
                <w:b w:val="1"/>
                <w:bCs w:val="1"/>
                <w:color w:val="0000EE"/>
              </w:rPr>
            </w:pPr>
            <w:hyperlink w:anchor="page23">
              <w:r>
                <w:rPr>
                  <w:rFonts w:ascii="Arial" w:cs="Arial" w:eastAsia="Arial" w:hAnsi="Arial"/>
                  <w:sz w:val="16"/>
                  <w:szCs w:val="16"/>
                  <w:b w:val="1"/>
                  <w:bCs w:val="1"/>
                  <w:color w:val="0000EE"/>
                </w:rPr>
                <w:t>Proposal 2: Non-binding Advisory Vote to Approve the</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0" w:type="dxa"/>
            <w:vAlign w:val="bottom"/>
            <w:tcBorders>
              <w:top w:val="single" w:sz="8" w:color="0000EE"/>
            </w:tcBorders>
            <w:gridSpan w:val="8"/>
          </w:tcPr>
          <w:p>
            <w:pPr>
              <w:ind w:left="20"/>
              <w:spacing w:after="0" w:line="169" w:lineRule="exact"/>
              <w:rPr>
                <w:rFonts w:ascii="Arial" w:cs="Arial" w:eastAsia="Arial" w:hAnsi="Arial"/>
                <w:sz w:val="16"/>
                <w:szCs w:val="16"/>
                <w:b w:val="1"/>
                <w:bCs w:val="1"/>
                <w:color w:val="0000EE"/>
              </w:rPr>
            </w:pPr>
            <w:hyperlink w:anchor="page23">
              <w:r>
                <w:rPr>
                  <w:rFonts w:ascii="Arial" w:cs="Arial" w:eastAsia="Arial" w:hAnsi="Arial"/>
                  <w:sz w:val="16"/>
                  <w:szCs w:val="16"/>
                  <w:b w:val="1"/>
                  <w:bCs w:val="1"/>
                  <w:color w:val="0000EE"/>
                </w:rPr>
                <w:t>Compensation of the Company’s Named Executive</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20</w:t>
            </w:r>
          </w:p>
        </w:tc>
        <w:tc>
          <w:tcPr>
            <w:tcW w:w="0" w:type="dxa"/>
            <w:vAlign w:val="bottom"/>
          </w:tcPr>
          <w:p>
            <w:pPr>
              <w:spacing w:after="0"/>
              <w:rPr>
                <w:sz w:val="1"/>
                <w:szCs w:val="1"/>
                <w:color w:val="auto"/>
              </w:rPr>
            </w:pPr>
          </w:p>
        </w:tc>
      </w:tr>
      <w:tr>
        <w:trPr>
          <w:trHeight w:val="169"/>
        </w:trPr>
        <w:tc>
          <w:tcPr>
            <w:tcW w:w="3920" w:type="dxa"/>
            <w:vAlign w:val="bottom"/>
            <w:tcBorders>
              <w:top w:val="single" w:sz="8" w:color="0000EE"/>
            </w:tcBorders>
            <w:gridSpan w:val="7"/>
          </w:tcPr>
          <w:p>
            <w:pPr>
              <w:ind w:left="20"/>
              <w:spacing w:after="0" w:line="169" w:lineRule="exact"/>
              <w:rPr>
                <w:rFonts w:ascii="Arial" w:cs="Arial" w:eastAsia="Arial" w:hAnsi="Arial"/>
                <w:sz w:val="16"/>
                <w:szCs w:val="16"/>
                <w:b w:val="1"/>
                <w:bCs w:val="1"/>
                <w:color w:val="0000EE"/>
              </w:rPr>
            </w:pPr>
            <w:hyperlink w:anchor="page23">
              <w:r>
                <w:rPr>
                  <w:rFonts w:ascii="Arial" w:cs="Arial" w:eastAsia="Arial" w:hAnsi="Arial"/>
                  <w:sz w:val="16"/>
                  <w:szCs w:val="16"/>
                  <w:b w:val="1"/>
                  <w:bCs w:val="1"/>
                  <w:color w:val="0000EE"/>
                </w:rPr>
                <w:t>Officers</w:t>
              </w:r>
            </w:hyperlink>
          </w:p>
        </w:tc>
        <w:tc>
          <w:tcPr>
            <w:tcW w:w="3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20" w:type="dxa"/>
            <w:vAlign w:val="bottom"/>
            <w:tcBorders>
              <w:bottom w:val="single" w:sz="8" w:color="auto"/>
            </w:tcBorders>
            <w:gridSpan w:val="11"/>
          </w:tcPr>
          <w:p>
            <w:pPr>
              <w:ind w:left="20"/>
              <w:spacing w:after="0"/>
              <w:rPr>
                <w:rFonts w:ascii="Arial" w:cs="Arial" w:eastAsia="Arial" w:hAnsi="Arial"/>
                <w:sz w:val="16"/>
                <w:szCs w:val="16"/>
                <w:b w:val="1"/>
                <w:bCs w:val="1"/>
                <w:u w:val="single" w:color="auto"/>
                <w:color w:val="0000EE"/>
              </w:rPr>
            </w:pPr>
            <w:hyperlink w:anchor="page24">
              <w:r>
                <w:rPr>
                  <w:rFonts w:ascii="Arial" w:cs="Arial" w:eastAsia="Arial" w:hAnsi="Arial"/>
                  <w:sz w:val="16"/>
                  <w:szCs w:val="16"/>
                  <w:b w:val="1"/>
                  <w:bCs w:val="1"/>
                  <w:u w:val="single" w:color="auto"/>
                  <w:color w:val="0000EE"/>
                </w:rPr>
                <w:t>Compensation Discussion and Analysis</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21</w:t>
            </w:r>
          </w:p>
        </w:tc>
        <w:tc>
          <w:tcPr>
            <w:tcW w:w="0" w:type="dxa"/>
            <w:vAlign w:val="bottom"/>
          </w:tcPr>
          <w:p>
            <w:pPr>
              <w:spacing w:after="0"/>
              <w:rPr>
                <w:sz w:val="1"/>
                <w:szCs w:val="1"/>
                <w:color w:val="auto"/>
              </w:rPr>
            </w:pPr>
          </w:p>
        </w:tc>
      </w:tr>
      <w:tr>
        <w:trPr>
          <w:trHeight w:val="184"/>
        </w:trPr>
        <w:tc>
          <w:tcPr>
            <w:tcW w:w="4420" w:type="dxa"/>
            <w:vAlign w:val="bottom"/>
            <w:gridSpan w:val="11"/>
          </w:tcPr>
          <w:p>
            <w:pPr>
              <w:ind w:left="220"/>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Executive Summary</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9"/>
        </w:trPr>
        <w:tc>
          <w:tcPr>
            <w:tcW w:w="4420" w:type="dxa"/>
            <w:vAlign w:val="bottom"/>
            <w:gridSpan w:val="11"/>
          </w:tcPr>
          <w:p>
            <w:pPr>
              <w:ind w:left="22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Detailed Discussion and Analysis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980" w:type="dxa"/>
            <w:vAlign w:val="bottom"/>
            <w:gridSpan w:val="10"/>
          </w:tcPr>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Objectives and Philosophy of Executive Compensation</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980" w:type="dxa"/>
            <w:vAlign w:val="bottom"/>
            <w:gridSpan w:val="10"/>
          </w:tcPr>
          <w:p>
            <w:pPr>
              <w:spacing w:after="0" w:line="144" w:lineRule="exact"/>
              <w:rPr>
                <w:rFonts w:ascii="Arial" w:cs="Arial" w:eastAsia="Arial" w:hAnsi="Arial"/>
                <w:sz w:val="14"/>
                <w:szCs w:val="14"/>
                <w:color w:val="0000EE"/>
              </w:rPr>
            </w:pPr>
            <w:hyperlink w:anchor="page35">
              <w:r>
                <w:rPr>
                  <w:rFonts w:ascii="Arial" w:cs="Arial" w:eastAsia="Arial" w:hAnsi="Arial"/>
                  <w:sz w:val="14"/>
                  <w:szCs w:val="14"/>
                  <w:color w:val="0000EE"/>
                </w:rPr>
                <w:t>Compensation to Executive Chairman and CEO and</w:t>
              </w:r>
            </w:hyperlink>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320" w:type="dxa"/>
            <w:vAlign w:val="bottom"/>
            <w:tcBorders>
              <w:top w:val="single" w:sz="8" w:color="0000EE"/>
            </w:tcBorders>
            <w:gridSpan w:val="5"/>
          </w:tcPr>
          <w:p>
            <w:pPr>
              <w:spacing w:after="0" w:line="142" w:lineRule="exact"/>
              <w:rPr>
                <w:rFonts w:ascii="Arial" w:cs="Arial" w:eastAsia="Arial" w:hAnsi="Arial"/>
                <w:sz w:val="14"/>
                <w:szCs w:val="14"/>
                <w:color w:val="0000EE"/>
              </w:rPr>
            </w:pPr>
            <w:hyperlink w:anchor="page35">
              <w:r>
                <w:rPr>
                  <w:rFonts w:ascii="Arial" w:cs="Arial" w:eastAsia="Arial" w:hAnsi="Arial"/>
                  <w:sz w:val="14"/>
                  <w:szCs w:val="14"/>
                  <w:color w:val="0000EE"/>
                </w:rPr>
                <w:t>President</w:t>
              </w:r>
            </w:hyperlink>
          </w:p>
        </w:tc>
        <w:tc>
          <w:tcPr>
            <w:tcW w:w="660" w:type="dxa"/>
            <w:vAlign w:val="bottom"/>
            <w:gridSpan w:val="5"/>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3980" w:type="dxa"/>
            <w:vAlign w:val="bottom"/>
            <w:gridSpan w:val="10"/>
          </w:tcPr>
          <w:p>
            <w:pPr>
              <w:spacing w:after="0"/>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Other NEO Compensation</w:t>
              </w:r>
            </w:hyperlink>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980" w:type="dxa"/>
            <w:vAlign w:val="bottom"/>
            <w:gridSpan w:val="10"/>
          </w:tcPr>
          <w:p>
            <w:pPr>
              <w:spacing w:after="0"/>
              <w:rPr>
                <w:rFonts w:ascii="Arial" w:cs="Arial" w:eastAsia="Arial" w:hAnsi="Arial"/>
                <w:sz w:val="14"/>
                <w:szCs w:val="14"/>
                <w:u w:val="single" w:color="auto"/>
                <w:color w:val="0000EE"/>
              </w:rPr>
            </w:pPr>
            <w:hyperlink w:anchor="page39">
              <w:r>
                <w:rPr>
                  <w:rFonts w:ascii="Arial" w:cs="Arial" w:eastAsia="Arial" w:hAnsi="Arial"/>
                  <w:sz w:val="14"/>
                  <w:szCs w:val="14"/>
                  <w:u w:val="single" w:color="auto"/>
                  <w:color w:val="0000EE"/>
                </w:rPr>
                <w:t>Competitive Market Positioning</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980" w:type="dxa"/>
            <w:vAlign w:val="bottom"/>
            <w:gridSpan w:val="10"/>
          </w:tcPr>
          <w:p>
            <w:pPr>
              <w:spacing w:after="0"/>
              <w:rPr>
                <w:rFonts w:ascii="Arial" w:cs="Arial" w:eastAsia="Arial" w:hAnsi="Arial"/>
                <w:sz w:val="14"/>
                <w:szCs w:val="14"/>
                <w:u w:val="single" w:color="auto"/>
                <w:color w:val="0000EE"/>
              </w:rPr>
            </w:pPr>
            <w:hyperlink w:anchor="page40">
              <w:r>
                <w:rPr>
                  <w:rFonts w:ascii="Arial" w:cs="Arial" w:eastAsia="Arial" w:hAnsi="Arial"/>
                  <w:sz w:val="14"/>
                  <w:szCs w:val="14"/>
                  <w:u w:val="single" w:color="auto"/>
                  <w:color w:val="0000EE"/>
                </w:rPr>
                <w:t>Principal Elements of Executive Compensation</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980" w:type="dxa"/>
            <w:vAlign w:val="bottom"/>
            <w:gridSpan w:val="10"/>
          </w:tcPr>
          <w:p>
            <w:pPr>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Operation of the Compensation Committee</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2"/>
        </w:trPr>
        <w:tc>
          <w:tcPr>
            <w:tcW w:w="440" w:type="dxa"/>
            <w:vAlign w:val="bottom"/>
          </w:tcPr>
          <w:p>
            <w:pPr>
              <w:spacing w:after="0"/>
              <w:rPr>
                <w:sz w:val="14"/>
                <w:szCs w:val="14"/>
                <w:color w:val="auto"/>
              </w:rPr>
            </w:pPr>
          </w:p>
        </w:tc>
        <w:tc>
          <w:tcPr>
            <w:tcW w:w="3980" w:type="dxa"/>
            <w:vAlign w:val="bottom"/>
            <w:gridSpan w:val="10"/>
          </w:tcPr>
          <w:p>
            <w:pPr>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Compensation Governance Practices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82"/>
        </w:trPr>
        <w:tc>
          <w:tcPr>
            <w:tcW w:w="4420" w:type="dxa"/>
            <w:vAlign w:val="bottom"/>
            <w:gridSpan w:val="11"/>
          </w:tcPr>
          <w:p>
            <w:pPr>
              <w:ind w:left="20"/>
              <w:spacing w:after="0"/>
              <w:rPr>
                <w:rFonts w:ascii="Arial" w:cs="Arial" w:eastAsia="Arial" w:hAnsi="Arial"/>
                <w:sz w:val="16"/>
                <w:szCs w:val="16"/>
                <w:b w:val="1"/>
                <w:bCs w:val="1"/>
                <w:color w:val="0000EE"/>
              </w:rPr>
            </w:pPr>
            <w:hyperlink w:anchor="page48">
              <w:r>
                <w:rPr>
                  <w:rFonts w:ascii="Arial" w:cs="Arial" w:eastAsia="Arial" w:hAnsi="Arial"/>
                  <w:sz w:val="16"/>
                  <w:szCs w:val="16"/>
                  <w:b w:val="1"/>
                  <w:bCs w:val="1"/>
                  <w:color w:val="0000EE"/>
                </w:rPr>
                <w:t>Report of the Compensation Committee of the Board of</w:t>
              </w:r>
            </w:hyperlink>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45</w:t>
            </w:r>
          </w:p>
        </w:tc>
        <w:tc>
          <w:tcPr>
            <w:tcW w:w="0" w:type="dxa"/>
            <w:vAlign w:val="bottom"/>
          </w:tcPr>
          <w:p>
            <w:pPr>
              <w:spacing w:after="0"/>
              <w:rPr>
                <w:sz w:val="1"/>
                <w:szCs w:val="1"/>
                <w:color w:val="auto"/>
              </w:rPr>
            </w:pPr>
          </w:p>
        </w:tc>
      </w:tr>
      <w:tr>
        <w:trPr>
          <w:trHeight w:val="169"/>
        </w:trPr>
        <w:tc>
          <w:tcPr>
            <w:tcW w:w="4260" w:type="dxa"/>
            <w:vAlign w:val="bottom"/>
            <w:tcBorders>
              <w:top w:val="single" w:sz="8" w:color="0000EE"/>
            </w:tcBorders>
            <w:gridSpan w:val="9"/>
          </w:tcPr>
          <w:p>
            <w:pPr>
              <w:ind w:left="20"/>
              <w:spacing w:after="0" w:line="169" w:lineRule="exact"/>
              <w:rPr>
                <w:rFonts w:ascii="Arial" w:cs="Arial" w:eastAsia="Arial" w:hAnsi="Arial"/>
                <w:sz w:val="16"/>
                <w:szCs w:val="16"/>
                <w:b w:val="1"/>
                <w:bCs w:val="1"/>
                <w:color w:val="0000EE"/>
              </w:rPr>
            </w:pPr>
            <w:hyperlink w:anchor="page48">
              <w:r>
                <w:rPr>
                  <w:rFonts w:ascii="Arial" w:cs="Arial" w:eastAsia="Arial" w:hAnsi="Arial"/>
                  <w:sz w:val="16"/>
                  <w:szCs w:val="16"/>
                  <w:b w:val="1"/>
                  <w:bCs w:val="1"/>
                  <w:color w:val="0000EE"/>
                </w:rPr>
                <w:t>Directors</w:t>
              </w:r>
            </w:hyperlink>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20" w:type="dxa"/>
            <w:vAlign w:val="bottom"/>
            <w:tcBorders>
              <w:bottom w:val="single" w:sz="8" w:color="auto"/>
            </w:tcBorders>
            <w:gridSpan w:val="11"/>
          </w:tcPr>
          <w:p>
            <w:pPr>
              <w:ind w:left="20"/>
              <w:spacing w:after="0"/>
              <w:rPr>
                <w:rFonts w:ascii="Arial" w:cs="Arial" w:eastAsia="Arial" w:hAnsi="Arial"/>
                <w:sz w:val="16"/>
                <w:szCs w:val="16"/>
                <w:b w:val="1"/>
                <w:bCs w:val="1"/>
                <w:u w:val="single" w:color="auto"/>
                <w:color w:val="0000EE"/>
              </w:rPr>
            </w:pPr>
            <w:hyperlink w:anchor="page48">
              <w:r>
                <w:rPr>
                  <w:rFonts w:ascii="Arial" w:cs="Arial" w:eastAsia="Arial" w:hAnsi="Arial"/>
                  <w:sz w:val="16"/>
                  <w:szCs w:val="16"/>
                  <w:b w:val="1"/>
                  <w:bCs w:val="1"/>
                  <w:u w:val="single" w:color="auto"/>
                  <w:color w:val="0000EE"/>
                </w:rPr>
                <w:t>Risk Assessment of Overall Compensation Program</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45</w:t>
            </w:r>
          </w:p>
        </w:tc>
        <w:tc>
          <w:tcPr>
            <w:tcW w:w="0" w:type="dxa"/>
            <w:vAlign w:val="bottom"/>
          </w:tcPr>
          <w:p>
            <w:pPr>
              <w:spacing w:after="0"/>
              <w:rPr>
                <w:sz w:val="1"/>
                <w:szCs w:val="1"/>
                <w:color w:val="auto"/>
              </w:rPr>
            </w:pPr>
          </w:p>
        </w:tc>
      </w:tr>
      <w:tr>
        <w:trPr>
          <w:trHeight w:val="304"/>
        </w:trPr>
        <w:tc>
          <w:tcPr>
            <w:tcW w:w="4420" w:type="dxa"/>
            <w:vAlign w:val="bottom"/>
            <w:tcBorders>
              <w:bottom w:val="single" w:sz="8" w:color="auto"/>
            </w:tcBorders>
            <w:gridSpan w:val="11"/>
          </w:tcPr>
          <w:p>
            <w:pPr>
              <w:ind w:left="20"/>
              <w:spacing w:after="0"/>
              <w:rPr>
                <w:rFonts w:ascii="Arial" w:cs="Arial" w:eastAsia="Arial" w:hAnsi="Arial"/>
                <w:sz w:val="16"/>
                <w:szCs w:val="16"/>
                <w:b w:val="1"/>
                <w:bCs w:val="1"/>
                <w:u w:val="single" w:color="auto"/>
                <w:color w:val="0000EE"/>
              </w:rPr>
            </w:pPr>
            <w:hyperlink w:anchor="page50">
              <w:r>
                <w:rPr>
                  <w:rFonts w:ascii="Arial" w:cs="Arial" w:eastAsia="Arial" w:hAnsi="Arial"/>
                  <w:sz w:val="16"/>
                  <w:szCs w:val="16"/>
                  <w:b w:val="1"/>
                  <w:bCs w:val="1"/>
                  <w:u w:val="single" w:color="auto"/>
                  <w:color w:val="0000EE"/>
                </w:rPr>
                <w:t>Executive Compensation</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47</w:t>
            </w:r>
          </w:p>
        </w:tc>
        <w:tc>
          <w:tcPr>
            <w:tcW w:w="0" w:type="dxa"/>
            <w:vAlign w:val="bottom"/>
          </w:tcPr>
          <w:p>
            <w:pPr>
              <w:spacing w:after="0"/>
              <w:rPr>
                <w:sz w:val="1"/>
                <w:szCs w:val="1"/>
                <w:color w:val="auto"/>
              </w:rPr>
            </w:pPr>
          </w:p>
        </w:tc>
      </w:tr>
      <w:tr>
        <w:trPr>
          <w:trHeight w:val="277"/>
        </w:trPr>
        <w:tc>
          <w:tcPr>
            <w:tcW w:w="4420" w:type="dxa"/>
            <w:vAlign w:val="bottom"/>
            <w:gridSpan w:val="11"/>
          </w:tcPr>
          <w:p>
            <w:pPr>
              <w:ind w:left="20"/>
              <w:spacing w:after="0"/>
              <w:rPr>
                <w:rFonts w:ascii="Arial" w:cs="Arial" w:eastAsia="Arial" w:hAnsi="Arial"/>
                <w:sz w:val="16"/>
                <w:szCs w:val="16"/>
                <w:b w:val="1"/>
                <w:bCs w:val="1"/>
                <w:color w:val="0000EE"/>
              </w:rPr>
            </w:pPr>
            <w:hyperlink w:anchor="page62">
              <w:r>
                <w:rPr>
                  <w:rFonts w:ascii="Arial" w:cs="Arial" w:eastAsia="Arial" w:hAnsi="Arial"/>
                  <w:sz w:val="16"/>
                  <w:szCs w:val="16"/>
                  <w:b w:val="1"/>
                  <w:bCs w:val="1"/>
                  <w:color w:val="0000EE"/>
                </w:rPr>
                <w:t>Voting Security Ownership of Certain Beneficial Owners</w:t>
              </w:r>
            </w:hyperlink>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59</w:t>
            </w:r>
          </w:p>
        </w:tc>
        <w:tc>
          <w:tcPr>
            <w:tcW w:w="0" w:type="dxa"/>
            <w:vAlign w:val="bottom"/>
          </w:tcPr>
          <w:p>
            <w:pPr>
              <w:spacing w:after="0"/>
              <w:rPr>
                <w:sz w:val="1"/>
                <w:szCs w:val="1"/>
                <w:color w:val="auto"/>
              </w:rPr>
            </w:pPr>
          </w:p>
        </w:tc>
      </w:tr>
      <w:tr>
        <w:trPr>
          <w:trHeight w:val="169"/>
        </w:trPr>
        <w:tc>
          <w:tcPr>
            <w:tcW w:w="4320" w:type="dxa"/>
            <w:vAlign w:val="bottom"/>
            <w:tcBorders>
              <w:top w:val="single" w:sz="8" w:color="0000EE"/>
            </w:tcBorders>
            <w:gridSpan w:val="10"/>
          </w:tcPr>
          <w:p>
            <w:pPr>
              <w:ind w:left="20"/>
              <w:spacing w:after="0" w:line="169" w:lineRule="exact"/>
              <w:rPr>
                <w:rFonts w:ascii="Arial" w:cs="Arial" w:eastAsia="Arial" w:hAnsi="Arial"/>
                <w:sz w:val="16"/>
                <w:szCs w:val="16"/>
                <w:b w:val="1"/>
                <w:bCs w:val="1"/>
                <w:color w:val="0000EE"/>
              </w:rPr>
            </w:pPr>
            <w:hyperlink w:anchor="page62">
              <w:r>
                <w:rPr>
                  <w:rFonts w:ascii="Arial" w:cs="Arial" w:eastAsia="Arial" w:hAnsi="Arial"/>
                  <w:sz w:val="16"/>
                  <w:szCs w:val="16"/>
                  <w:b w:val="1"/>
                  <w:bCs w:val="1"/>
                  <w:color w:val="0000EE"/>
                </w:rPr>
                <w:t>and Management</w:t>
              </w:r>
            </w:hyperlink>
          </w:p>
        </w:tc>
        <w:tc>
          <w:tcPr>
            <w:tcW w:w="1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gridSpan w:val="9"/>
          </w:tcPr>
          <w:p>
            <w:pPr>
              <w:spacing w:after="0"/>
              <w:rPr>
                <w:rFonts w:ascii="Arial" w:cs="Arial" w:eastAsia="Arial" w:hAnsi="Arial"/>
                <w:sz w:val="16"/>
                <w:szCs w:val="16"/>
                <w:b w:val="1"/>
                <w:bCs w:val="1"/>
                <w:u w:val="single" w:color="auto"/>
                <w:color w:val="0000EE"/>
              </w:rPr>
            </w:pPr>
            <w:hyperlink w:anchor="page64">
              <w:r>
                <w:rPr>
                  <w:rFonts w:ascii="Arial" w:cs="Arial" w:eastAsia="Arial" w:hAnsi="Arial"/>
                  <w:sz w:val="16"/>
                  <w:szCs w:val="16"/>
                  <w:b w:val="1"/>
                  <w:bCs w:val="1"/>
                  <w:u w:val="single" w:color="auto"/>
                  <w:color w:val="0000EE"/>
                </w:rPr>
                <w:t>Certain Relationships and Related Transactions</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61</w:t>
            </w:r>
          </w:p>
        </w:tc>
        <w:tc>
          <w:tcPr>
            <w:tcW w:w="0" w:type="dxa"/>
            <w:vAlign w:val="bottom"/>
          </w:tcPr>
          <w:p>
            <w:pPr>
              <w:spacing w:after="0"/>
              <w:rPr>
                <w:sz w:val="1"/>
                <w:szCs w:val="1"/>
                <w:color w:val="auto"/>
              </w:rPr>
            </w:pPr>
          </w:p>
        </w:tc>
      </w:tr>
      <w:tr>
        <w:trPr>
          <w:trHeight w:val="304"/>
        </w:trPr>
        <w:tc>
          <w:tcPr>
            <w:tcW w:w="4420" w:type="dxa"/>
            <w:vAlign w:val="bottom"/>
            <w:tcBorders>
              <w:bottom w:val="single" w:sz="8" w:color="auto"/>
            </w:tcBorders>
            <w:gridSpan w:val="9"/>
          </w:tcPr>
          <w:p>
            <w:pPr>
              <w:spacing w:after="0"/>
              <w:rPr>
                <w:rFonts w:ascii="Arial" w:cs="Arial" w:eastAsia="Arial" w:hAnsi="Arial"/>
                <w:sz w:val="16"/>
                <w:szCs w:val="16"/>
                <w:b w:val="1"/>
                <w:bCs w:val="1"/>
                <w:u w:val="single" w:color="auto"/>
                <w:color w:val="0000EE"/>
              </w:rPr>
            </w:pPr>
            <w:hyperlink w:anchor="page70">
              <w:r>
                <w:rPr>
                  <w:rFonts w:ascii="Arial" w:cs="Arial" w:eastAsia="Arial" w:hAnsi="Arial"/>
                  <w:sz w:val="16"/>
                  <w:szCs w:val="16"/>
                  <w:b w:val="1"/>
                  <w:bCs w:val="1"/>
                  <w:u w:val="single" w:color="auto"/>
                  <w:color w:val="0000EE"/>
                </w:rPr>
                <w:t>Section 16(a) Beneficial Ownership Compliance</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67</w:t>
            </w:r>
          </w:p>
        </w:tc>
        <w:tc>
          <w:tcPr>
            <w:tcW w:w="0" w:type="dxa"/>
            <w:vAlign w:val="bottom"/>
          </w:tcPr>
          <w:p>
            <w:pPr>
              <w:spacing w:after="0"/>
              <w:rPr>
                <w:sz w:val="1"/>
                <w:szCs w:val="1"/>
                <w:color w:val="auto"/>
              </w:rPr>
            </w:pPr>
          </w:p>
        </w:tc>
      </w:tr>
      <w:tr>
        <w:trPr>
          <w:trHeight w:val="277"/>
        </w:trPr>
        <w:tc>
          <w:tcPr>
            <w:tcW w:w="4420" w:type="dxa"/>
            <w:vAlign w:val="bottom"/>
            <w:gridSpan w:val="9"/>
          </w:tcPr>
          <w:p>
            <w:pPr>
              <w:spacing w:after="0"/>
              <w:rPr>
                <w:rFonts w:ascii="Arial" w:cs="Arial" w:eastAsia="Arial" w:hAnsi="Arial"/>
                <w:sz w:val="16"/>
                <w:szCs w:val="16"/>
                <w:b w:val="1"/>
                <w:bCs w:val="1"/>
                <w:color w:val="0000EE"/>
              </w:rPr>
            </w:pPr>
            <w:hyperlink w:anchor="page71">
              <w:r>
                <w:rPr>
                  <w:rFonts w:ascii="Arial" w:cs="Arial" w:eastAsia="Arial" w:hAnsi="Arial"/>
                  <w:sz w:val="16"/>
                  <w:szCs w:val="16"/>
                  <w:b w:val="1"/>
                  <w:bCs w:val="1"/>
                  <w:color w:val="0000EE"/>
                </w:rPr>
                <w:t>Proposal 3: Approval of the Amended and Restated</w:t>
              </w:r>
            </w:hyperlink>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68</w:t>
            </w:r>
          </w:p>
        </w:tc>
        <w:tc>
          <w:tcPr>
            <w:tcW w:w="0" w:type="dxa"/>
            <w:vAlign w:val="bottom"/>
          </w:tcPr>
          <w:p>
            <w:pPr>
              <w:spacing w:after="0"/>
              <w:rPr>
                <w:sz w:val="1"/>
                <w:szCs w:val="1"/>
                <w:color w:val="auto"/>
              </w:rPr>
            </w:pPr>
          </w:p>
        </w:tc>
      </w:tr>
      <w:tr>
        <w:trPr>
          <w:trHeight w:val="169"/>
        </w:trPr>
        <w:tc>
          <w:tcPr>
            <w:tcW w:w="3960" w:type="dxa"/>
            <w:vAlign w:val="bottom"/>
            <w:tcBorders>
              <w:top w:val="single" w:sz="8" w:color="0000EE"/>
            </w:tcBorders>
            <w:gridSpan w:val="6"/>
          </w:tcPr>
          <w:p>
            <w:pPr>
              <w:spacing w:after="0" w:line="169" w:lineRule="exact"/>
              <w:rPr>
                <w:rFonts w:ascii="Arial" w:cs="Arial" w:eastAsia="Arial" w:hAnsi="Arial"/>
                <w:sz w:val="16"/>
                <w:szCs w:val="16"/>
                <w:b w:val="1"/>
                <w:bCs w:val="1"/>
                <w:color w:val="0000EE"/>
              </w:rPr>
            </w:pPr>
            <w:hyperlink w:anchor="page71">
              <w:r>
                <w:rPr>
                  <w:rFonts w:ascii="Arial" w:cs="Arial" w:eastAsia="Arial" w:hAnsi="Arial"/>
                  <w:sz w:val="16"/>
                  <w:szCs w:val="16"/>
                  <w:b w:val="1"/>
                  <w:bCs w:val="1"/>
                  <w:color w:val="0000EE"/>
                </w:rPr>
                <w:t>2017 Stock Incentive Plan</w:t>
              </w:r>
            </w:hyperlink>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20" w:type="dxa"/>
            <w:vAlign w:val="bottom"/>
            <w:gridSpan w:val="9"/>
          </w:tcPr>
          <w:p>
            <w:pPr>
              <w:spacing w:after="0"/>
              <w:rPr>
                <w:rFonts w:ascii="Arial" w:cs="Arial" w:eastAsia="Arial" w:hAnsi="Arial"/>
                <w:sz w:val="16"/>
                <w:szCs w:val="16"/>
                <w:b w:val="1"/>
                <w:bCs w:val="1"/>
                <w:color w:val="0000EE"/>
              </w:rPr>
            </w:pPr>
            <w:hyperlink w:anchor="page85">
              <w:r>
                <w:rPr>
                  <w:rFonts w:ascii="Arial" w:cs="Arial" w:eastAsia="Arial" w:hAnsi="Arial"/>
                  <w:sz w:val="16"/>
                  <w:szCs w:val="16"/>
                  <w:b w:val="1"/>
                  <w:bCs w:val="1"/>
                  <w:color w:val="0000EE"/>
                </w:rPr>
                <w:t>Proposal 4: Ratification of Appointment of Independent</w:t>
              </w:r>
            </w:hyperlink>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82</w:t>
            </w:r>
          </w:p>
        </w:tc>
        <w:tc>
          <w:tcPr>
            <w:tcW w:w="0" w:type="dxa"/>
            <w:vAlign w:val="bottom"/>
          </w:tcPr>
          <w:p>
            <w:pPr>
              <w:spacing w:after="0"/>
              <w:rPr>
                <w:sz w:val="1"/>
                <w:szCs w:val="1"/>
                <w:color w:val="auto"/>
              </w:rPr>
            </w:pPr>
          </w:p>
        </w:tc>
      </w:tr>
      <w:tr>
        <w:trPr>
          <w:trHeight w:val="169"/>
        </w:trPr>
        <w:tc>
          <w:tcPr>
            <w:tcW w:w="4280" w:type="dxa"/>
            <w:vAlign w:val="bottom"/>
            <w:tcBorders>
              <w:top w:val="single" w:sz="8" w:color="0000EE"/>
            </w:tcBorders>
            <w:gridSpan w:val="8"/>
          </w:tcPr>
          <w:p>
            <w:pPr>
              <w:spacing w:after="0" w:line="169" w:lineRule="exact"/>
              <w:rPr>
                <w:rFonts w:ascii="Arial" w:cs="Arial" w:eastAsia="Arial" w:hAnsi="Arial"/>
                <w:sz w:val="16"/>
                <w:szCs w:val="16"/>
                <w:b w:val="1"/>
                <w:bCs w:val="1"/>
                <w:color w:val="0000EE"/>
              </w:rPr>
            </w:pPr>
            <w:hyperlink w:anchor="page85">
              <w:r>
                <w:rPr>
                  <w:rFonts w:ascii="Arial" w:cs="Arial" w:eastAsia="Arial" w:hAnsi="Arial"/>
                  <w:sz w:val="16"/>
                  <w:szCs w:val="16"/>
                  <w:b w:val="1"/>
                  <w:bCs w:val="1"/>
                  <w:color w:val="0000EE"/>
                </w:rPr>
                <w:t>Registered Public Accounting Firm</w:t>
              </w:r>
            </w:hyperlink>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20" w:type="dxa"/>
            <w:vAlign w:val="bottom"/>
            <w:tcBorders>
              <w:bottom w:val="single" w:sz="8" w:color="auto"/>
            </w:tcBorders>
            <w:gridSpan w:val="9"/>
          </w:tcPr>
          <w:p>
            <w:pPr>
              <w:spacing w:after="0"/>
              <w:rPr>
                <w:rFonts w:ascii="Arial" w:cs="Arial" w:eastAsia="Arial" w:hAnsi="Arial"/>
                <w:sz w:val="16"/>
                <w:szCs w:val="16"/>
                <w:b w:val="1"/>
                <w:bCs w:val="1"/>
                <w:u w:val="single" w:color="auto"/>
                <w:color w:val="0000EE"/>
              </w:rPr>
            </w:pPr>
            <w:hyperlink w:anchor="page86">
              <w:r>
                <w:rPr>
                  <w:rFonts w:ascii="Arial" w:cs="Arial" w:eastAsia="Arial" w:hAnsi="Arial"/>
                  <w:sz w:val="16"/>
                  <w:szCs w:val="16"/>
                  <w:b w:val="1"/>
                  <w:bCs w:val="1"/>
                  <w:u w:val="single" w:color="auto"/>
                  <w:color w:val="0000EE"/>
                </w:rPr>
                <w:t>Independent Registered Public Accountants</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83</w:t>
            </w:r>
          </w:p>
        </w:tc>
        <w:tc>
          <w:tcPr>
            <w:tcW w:w="0" w:type="dxa"/>
            <w:vAlign w:val="bottom"/>
          </w:tcPr>
          <w:p>
            <w:pPr>
              <w:spacing w:after="0"/>
              <w:rPr>
                <w:sz w:val="1"/>
                <w:szCs w:val="1"/>
                <w:color w:val="auto"/>
              </w:rPr>
            </w:pPr>
          </w:p>
        </w:tc>
      </w:tr>
      <w:tr>
        <w:trPr>
          <w:trHeight w:val="304"/>
        </w:trPr>
        <w:tc>
          <w:tcPr>
            <w:tcW w:w="4420" w:type="dxa"/>
            <w:vAlign w:val="bottom"/>
            <w:tcBorders>
              <w:bottom w:val="single" w:sz="8" w:color="auto"/>
            </w:tcBorders>
            <w:gridSpan w:val="9"/>
          </w:tcPr>
          <w:p>
            <w:pPr>
              <w:spacing w:after="0"/>
              <w:rPr>
                <w:rFonts w:ascii="Arial" w:cs="Arial" w:eastAsia="Arial" w:hAnsi="Arial"/>
                <w:sz w:val="16"/>
                <w:szCs w:val="16"/>
                <w:b w:val="1"/>
                <w:bCs w:val="1"/>
                <w:u w:val="single" w:color="auto"/>
                <w:color w:val="0000EE"/>
              </w:rPr>
            </w:pPr>
            <w:hyperlink w:anchor="page87">
              <w:r>
                <w:rPr>
                  <w:rFonts w:ascii="Arial" w:cs="Arial" w:eastAsia="Arial" w:hAnsi="Arial"/>
                  <w:sz w:val="16"/>
                  <w:szCs w:val="16"/>
                  <w:b w:val="1"/>
                  <w:bCs w:val="1"/>
                  <w:u w:val="single" w:color="auto"/>
                  <w:color w:val="0000EE"/>
                </w:rPr>
                <w:t>Report of the Audit Committee of the Board of Directors</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84</w:t>
            </w:r>
          </w:p>
        </w:tc>
        <w:tc>
          <w:tcPr>
            <w:tcW w:w="0" w:type="dxa"/>
            <w:vAlign w:val="bottom"/>
          </w:tcPr>
          <w:p>
            <w:pPr>
              <w:spacing w:after="0"/>
              <w:rPr>
                <w:sz w:val="1"/>
                <w:szCs w:val="1"/>
                <w:color w:val="auto"/>
              </w:rPr>
            </w:pPr>
          </w:p>
        </w:tc>
      </w:tr>
      <w:tr>
        <w:trPr>
          <w:trHeight w:val="304"/>
        </w:trPr>
        <w:tc>
          <w:tcPr>
            <w:tcW w:w="4420" w:type="dxa"/>
            <w:vAlign w:val="bottom"/>
            <w:tcBorders>
              <w:bottom w:val="single" w:sz="8" w:color="auto"/>
            </w:tcBorders>
            <w:gridSpan w:val="9"/>
          </w:tcPr>
          <w:p>
            <w:pPr>
              <w:spacing w:after="0"/>
              <w:rPr>
                <w:rFonts w:ascii="Arial" w:cs="Arial" w:eastAsia="Arial" w:hAnsi="Arial"/>
                <w:sz w:val="16"/>
                <w:szCs w:val="16"/>
                <w:b w:val="1"/>
                <w:bCs w:val="1"/>
                <w:u w:val="single" w:color="auto"/>
                <w:color w:val="0000EE"/>
              </w:rPr>
            </w:pPr>
            <w:hyperlink w:anchor="page88">
              <w:r>
                <w:rPr>
                  <w:rFonts w:ascii="Arial" w:cs="Arial" w:eastAsia="Arial" w:hAnsi="Arial"/>
                  <w:sz w:val="16"/>
                  <w:szCs w:val="16"/>
                  <w:b w:val="1"/>
                  <w:bCs w:val="1"/>
                  <w:u w:val="single" w:color="auto"/>
                  <w:color w:val="0000EE"/>
                </w:rPr>
                <w:t>Information about the Annual Meeting and Voting</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85</w:t>
            </w:r>
          </w:p>
        </w:tc>
        <w:tc>
          <w:tcPr>
            <w:tcW w:w="0" w:type="dxa"/>
            <w:vAlign w:val="bottom"/>
          </w:tcPr>
          <w:p>
            <w:pPr>
              <w:spacing w:after="0"/>
              <w:rPr>
                <w:sz w:val="1"/>
                <w:szCs w:val="1"/>
                <w:color w:val="auto"/>
              </w:rPr>
            </w:pPr>
          </w:p>
        </w:tc>
      </w:tr>
      <w:tr>
        <w:trPr>
          <w:trHeight w:val="304"/>
        </w:trPr>
        <w:tc>
          <w:tcPr>
            <w:tcW w:w="4420" w:type="dxa"/>
            <w:vAlign w:val="bottom"/>
            <w:tcBorders>
              <w:bottom w:val="single" w:sz="8" w:color="auto"/>
            </w:tcBorders>
            <w:gridSpan w:val="9"/>
          </w:tcPr>
          <w:p>
            <w:pPr>
              <w:spacing w:after="0"/>
              <w:rPr>
                <w:rFonts w:ascii="Arial" w:cs="Arial" w:eastAsia="Arial" w:hAnsi="Arial"/>
                <w:sz w:val="16"/>
                <w:szCs w:val="16"/>
                <w:b w:val="1"/>
                <w:bCs w:val="1"/>
                <w:u w:val="single" w:color="auto"/>
                <w:color w:val="0000EE"/>
              </w:rPr>
            </w:pPr>
            <w:hyperlink w:anchor="page92">
              <w:r>
                <w:rPr>
                  <w:rFonts w:ascii="Arial" w:cs="Arial" w:eastAsia="Arial" w:hAnsi="Arial"/>
                  <w:sz w:val="16"/>
                  <w:szCs w:val="16"/>
                  <w:b w:val="1"/>
                  <w:bCs w:val="1"/>
                  <w:u w:val="single" w:color="auto"/>
                  <w:color w:val="0000EE"/>
                </w:rPr>
                <w:t>Availability of Certain Documents</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89</w:t>
            </w:r>
          </w:p>
        </w:tc>
        <w:tc>
          <w:tcPr>
            <w:tcW w:w="0" w:type="dxa"/>
            <w:vAlign w:val="bottom"/>
          </w:tcPr>
          <w:p>
            <w:pPr>
              <w:spacing w:after="0"/>
              <w:rPr>
                <w:sz w:val="1"/>
                <w:szCs w:val="1"/>
                <w:color w:val="auto"/>
              </w:rPr>
            </w:pPr>
          </w:p>
        </w:tc>
      </w:tr>
      <w:tr>
        <w:trPr>
          <w:trHeight w:val="304"/>
        </w:trPr>
        <w:tc>
          <w:tcPr>
            <w:tcW w:w="4420" w:type="dxa"/>
            <w:vAlign w:val="bottom"/>
            <w:tcBorders>
              <w:bottom w:val="single" w:sz="8" w:color="auto"/>
            </w:tcBorders>
            <w:gridSpan w:val="9"/>
          </w:tcPr>
          <w:p>
            <w:pPr>
              <w:spacing w:after="0"/>
              <w:rPr>
                <w:rFonts w:ascii="Arial" w:cs="Arial" w:eastAsia="Arial" w:hAnsi="Arial"/>
                <w:sz w:val="16"/>
                <w:szCs w:val="16"/>
                <w:b w:val="1"/>
                <w:bCs w:val="1"/>
                <w:u w:val="single" w:color="auto"/>
                <w:color w:val="0000EE"/>
              </w:rPr>
            </w:pPr>
            <w:hyperlink w:anchor="page93">
              <w:r>
                <w:rPr>
                  <w:rFonts w:ascii="Arial" w:cs="Arial" w:eastAsia="Arial" w:hAnsi="Arial"/>
                  <w:sz w:val="16"/>
                  <w:szCs w:val="16"/>
                  <w:b w:val="1"/>
                  <w:bCs w:val="1"/>
                  <w:u w:val="single" w:color="auto"/>
                  <w:color w:val="0000EE"/>
                </w:rPr>
                <w:t>No Incorporation By Reference</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90</w:t>
            </w:r>
          </w:p>
        </w:tc>
        <w:tc>
          <w:tcPr>
            <w:tcW w:w="0" w:type="dxa"/>
            <w:vAlign w:val="bottom"/>
          </w:tcPr>
          <w:p>
            <w:pPr>
              <w:spacing w:after="0"/>
              <w:rPr>
                <w:sz w:val="1"/>
                <w:szCs w:val="1"/>
                <w:color w:val="auto"/>
              </w:rPr>
            </w:pPr>
          </w:p>
        </w:tc>
      </w:tr>
      <w:tr>
        <w:trPr>
          <w:trHeight w:val="304"/>
        </w:trPr>
        <w:tc>
          <w:tcPr>
            <w:tcW w:w="4420" w:type="dxa"/>
            <w:vAlign w:val="bottom"/>
            <w:tcBorders>
              <w:bottom w:val="single" w:sz="8" w:color="auto"/>
            </w:tcBorders>
            <w:gridSpan w:val="9"/>
          </w:tcPr>
          <w:p>
            <w:pPr>
              <w:spacing w:after="0"/>
              <w:rPr>
                <w:rFonts w:ascii="Arial" w:cs="Arial" w:eastAsia="Arial" w:hAnsi="Arial"/>
                <w:sz w:val="16"/>
                <w:szCs w:val="16"/>
                <w:b w:val="1"/>
                <w:bCs w:val="1"/>
                <w:u w:val="single" w:color="auto"/>
                <w:color w:val="0000EE"/>
              </w:rPr>
            </w:pPr>
            <w:hyperlink w:anchor="page94">
              <w:r>
                <w:rPr>
                  <w:rFonts w:ascii="Arial" w:cs="Arial" w:eastAsia="Arial" w:hAnsi="Arial"/>
                  <w:sz w:val="16"/>
                  <w:szCs w:val="16"/>
                  <w:b w:val="1"/>
                  <w:bCs w:val="1"/>
                  <w:u w:val="single" w:color="auto"/>
                  <w:color w:val="0000EE"/>
                </w:rPr>
                <w:t>Shareholder Proposals for Next Annual Meeting</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91</w:t>
            </w:r>
          </w:p>
        </w:tc>
        <w:tc>
          <w:tcPr>
            <w:tcW w:w="0" w:type="dxa"/>
            <w:vAlign w:val="bottom"/>
          </w:tcPr>
          <w:p>
            <w:pPr>
              <w:spacing w:after="0"/>
              <w:rPr>
                <w:sz w:val="1"/>
                <w:szCs w:val="1"/>
                <w:color w:val="auto"/>
              </w:rPr>
            </w:pPr>
          </w:p>
        </w:tc>
      </w:tr>
      <w:tr>
        <w:trPr>
          <w:trHeight w:val="304"/>
        </w:trPr>
        <w:tc>
          <w:tcPr>
            <w:tcW w:w="4420" w:type="dxa"/>
            <w:vAlign w:val="bottom"/>
            <w:tcBorders>
              <w:bottom w:val="single" w:sz="8" w:color="auto"/>
            </w:tcBorders>
            <w:gridSpan w:val="9"/>
          </w:tcPr>
          <w:p>
            <w:pPr>
              <w:spacing w:after="0"/>
              <w:rPr>
                <w:rFonts w:ascii="Arial" w:cs="Arial" w:eastAsia="Arial" w:hAnsi="Arial"/>
                <w:sz w:val="16"/>
                <w:szCs w:val="16"/>
                <w:b w:val="1"/>
                <w:bCs w:val="1"/>
                <w:u w:val="single" w:color="auto"/>
                <w:color w:val="0000EE"/>
              </w:rPr>
            </w:pPr>
            <w:hyperlink w:anchor="page95">
              <w:r>
                <w:rPr>
                  <w:rFonts w:ascii="Arial" w:cs="Arial" w:eastAsia="Arial" w:hAnsi="Arial"/>
                  <w:sz w:val="16"/>
                  <w:szCs w:val="16"/>
                  <w:b w:val="1"/>
                  <w:bCs w:val="1"/>
                  <w:u w:val="single" w:color="auto"/>
                  <w:color w:val="0000EE"/>
                </w:rPr>
                <w:t>Other Matters</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CB9"/>
              </w:rPr>
              <w:t>92</w:t>
            </w:r>
          </w:p>
        </w:tc>
        <w:tc>
          <w:tcPr>
            <w:tcW w:w="0" w:type="dxa"/>
            <w:vAlign w:val="bottom"/>
          </w:tcPr>
          <w:p>
            <w:pPr>
              <w:spacing w:after="0"/>
              <w:rPr>
                <w:sz w:val="1"/>
                <w:szCs w:val="1"/>
                <w:color w:val="auto"/>
              </w:rPr>
            </w:pPr>
          </w:p>
        </w:tc>
      </w:tr>
      <w:tr>
        <w:trPr>
          <w:trHeight w:val="277"/>
        </w:trPr>
        <w:tc>
          <w:tcPr>
            <w:tcW w:w="4420" w:type="dxa"/>
            <w:vAlign w:val="bottom"/>
            <w:gridSpan w:val="9"/>
          </w:tcPr>
          <w:p>
            <w:pPr>
              <w:spacing w:after="0"/>
              <w:rPr>
                <w:rFonts w:ascii="Arial" w:cs="Arial" w:eastAsia="Arial" w:hAnsi="Arial"/>
                <w:sz w:val="16"/>
                <w:szCs w:val="16"/>
                <w:b w:val="1"/>
                <w:bCs w:val="1"/>
                <w:color w:val="0000EE"/>
              </w:rPr>
            </w:pPr>
            <w:hyperlink w:anchor="page96">
              <w:r>
                <w:rPr>
                  <w:rFonts w:ascii="Arial" w:cs="Arial" w:eastAsia="Arial" w:hAnsi="Arial"/>
                  <w:sz w:val="16"/>
                  <w:szCs w:val="16"/>
                  <w:b w:val="1"/>
                  <w:bCs w:val="1"/>
                  <w:color w:val="0000EE"/>
                </w:rPr>
                <w:t>Annex A—Reconciliation of GAAP Net Income to</w:t>
              </w:r>
            </w:hyperlink>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A-1</w:t>
            </w:r>
          </w:p>
        </w:tc>
        <w:tc>
          <w:tcPr>
            <w:tcW w:w="0" w:type="dxa"/>
            <w:vAlign w:val="bottom"/>
          </w:tcPr>
          <w:p>
            <w:pPr>
              <w:spacing w:after="0"/>
              <w:rPr>
                <w:sz w:val="1"/>
                <w:szCs w:val="1"/>
                <w:color w:val="auto"/>
              </w:rPr>
            </w:pPr>
          </w:p>
        </w:tc>
      </w:tr>
      <w:tr>
        <w:trPr>
          <w:trHeight w:val="169"/>
        </w:trPr>
        <w:tc>
          <w:tcPr>
            <w:tcW w:w="3760" w:type="dxa"/>
            <w:vAlign w:val="bottom"/>
            <w:tcBorders>
              <w:top w:val="single" w:sz="8" w:color="0000EE"/>
            </w:tcBorders>
            <w:gridSpan w:val="5"/>
          </w:tcPr>
          <w:p>
            <w:pPr>
              <w:spacing w:after="0" w:line="169" w:lineRule="exact"/>
              <w:rPr>
                <w:rFonts w:ascii="Arial" w:cs="Arial" w:eastAsia="Arial" w:hAnsi="Arial"/>
                <w:sz w:val="16"/>
                <w:szCs w:val="16"/>
                <w:b w:val="1"/>
                <w:bCs w:val="1"/>
                <w:color w:val="0000EE"/>
              </w:rPr>
            </w:pPr>
            <w:hyperlink w:anchor="page96">
              <w:r>
                <w:rPr>
                  <w:rFonts w:ascii="Arial" w:cs="Arial" w:eastAsia="Arial" w:hAnsi="Arial"/>
                  <w:sz w:val="16"/>
                  <w:szCs w:val="16"/>
                  <w:b w:val="1"/>
                  <w:bCs w:val="1"/>
                  <w:color w:val="0000EE"/>
                </w:rPr>
                <w:t>Adjusted EBITDA</w:t>
              </w:r>
            </w:hyperlink>
          </w:p>
        </w:tc>
        <w:tc>
          <w:tcPr>
            <w:tcW w:w="50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20" w:type="dxa"/>
            <w:vAlign w:val="bottom"/>
            <w:gridSpan w:val="9"/>
          </w:tcPr>
          <w:p>
            <w:pPr>
              <w:spacing w:after="0"/>
              <w:rPr>
                <w:rFonts w:ascii="Arial" w:cs="Arial" w:eastAsia="Arial" w:hAnsi="Arial"/>
                <w:sz w:val="16"/>
                <w:szCs w:val="16"/>
                <w:b w:val="1"/>
                <w:bCs w:val="1"/>
                <w:color w:val="0000EE"/>
              </w:rPr>
            </w:pPr>
            <w:hyperlink w:anchor="page97">
              <w:r>
                <w:rPr>
                  <w:rFonts w:ascii="Arial" w:cs="Arial" w:eastAsia="Arial" w:hAnsi="Arial"/>
                  <w:sz w:val="16"/>
                  <w:szCs w:val="16"/>
                  <w:b w:val="1"/>
                  <w:bCs w:val="1"/>
                  <w:color w:val="0000EE"/>
                </w:rPr>
                <w:t>Annex B—Amended and Restated Take-Two Interactive</w:t>
              </w:r>
            </w:hyperlink>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B-1</w:t>
            </w:r>
          </w:p>
        </w:tc>
        <w:tc>
          <w:tcPr>
            <w:tcW w:w="0" w:type="dxa"/>
            <w:vAlign w:val="bottom"/>
          </w:tcPr>
          <w:p>
            <w:pPr>
              <w:spacing w:after="0"/>
              <w:rPr>
                <w:sz w:val="1"/>
                <w:szCs w:val="1"/>
                <w:color w:val="auto"/>
              </w:rPr>
            </w:pPr>
          </w:p>
        </w:tc>
      </w:tr>
      <w:tr>
        <w:trPr>
          <w:trHeight w:val="169"/>
        </w:trPr>
        <w:tc>
          <w:tcPr>
            <w:tcW w:w="4260" w:type="dxa"/>
            <w:vAlign w:val="bottom"/>
            <w:tcBorders>
              <w:top w:val="single" w:sz="8" w:color="0000EE"/>
            </w:tcBorders>
            <w:gridSpan w:val="7"/>
          </w:tcPr>
          <w:p>
            <w:pPr>
              <w:spacing w:after="0" w:line="169" w:lineRule="exact"/>
              <w:rPr>
                <w:rFonts w:ascii="Arial" w:cs="Arial" w:eastAsia="Arial" w:hAnsi="Arial"/>
                <w:sz w:val="16"/>
                <w:szCs w:val="16"/>
                <w:b w:val="1"/>
                <w:bCs w:val="1"/>
                <w:color w:val="0000EE"/>
              </w:rPr>
            </w:pPr>
            <w:hyperlink w:anchor="page97">
              <w:r>
                <w:rPr>
                  <w:rFonts w:ascii="Arial" w:cs="Arial" w:eastAsia="Arial" w:hAnsi="Arial"/>
                  <w:sz w:val="16"/>
                  <w:szCs w:val="16"/>
                  <w:b w:val="1"/>
                  <w:bCs w:val="1"/>
                  <w:color w:val="0000EE"/>
                </w:rPr>
                <w:t>Software, Inc. 2017 Stock Incentive Plan</w:t>
              </w:r>
            </w:hyperlink>
          </w:p>
        </w:tc>
        <w:tc>
          <w:tcPr>
            <w:tcW w:w="160" w:type="dxa"/>
            <w:vAlign w:val="bottom"/>
            <w:gridSpan w:val="2"/>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685800</wp:posOffset>
            </wp:positionV>
            <wp:extent cx="291465"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ind w:left="1040" w:hanging="371"/>
        <w:spacing w:after="0"/>
        <w:tabs>
          <w:tab w:leader="none" w:pos="1040" w:val="left"/>
        </w:tabs>
        <w:numPr>
          <w:ilvl w:val="0"/>
          <w:numId w:val="7"/>
        </w:numPr>
        <w:rPr>
          <w:rFonts w:ascii="Arial" w:cs="Arial" w:eastAsia="Arial" w:hAnsi="Arial"/>
          <w:sz w:val="16"/>
          <w:szCs w:val="16"/>
          <w:b w:val="1"/>
          <w:bCs w:val="1"/>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28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160"/>
        <w:spacing w:after="0"/>
        <w:rPr>
          <w:sz w:val="20"/>
          <w:szCs w:val="20"/>
          <w:color w:val="auto"/>
        </w:rPr>
      </w:pPr>
      <w:r>
        <w:rPr>
          <w:rFonts w:ascii="Arial" w:cs="Arial" w:eastAsia="Arial" w:hAnsi="Arial"/>
          <w:sz w:val="40"/>
          <w:szCs w:val="40"/>
          <w:b w:val="1"/>
          <w:bCs w:val="1"/>
          <w:color w:val="FFFFF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368300</wp:posOffset>
            </wp:positionV>
            <wp:extent cx="6296025" cy="7299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6025"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40" w:right="240"/>
        <w:spacing w:after="0" w:line="260" w:lineRule="auto"/>
        <w:rPr>
          <w:sz w:val="20"/>
          <w:szCs w:val="20"/>
          <w:color w:val="auto"/>
        </w:rPr>
      </w:pPr>
      <w:r>
        <w:rPr>
          <w:rFonts w:ascii="Arial" w:cs="Arial" w:eastAsia="Arial" w:hAnsi="Arial"/>
          <w:sz w:val="16"/>
          <w:szCs w:val="16"/>
          <w:color w:val="auto"/>
        </w:rPr>
        <w:t>This summary highlights information contained elsewhere in this Proxy Statement and does not include all of the information that you should consider. You should read the entire Proxy Statement carefully before voting.</w:t>
      </w:r>
    </w:p>
    <w:p>
      <w:pPr>
        <w:spacing w:after="0" w:line="269"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005CB9"/>
        </w:rPr>
        <w:t>2020 Annual Meeting of Shareholders</w:t>
      </w:r>
    </w:p>
    <w:p>
      <w:pPr>
        <w:spacing w:after="0" w:line="200" w:lineRule="exact"/>
        <w:rPr>
          <w:sz w:val="20"/>
          <w:szCs w:val="20"/>
          <w:color w:val="auto"/>
        </w:rPr>
      </w:pPr>
    </w:p>
    <w:p>
      <w:pPr>
        <w:spacing w:after="0" w:line="223" w:lineRule="exact"/>
        <w:rPr>
          <w:sz w:val="20"/>
          <w:szCs w:val="20"/>
          <w:color w:val="auto"/>
        </w:rPr>
      </w:pPr>
    </w:p>
    <w:tbl>
      <w:tblPr>
        <w:tblLayout w:type="fixed"/>
        <w:tblInd w:w="840" w:type="dxa"/>
        <w:tblCellMar>
          <w:top w:w="0" w:type="dxa"/>
          <w:left w:w="0" w:type="dxa"/>
          <w:bottom w:w="0" w:type="dxa"/>
          <w:right w:w="0" w:type="dxa"/>
        </w:tblCellMar>
      </w:tblPr>
      <w:tr>
        <w:trPr>
          <w:trHeight w:val="209"/>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rPr>
              <w:t>Date and Time</w:t>
            </w: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rPr>
              <w:t>Location</w:t>
            </w:r>
          </w:p>
        </w:tc>
        <w:tc>
          <w:tcPr>
            <w:tcW w:w="2080" w:type="dxa"/>
            <w:vAlign w:val="bottom"/>
          </w:tcPr>
          <w:p>
            <w:pPr>
              <w:jc w:val="center"/>
              <w:ind w:left="542"/>
              <w:spacing w:after="0"/>
              <w:rPr>
                <w:sz w:val="20"/>
                <w:szCs w:val="20"/>
                <w:color w:val="auto"/>
              </w:rPr>
            </w:pPr>
            <w:r>
              <w:rPr>
                <w:rFonts w:ascii="Arial" w:cs="Arial" w:eastAsia="Arial" w:hAnsi="Arial"/>
                <w:sz w:val="16"/>
                <w:szCs w:val="16"/>
                <w:b w:val="1"/>
                <w:bCs w:val="1"/>
                <w:color w:val="auto"/>
                <w:w w:val="99"/>
              </w:rPr>
              <w:t>Record Date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00" w:type="dxa"/>
            <w:vAlign w:val="bottom"/>
          </w:tcPr>
          <w:p>
            <w:pPr>
              <w:jc w:val="center"/>
              <w:spacing w:after="0"/>
              <w:rPr>
                <w:sz w:val="20"/>
                <w:szCs w:val="20"/>
                <w:color w:val="auto"/>
              </w:rPr>
            </w:pPr>
            <w:r>
              <w:rPr>
                <w:rFonts w:ascii="Arial" w:cs="Arial" w:eastAsia="Arial" w:hAnsi="Arial"/>
                <w:sz w:val="16"/>
                <w:szCs w:val="16"/>
                <w:color w:val="auto"/>
              </w:rPr>
              <w:t>September 16, 2020,</w:t>
            </w:r>
          </w:p>
        </w:tc>
        <w:tc>
          <w:tcPr>
            <w:tcW w:w="3440" w:type="dxa"/>
            <w:vAlign w:val="bottom"/>
          </w:tcPr>
          <w:p>
            <w:pPr>
              <w:jc w:val="center"/>
              <w:spacing w:after="0"/>
              <w:rPr>
                <w:sz w:val="20"/>
                <w:szCs w:val="20"/>
                <w:color w:val="auto"/>
              </w:rPr>
            </w:pPr>
            <w:r>
              <w:rPr>
                <w:rFonts w:ascii="Arial" w:cs="Arial" w:eastAsia="Arial" w:hAnsi="Arial"/>
                <w:sz w:val="16"/>
                <w:szCs w:val="16"/>
                <w:color w:val="auto"/>
              </w:rPr>
              <w:t>W Hotel</w:t>
            </w:r>
          </w:p>
        </w:tc>
        <w:tc>
          <w:tcPr>
            <w:tcW w:w="2080" w:type="dxa"/>
            <w:vAlign w:val="bottom"/>
          </w:tcPr>
          <w:p>
            <w:pPr>
              <w:jc w:val="center"/>
              <w:ind w:left="542"/>
              <w:spacing w:after="0"/>
              <w:rPr>
                <w:sz w:val="20"/>
                <w:szCs w:val="20"/>
                <w:color w:val="auto"/>
              </w:rPr>
            </w:pPr>
            <w:r>
              <w:rPr>
                <w:rFonts w:ascii="Arial" w:cs="Arial" w:eastAsia="Arial" w:hAnsi="Arial"/>
                <w:sz w:val="16"/>
                <w:szCs w:val="16"/>
                <w:color w:val="auto"/>
              </w:rPr>
              <w:t>July 20, 2020</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Pr>
          <w:p>
            <w:pPr>
              <w:jc w:val="center"/>
              <w:spacing w:after="0"/>
              <w:rPr>
                <w:sz w:val="20"/>
                <w:szCs w:val="20"/>
                <w:color w:val="auto"/>
              </w:rPr>
            </w:pPr>
            <w:r>
              <w:rPr>
                <w:rFonts w:ascii="Arial" w:cs="Arial" w:eastAsia="Arial" w:hAnsi="Arial"/>
                <w:sz w:val="16"/>
                <w:szCs w:val="16"/>
                <w:color w:val="auto"/>
                <w:w w:val="99"/>
              </w:rPr>
              <w:t>at 9:00 a.m.</w:t>
            </w:r>
          </w:p>
        </w:tc>
        <w:tc>
          <w:tcPr>
            <w:tcW w:w="3440" w:type="dxa"/>
            <w:vAlign w:val="bottom"/>
          </w:tcPr>
          <w:p>
            <w:pPr>
              <w:jc w:val="center"/>
              <w:spacing w:after="0"/>
              <w:rPr>
                <w:sz w:val="20"/>
                <w:szCs w:val="20"/>
                <w:color w:val="auto"/>
              </w:rPr>
            </w:pPr>
            <w:r>
              <w:rPr>
                <w:rFonts w:ascii="Arial" w:cs="Arial" w:eastAsia="Arial" w:hAnsi="Arial"/>
                <w:sz w:val="16"/>
                <w:szCs w:val="16"/>
                <w:color w:val="auto"/>
              </w:rPr>
              <w:t>201 Park Avenue South</w:t>
            </w:r>
          </w:p>
        </w:tc>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99"/>
              </w:rPr>
              <w:t>New York, New York 10003</w:t>
            </w:r>
          </w:p>
        </w:tc>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7"/>
        </w:trPr>
        <w:tc>
          <w:tcPr>
            <w:tcW w:w="674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005CB9"/>
              </w:rPr>
              <w:t>Voting Matters and Board Recommendations</w:t>
            </w:r>
          </w:p>
        </w:tc>
        <w:tc>
          <w:tcPr>
            <w:tcW w:w="20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005CB9"/>
          </w:tcPr>
          <w:p>
            <w:pPr>
              <w:spacing w:after="0"/>
              <w:rPr>
                <w:sz w:val="16"/>
                <w:szCs w:val="16"/>
                <w:color w:val="auto"/>
              </w:rPr>
            </w:pPr>
          </w:p>
        </w:tc>
        <w:tc>
          <w:tcPr>
            <w:tcW w:w="3440" w:type="dxa"/>
            <w:vAlign w:val="bottom"/>
            <w:shd w:val="clear" w:color="auto" w:fill="005CB9"/>
          </w:tcPr>
          <w:p>
            <w:pPr>
              <w:spacing w:after="0"/>
              <w:rPr>
                <w:sz w:val="16"/>
                <w:szCs w:val="16"/>
                <w:color w:val="auto"/>
              </w:rPr>
            </w:pPr>
          </w:p>
        </w:tc>
        <w:tc>
          <w:tcPr>
            <w:tcW w:w="2080" w:type="dxa"/>
            <w:vAlign w:val="bottom"/>
            <w:shd w:val="clear" w:color="auto" w:fill="005CB9"/>
          </w:tcPr>
          <w:p>
            <w:pPr>
              <w:jc w:val="center"/>
              <w:ind w:left="562"/>
              <w:spacing w:after="0"/>
              <w:rPr>
                <w:sz w:val="20"/>
                <w:szCs w:val="20"/>
                <w:color w:val="auto"/>
              </w:rPr>
            </w:pPr>
            <w:r>
              <w:rPr>
                <w:rFonts w:ascii="Arial" w:cs="Arial" w:eastAsia="Arial" w:hAnsi="Arial"/>
                <w:sz w:val="14"/>
                <w:szCs w:val="14"/>
                <w:b w:val="1"/>
                <w:bCs w:val="1"/>
                <w:color w:val="FFFFFF"/>
                <w:w w:val="99"/>
              </w:rPr>
              <w:t>Board’s</w:t>
            </w:r>
          </w:p>
        </w:tc>
        <w:tc>
          <w:tcPr>
            <w:tcW w:w="7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Item</w:t>
            </w:r>
          </w:p>
        </w:tc>
        <w:tc>
          <w:tcPr>
            <w:tcW w:w="3440" w:type="dxa"/>
            <w:vAlign w:val="bottom"/>
            <w:tcBorders>
              <w:bottom w:val="single" w:sz="8" w:color="005CB9"/>
            </w:tcBorders>
            <w:shd w:val="clear" w:color="auto" w:fill="005CB9"/>
          </w:tcPr>
          <w:p>
            <w:pPr>
              <w:ind w:left="240"/>
              <w:spacing w:after="0"/>
              <w:rPr>
                <w:sz w:val="20"/>
                <w:szCs w:val="20"/>
                <w:color w:val="auto"/>
              </w:rPr>
            </w:pPr>
            <w:r>
              <w:rPr>
                <w:rFonts w:ascii="Arial" w:cs="Arial" w:eastAsia="Arial" w:hAnsi="Arial"/>
                <w:sz w:val="14"/>
                <w:szCs w:val="14"/>
                <w:b w:val="1"/>
                <w:bCs w:val="1"/>
                <w:color w:val="FFFFFF"/>
              </w:rPr>
              <w:t>Proposal</w:t>
            </w:r>
          </w:p>
        </w:tc>
        <w:tc>
          <w:tcPr>
            <w:tcW w:w="2080" w:type="dxa"/>
            <w:vAlign w:val="bottom"/>
            <w:tcBorders>
              <w:bottom w:val="single" w:sz="8" w:color="005CB9"/>
            </w:tcBorders>
            <w:shd w:val="clear" w:color="auto" w:fill="005CB9"/>
          </w:tcPr>
          <w:p>
            <w:pPr>
              <w:jc w:val="center"/>
              <w:ind w:left="562"/>
              <w:spacing w:after="0"/>
              <w:rPr>
                <w:sz w:val="20"/>
                <w:szCs w:val="20"/>
                <w:color w:val="auto"/>
              </w:rPr>
            </w:pPr>
            <w:r>
              <w:rPr>
                <w:rFonts w:ascii="Arial" w:cs="Arial" w:eastAsia="Arial" w:hAnsi="Arial"/>
                <w:sz w:val="14"/>
                <w:szCs w:val="14"/>
                <w:b w:val="1"/>
                <w:bCs w:val="1"/>
                <w:color w:val="FFFFFF"/>
              </w:rPr>
              <w:t>Recommendation</w:t>
            </w:r>
          </w:p>
        </w:tc>
        <w:tc>
          <w:tcPr>
            <w:tcW w:w="74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Number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0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rPr>
              <w:t>1   Election of eight director nominees</w:t>
            </w:r>
          </w:p>
        </w:tc>
        <w:tc>
          <w:tcPr>
            <w:tcW w:w="3440" w:type="dxa"/>
            <w:vAlign w:val="bottom"/>
            <w:shd w:val="clear" w:color="auto" w:fill="EAEAEA"/>
          </w:tcPr>
          <w:p>
            <w:pPr>
              <w:spacing w:after="0"/>
              <w:rPr>
                <w:sz w:val="20"/>
                <w:szCs w:val="20"/>
                <w:color w:val="auto"/>
              </w:rPr>
            </w:pPr>
          </w:p>
        </w:tc>
        <w:tc>
          <w:tcPr>
            <w:tcW w:w="2080" w:type="dxa"/>
            <w:vAlign w:val="bottom"/>
            <w:shd w:val="clear" w:color="auto" w:fill="EAEAEA"/>
          </w:tcPr>
          <w:p>
            <w:pPr>
              <w:jc w:val="center"/>
              <w:ind w:left="542"/>
              <w:spacing w:after="0"/>
              <w:rPr>
                <w:sz w:val="20"/>
                <w:szCs w:val="20"/>
                <w:color w:val="auto"/>
              </w:rPr>
            </w:pPr>
            <w:r>
              <w:rPr>
                <w:rFonts w:ascii="Arial" w:cs="Arial" w:eastAsia="Arial" w:hAnsi="Arial"/>
                <w:sz w:val="16"/>
                <w:szCs w:val="16"/>
                <w:color w:val="auto"/>
              </w:rPr>
              <w:t>FOR</w:t>
            </w:r>
          </w:p>
        </w:tc>
        <w:tc>
          <w:tcPr>
            <w:tcW w:w="740" w:type="dxa"/>
            <w:vAlign w:val="bottom"/>
            <w:vMerge w:val="restart"/>
            <w:shd w:val="clear" w:color="auto" w:fill="EAEAEA"/>
          </w:tcPr>
          <w:p>
            <w:pPr>
              <w:jc w:val="right"/>
              <w:ind w:right="205"/>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
        </w:trPr>
        <w:tc>
          <w:tcPr>
            <w:tcW w:w="3300" w:type="dxa"/>
            <w:vAlign w:val="bottom"/>
            <w:vMerge w:val="continue"/>
            <w:shd w:val="clear" w:color="auto" w:fill="EAEAEA"/>
          </w:tcPr>
          <w:p>
            <w:pPr>
              <w:spacing w:after="0"/>
              <w:rPr>
                <w:sz w:val="8"/>
                <w:szCs w:val="8"/>
                <w:color w:val="auto"/>
              </w:rPr>
            </w:pPr>
          </w:p>
        </w:tc>
        <w:tc>
          <w:tcPr>
            <w:tcW w:w="3440" w:type="dxa"/>
            <w:vAlign w:val="bottom"/>
            <w:shd w:val="clear" w:color="auto" w:fill="EAEAEA"/>
          </w:tcPr>
          <w:p>
            <w:pPr>
              <w:spacing w:after="0"/>
              <w:rPr>
                <w:sz w:val="8"/>
                <w:szCs w:val="8"/>
                <w:color w:val="auto"/>
              </w:rPr>
            </w:pPr>
          </w:p>
        </w:tc>
        <w:tc>
          <w:tcPr>
            <w:tcW w:w="2080" w:type="dxa"/>
            <w:vAlign w:val="bottom"/>
            <w:vMerge w:val="restart"/>
            <w:shd w:val="clear" w:color="auto" w:fill="EAEAEA"/>
          </w:tcPr>
          <w:p>
            <w:pPr>
              <w:jc w:val="center"/>
              <w:ind w:left="562"/>
              <w:spacing w:after="0"/>
              <w:rPr>
                <w:sz w:val="20"/>
                <w:szCs w:val="20"/>
                <w:color w:val="auto"/>
              </w:rPr>
            </w:pPr>
            <w:r>
              <w:rPr>
                <w:rFonts w:ascii="Arial" w:cs="Arial" w:eastAsia="Arial" w:hAnsi="Arial"/>
                <w:sz w:val="16"/>
                <w:szCs w:val="16"/>
                <w:color w:val="auto"/>
              </w:rPr>
              <w:t>(each nominee)</w:t>
            </w:r>
          </w:p>
        </w:tc>
        <w:tc>
          <w:tcPr>
            <w:tcW w:w="740" w:type="dxa"/>
            <w:vAlign w:val="bottom"/>
            <w:vMerge w:val="continue"/>
            <w:shd w:val="clear" w:color="auto" w:fill="EAEAEA"/>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300" w:type="dxa"/>
            <w:vAlign w:val="bottom"/>
            <w:shd w:val="clear" w:color="auto" w:fill="EAEAEA"/>
          </w:tcPr>
          <w:p>
            <w:pPr>
              <w:spacing w:after="0"/>
              <w:rPr>
                <w:sz w:val="8"/>
                <w:szCs w:val="8"/>
                <w:color w:val="auto"/>
              </w:rPr>
            </w:pPr>
          </w:p>
        </w:tc>
        <w:tc>
          <w:tcPr>
            <w:tcW w:w="3440" w:type="dxa"/>
            <w:vAlign w:val="bottom"/>
            <w:shd w:val="clear" w:color="auto" w:fill="EAEAEA"/>
          </w:tcPr>
          <w:p>
            <w:pPr>
              <w:spacing w:after="0"/>
              <w:rPr>
                <w:sz w:val="8"/>
                <w:szCs w:val="8"/>
                <w:color w:val="auto"/>
              </w:rPr>
            </w:pPr>
          </w:p>
        </w:tc>
        <w:tc>
          <w:tcPr>
            <w:tcW w:w="2080" w:type="dxa"/>
            <w:vAlign w:val="bottom"/>
            <w:vMerge w:val="continue"/>
            <w:shd w:val="clear" w:color="auto" w:fill="EAEAEA"/>
          </w:tcPr>
          <w:p>
            <w:pPr>
              <w:spacing w:after="0"/>
              <w:rPr>
                <w:sz w:val="8"/>
                <w:szCs w:val="8"/>
                <w:color w:val="auto"/>
              </w:rPr>
            </w:pPr>
          </w:p>
        </w:tc>
        <w:tc>
          <w:tcPr>
            <w:tcW w:w="740" w:type="dxa"/>
            <w:vAlign w:val="bottom"/>
            <w:shd w:val="clear" w:color="auto" w:fill="EAEAEA"/>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ectPr>
          <w:pgSz w:w="11900" w:h="16838" w:orient="portrait"/>
          <w:cols w:equalWidth="0" w:num="1">
            <w:col w:w="10580"/>
          </w:cols>
          <w:pgMar w:left="320" w:top="459" w:right="999" w:bottom="1440" w:gutter="0" w:footer="0" w:header="0"/>
        </w:sectPr>
      </w:pPr>
    </w:p>
    <w:p>
      <w:pPr>
        <w:ind w:left="1440" w:hanging="375"/>
        <w:spacing w:after="0"/>
        <w:tabs>
          <w:tab w:leader="none" w:pos="1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Advisory vote to approve executive compensation</w:t>
      </w:r>
    </w:p>
    <w:p>
      <w:pPr>
        <w:spacing w:after="0" w:line="59" w:lineRule="exact"/>
        <w:rPr>
          <w:sz w:val="20"/>
          <w:szCs w:val="20"/>
          <w:color w:val="auto"/>
        </w:rPr>
      </w:pPr>
    </w:p>
    <w:p>
      <w:pPr>
        <w:ind w:left="1440" w:right="340" w:hanging="375"/>
        <w:spacing w:after="0" w:line="260" w:lineRule="auto"/>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Approval of the Amended and Restated Take-Two Interactive Software, Inc. 2017 Stock Incentive Plan to increase the available shares reserved thereunder</w:t>
      </w:r>
    </w:p>
    <w:p>
      <w:pPr>
        <w:spacing w:after="0" w:line="33" w:lineRule="exact"/>
        <w:rPr>
          <w:sz w:val="20"/>
          <w:szCs w:val="20"/>
          <w:color w:val="auto"/>
        </w:rPr>
      </w:pPr>
    </w:p>
    <w:p>
      <w:pPr>
        <w:ind w:left="1440" w:right="160" w:hanging="375"/>
        <w:spacing w:after="0" w:line="260" w:lineRule="auto"/>
        <w:tabs>
          <w:tab w:leader="none" w:pos="1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as our independent registered public accounting firm for the fiscal year ending March 31, 2021 (“</w:t>
      </w:r>
      <w:r>
        <w:rPr>
          <w:rFonts w:ascii="Arial" w:cs="Arial" w:eastAsia="Arial" w:hAnsi="Arial"/>
          <w:sz w:val="16"/>
          <w:szCs w:val="16"/>
          <w:i w:val="1"/>
          <w:iCs w:val="1"/>
          <w:color w:val="auto"/>
        </w:rPr>
        <w:t>fiscal 2021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120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20</w:t>
      </w:r>
    </w:p>
    <w:p>
      <w:pPr>
        <w:spacing w:after="0" w:line="154" w:lineRule="exact"/>
        <w:rPr>
          <w:sz w:val="20"/>
          <w:szCs w:val="20"/>
          <w:color w:val="auto"/>
        </w:rPr>
      </w:pPr>
    </w:p>
    <w:p>
      <w:pPr>
        <w:spacing w:after="0"/>
        <w:tabs>
          <w:tab w:leader="none" w:pos="120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68</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82</w:t>
      </w:r>
    </w:p>
    <w:p>
      <w:pPr>
        <w:spacing w:after="0" w:line="320" w:lineRule="exact"/>
        <w:rPr>
          <w:sz w:val="20"/>
          <w:szCs w:val="20"/>
          <w:color w:val="auto"/>
        </w:rPr>
      </w:pPr>
    </w:p>
    <w:p>
      <w:pPr>
        <w:sectPr>
          <w:pgSz w:w="11900" w:h="16838" w:orient="portrait"/>
          <w:cols w:equalWidth="0" w:num="2">
            <w:col w:w="8040" w:space="720"/>
            <w:col w:w="1820"/>
          </w:cols>
          <w:pgMar w:left="320" w:top="459" w:right="999" w:bottom="1440" w:gutter="0" w:footer="0" w:header="0"/>
          <w:type w:val="continuous"/>
        </w:sectPr>
      </w:pPr>
    </w:p>
    <w:p>
      <w:pPr>
        <w:spacing w:after="0" w:line="82"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005CB9"/>
        </w:rPr>
        <w:t>Company Performance Highlights</w:t>
      </w:r>
    </w:p>
    <w:p>
      <w:pPr>
        <w:spacing w:after="0" w:line="143" w:lineRule="exact"/>
        <w:rPr>
          <w:sz w:val="20"/>
          <w:szCs w:val="20"/>
          <w:color w:val="auto"/>
        </w:rPr>
      </w:pPr>
    </w:p>
    <w:p>
      <w:pPr>
        <w:jc w:val="both"/>
        <w:ind w:left="840" w:right="580"/>
        <w:spacing w:after="0" w:line="263" w:lineRule="auto"/>
        <w:rPr>
          <w:sz w:val="20"/>
          <w:szCs w:val="20"/>
          <w:color w:val="auto"/>
        </w:rPr>
      </w:pPr>
      <w:r>
        <w:rPr>
          <w:rFonts w:ascii="Arial" w:cs="Arial" w:eastAsia="Arial" w:hAnsi="Arial"/>
          <w:sz w:val="16"/>
          <w:szCs w:val="16"/>
          <w:color w:val="auto"/>
        </w:rPr>
        <w:t>The Company delivered strong financial results in our fiscal year ended March 31, 2020 (“</w:t>
      </w:r>
      <w:r>
        <w:rPr>
          <w:rFonts w:ascii="Arial" w:cs="Arial" w:eastAsia="Arial" w:hAnsi="Arial"/>
          <w:sz w:val="16"/>
          <w:szCs w:val="16"/>
          <w:i w:val="1"/>
          <w:iCs w:val="1"/>
          <w:color w:val="auto"/>
        </w:rPr>
        <w:t>fiscal 2020</w:t>
      </w:r>
      <w:r>
        <w:rPr>
          <w:rFonts w:ascii="Arial" w:cs="Arial" w:eastAsia="Arial" w:hAnsi="Arial"/>
          <w:sz w:val="16"/>
          <w:szCs w:val="16"/>
          <w:color w:val="auto"/>
        </w:rPr>
        <w:t>”) and continued to execute successfully on our strategy to capitalize on the popularity of video games by developing and publishing high-quality interactive entertainment experiences across a range of genres.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3516630</wp:posOffset>
            </wp:positionV>
            <wp:extent cx="291465"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64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bl>
    <w:p>
      <w:pPr>
        <w:sectPr>
          <w:pgSz w:w="11900" w:h="16838" w:orient="portrait"/>
          <w:cols w:equalWidth="0" w:num="1">
            <w:col w:w="10580"/>
          </w:cols>
          <w:pgMar w:left="320" w:top="459" w:right="9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54305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0" cy="145415"/>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P</w:t>
      </w:r>
      <w:r>
        <w:rPr>
          <w:rFonts w:ascii="Arial" w:cs="Arial" w:eastAsia="Arial" w:hAnsi="Arial"/>
          <w:sz w:val="11"/>
          <w:szCs w:val="11"/>
          <w:b w:val="1"/>
          <w:bCs w:val="1"/>
          <w:color w:val="005CB9"/>
        </w:rPr>
        <w:t>ROXY</w:t>
      </w:r>
      <w:r>
        <w:rPr>
          <w:rFonts w:ascii="Arial" w:cs="Arial" w:eastAsia="Arial" w:hAnsi="Arial"/>
          <w:sz w:val="14"/>
          <w:szCs w:val="14"/>
          <w:b w:val="1"/>
          <w:bCs w:val="1"/>
          <w:color w:val="005CB9"/>
        </w:rPr>
        <w:t xml:space="preserve"> S</w:t>
      </w:r>
      <w:r>
        <w:rPr>
          <w:rFonts w:ascii="Arial" w:cs="Arial" w:eastAsia="Arial" w:hAnsi="Arial"/>
          <w:sz w:val="11"/>
          <w:szCs w:val="11"/>
          <w:b w:val="1"/>
          <w:bCs w:val="1"/>
          <w:color w:val="005CB9"/>
        </w:rPr>
        <w:t>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118110</wp:posOffset>
            </wp:positionV>
            <wp:extent cx="6998970" cy="6793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793230"/>
                    </a:xfrm>
                    <a:prstGeom prst="rect">
                      <a:avLst/>
                    </a:prstGeom>
                    <a:noFill/>
                  </pic:spPr>
                </pic:pic>
              </a:graphicData>
            </a:graphic>
          </wp:anchor>
        </w:drawing>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Board of Directors Highlights</w:t>
      </w:r>
    </w:p>
    <w:p>
      <w:pPr>
        <w:spacing w:after="0" w:line="133" w:lineRule="exact"/>
        <w:rPr>
          <w:sz w:val="20"/>
          <w:szCs w:val="20"/>
          <w:color w:val="auto"/>
        </w:rPr>
      </w:pPr>
    </w:p>
    <w:p>
      <w:pPr>
        <w:ind w:left="300" w:right="460" w:firstLine="426"/>
        <w:spacing w:after="0" w:line="260" w:lineRule="auto"/>
        <w:rPr>
          <w:sz w:val="20"/>
          <w:szCs w:val="20"/>
          <w:color w:val="auto"/>
        </w:rPr>
      </w:pPr>
      <w:r>
        <w:rPr>
          <w:rFonts w:ascii="Arial" w:cs="Arial" w:eastAsia="Arial" w:hAnsi="Arial"/>
          <w:sz w:val="16"/>
          <w:szCs w:val="16"/>
          <w:color w:val="auto"/>
        </w:rPr>
        <w:t>Our eight nominees include seven independent, outside directors who as a group have extensive and diverse management experience, subject matter expertise, and knowledge that is critical to the Company.</w:t>
      </w:r>
    </w:p>
    <w:p>
      <w:pPr>
        <w:sectPr>
          <w:pgSz w:w="11900" w:h="16838" w:orient="portrait"/>
          <w:cols w:equalWidth="0" w:num="1">
            <w:col w:w="10880"/>
          </w:cols>
          <w:pgMar w:left="320" w:top="459" w:right="699" w:bottom="1440" w:gutter="0" w:footer="0" w:header="0"/>
        </w:sectPr>
      </w:pPr>
    </w:p>
    <w:p>
      <w:pPr>
        <w:spacing w:after="0" w:line="317" w:lineRule="exact"/>
        <w:rPr>
          <w:sz w:val="20"/>
          <w:szCs w:val="20"/>
          <w:color w:val="auto"/>
        </w:rPr>
      </w:pPr>
    </w:p>
    <w:p>
      <w:pPr>
        <w:ind w:left="620" w:hanging="160"/>
        <w:spacing w:after="0"/>
        <w:tabs>
          <w:tab w:leader="none" w:pos="620" w:val="left"/>
        </w:tabs>
        <w:numPr>
          <w:ilvl w:val="0"/>
          <w:numId w:val="11"/>
        </w:numPr>
        <w:rPr>
          <w:rFonts w:ascii="MS PGothic" w:cs="MS PGothic" w:eastAsia="MS PGothic" w:hAnsi="MS PGothic"/>
          <w:sz w:val="15"/>
          <w:szCs w:val="15"/>
          <w:color w:val="005CB9"/>
        </w:rPr>
      </w:pPr>
      <w:r>
        <w:rPr>
          <w:rFonts w:ascii="Arial" w:cs="Arial" w:eastAsia="Arial" w:hAnsi="Arial"/>
          <w:sz w:val="15"/>
          <w:szCs w:val="15"/>
          <w:color w:val="auto"/>
        </w:rPr>
        <w:t>Active and empowered lead independent director role</w:t>
      </w:r>
    </w:p>
    <w:p>
      <w:pPr>
        <w:spacing w:after="0" w:line="151" w:lineRule="exact"/>
        <w:rPr>
          <w:rFonts w:ascii="MS PGothic" w:cs="MS PGothic" w:eastAsia="MS PGothic" w:hAnsi="MS PGothic"/>
          <w:sz w:val="15"/>
          <w:szCs w:val="15"/>
          <w:color w:val="005CB9"/>
        </w:rPr>
      </w:pPr>
    </w:p>
    <w:p>
      <w:pPr>
        <w:ind w:left="620" w:hanging="160"/>
        <w:spacing w:after="0" w:line="293" w:lineRule="auto"/>
        <w:tabs>
          <w:tab w:leader="none" w:pos="620" w:val="left"/>
        </w:tabs>
        <w:numPr>
          <w:ilvl w:val="0"/>
          <w:numId w:val="11"/>
        </w:numPr>
        <w:rPr>
          <w:rFonts w:ascii="MS PGothic" w:cs="MS PGothic" w:eastAsia="MS PGothic" w:hAnsi="MS PGothic"/>
          <w:sz w:val="15"/>
          <w:szCs w:val="15"/>
          <w:color w:val="005CB9"/>
        </w:rPr>
      </w:pPr>
      <w:r>
        <w:rPr>
          <w:rFonts w:ascii="Arial" w:cs="Arial" w:eastAsia="Arial" w:hAnsi="Arial"/>
          <w:sz w:val="15"/>
          <w:szCs w:val="15"/>
          <w:color w:val="auto"/>
        </w:rPr>
        <w:t>Deliberate approach to Board refreshment, including the addition of new independent directors in 2017, 2018 and 2019</w:t>
      </w:r>
    </w:p>
    <w:p>
      <w:pPr>
        <w:spacing w:after="0" w:line="78" w:lineRule="exact"/>
        <w:rPr>
          <w:rFonts w:ascii="MS PGothic" w:cs="MS PGothic" w:eastAsia="MS PGothic" w:hAnsi="MS PGothic"/>
          <w:sz w:val="15"/>
          <w:szCs w:val="15"/>
          <w:color w:val="005CB9"/>
        </w:rPr>
      </w:pPr>
    </w:p>
    <w:p>
      <w:pPr>
        <w:ind w:left="620" w:hanging="160"/>
        <w:spacing w:after="0"/>
        <w:tabs>
          <w:tab w:leader="none" w:pos="620" w:val="left"/>
        </w:tabs>
        <w:numPr>
          <w:ilvl w:val="0"/>
          <w:numId w:val="11"/>
        </w:numPr>
        <w:rPr>
          <w:rFonts w:ascii="MS PGothic" w:cs="MS PGothic" w:eastAsia="MS PGothic" w:hAnsi="MS PGothic"/>
          <w:sz w:val="15"/>
          <w:szCs w:val="15"/>
          <w:color w:val="005CB9"/>
        </w:rPr>
      </w:pPr>
      <w:r>
        <w:rPr>
          <w:rFonts w:ascii="Arial" w:cs="Arial" w:eastAsia="Arial" w:hAnsi="Arial"/>
          <w:sz w:val="15"/>
          <w:szCs w:val="15"/>
          <w:color w:val="auto"/>
        </w:rPr>
        <w:t>Annual election of all directors</w:t>
      </w:r>
    </w:p>
    <w:p>
      <w:pPr>
        <w:spacing w:after="0" w:line="151" w:lineRule="exact"/>
        <w:rPr>
          <w:rFonts w:ascii="MS PGothic" w:cs="MS PGothic" w:eastAsia="MS PGothic" w:hAnsi="MS PGothic"/>
          <w:sz w:val="15"/>
          <w:szCs w:val="15"/>
          <w:color w:val="005CB9"/>
        </w:rPr>
      </w:pPr>
    </w:p>
    <w:p>
      <w:pPr>
        <w:ind w:left="620" w:right="340" w:hanging="160"/>
        <w:spacing w:after="0" w:line="278" w:lineRule="auto"/>
        <w:tabs>
          <w:tab w:leader="none" w:pos="620" w:val="left"/>
        </w:tabs>
        <w:numPr>
          <w:ilvl w:val="0"/>
          <w:numId w:val="11"/>
        </w:numPr>
        <w:rPr>
          <w:rFonts w:ascii="MS PGothic" w:cs="MS PGothic" w:eastAsia="MS PGothic" w:hAnsi="MS PGothic"/>
          <w:sz w:val="15"/>
          <w:szCs w:val="15"/>
          <w:color w:val="005CB9"/>
        </w:rPr>
      </w:pPr>
      <w:r>
        <w:rPr>
          <w:rFonts w:ascii="Arial" w:cs="Arial" w:eastAsia="Arial" w:hAnsi="Arial"/>
          <w:sz w:val="15"/>
          <w:szCs w:val="15"/>
          <w:color w:val="auto"/>
        </w:rPr>
        <w:t>Annual self-evaluations by the Board of Directors and its committees, as well as biennial individual interviews of each director by an outside third party</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168" w:hanging="168"/>
        <w:spacing w:after="0"/>
        <w:tabs>
          <w:tab w:leader="none" w:pos="168" w:val="left"/>
        </w:tabs>
        <w:numPr>
          <w:ilvl w:val="0"/>
          <w:numId w:val="12"/>
        </w:numPr>
        <w:rPr>
          <w:rFonts w:ascii="MS PGothic" w:cs="MS PGothic" w:eastAsia="MS PGothic" w:hAnsi="MS PGothic"/>
          <w:sz w:val="16"/>
          <w:szCs w:val="16"/>
          <w:color w:val="005CB9"/>
        </w:rPr>
      </w:pPr>
      <w:r>
        <w:rPr>
          <w:rFonts w:ascii="Arial" w:cs="Arial" w:eastAsia="Arial" w:hAnsi="Arial"/>
          <w:sz w:val="16"/>
          <w:szCs w:val="16"/>
          <w:color w:val="auto"/>
        </w:rPr>
        <w:t>Majority vote standard for uncontested director elections</w:t>
      </w:r>
    </w:p>
    <w:p>
      <w:pPr>
        <w:spacing w:after="0" w:line="140" w:lineRule="exact"/>
        <w:rPr>
          <w:rFonts w:ascii="MS PGothic" w:cs="MS PGothic" w:eastAsia="MS PGothic" w:hAnsi="MS PGothic"/>
          <w:sz w:val="16"/>
          <w:szCs w:val="16"/>
          <w:color w:val="005CB9"/>
        </w:rPr>
      </w:pPr>
    </w:p>
    <w:p>
      <w:pPr>
        <w:ind w:left="168" w:hanging="168"/>
        <w:spacing w:after="0" w:line="260" w:lineRule="auto"/>
        <w:tabs>
          <w:tab w:leader="none" w:pos="168" w:val="left"/>
        </w:tabs>
        <w:numPr>
          <w:ilvl w:val="0"/>
          <w:numId w:val="12"/>
        </w:numPr>
        <w:rPr>
          <w:rFonts w:ascii="MS PGothic" w:cs="MS PGothic" w:eastAsia="MS PGothic" w:hAnsi="MS PGothic"/>
          <w:sz w:val="16"/>
          <w:szCs w:val="16"/>
          <w:color w:val="005CB9"/>
        </w:rPr>
      </w:pPr>
      <w:r>
        <w:rPr>
          <w:rFonts w:ascii="Arial" w:cs="Arial" w:eastAsia="Arial" w:hAnsi="Arial"/>
          <w:sz w:val="16"/>
          <w:szCs w:val="16"/>
          <w:color w:val="auto"/>
        </w:rPr>
        <w:t>7 out of 8 current director nominees are independent (all except our Chairman and CEO)</w:t>
      </w:r>
    </w:p>
    <w:p>
      <w:pPr>
        <w:spacing w:after="0" w:line="100" w:lineRule="exact"/>
        <w:rPr>
          <w:rFonts w:ascii="MS PGothic" w:cs="MS PGothic" w:eastAsia="MS PGothic" w:hAnsi="MS PGothic"/>
          <w:sz w:val="16"/>
          <w:szCs w:val="16"/>
          <w:color w:val="005CB9"/>
        </w:rPr>
      </w:pPr>
    </w:p>
    <w:p>
      <w:pPr>
        <w:ind w:left="168" w:right="40" w:hanging="168"/>
        <w:spacing w:after="0" w:line="260" w:lineRule="auto"/>
        <w:tabs>
          <w:tab w:leader="none" w:pos="168" w:val="left"/>
        </w:tabs>
        <w:numPr>
          <w:ilvl w:val="0"/>
          <w:numId w:val="12"/>
        </w:numPr>
        <w:rPr>
          <w:rFonts w:ascii="MS PGothic" w:cs="MS PGothic" w:eastAsia="MS PGothic" w:hAnsi="MS PGothic"/>
          <w:sz w:val="16"/>
          <w:szCs w:val="16"/>
          <w:color w:val="005CB9"/>
        </w:rPr>
      </w:pPr>
      <w:r>
        <w:rPr>
          <w:rFonts w:ascii="Arial" w:cs="Arial" w:eastAsia="Arial" w:hAnsi="Arial"/>
          <w:sz w:val="16"/>
          <w:szCs w:val="16"/>
          <w:color w:val="auto"/>
        </w:rPr>
        <w:t>Board membership marked by diversity, leadership and a variety of perspectives</w:t>
      </w:r>
    </w:p>
    <w:p>
      <w:pPr>
        <w:spacing w:after="0" w:line="100" w:lineRule="exact"/>
        <w:rPr>
          <w:rFonts w:ascii="MS PGothic" w:cs="MS PGothic" w:eastAsia="MS PGothic" w:hAnsi="MS PGothic"/>
          <w:sz w:val="16"/>
          <w:szCs w:val="16"/>
          <w:color w:val="005CB9"/>
        </w:rPr>
      </w:pPr>
    </w:p>
    <w:p>
      <w:pPr>
        <w:ind w:left="168" w:right="420" w:hanging="168"/>
        <w:spacing w:after="0" w:line="253" w:lineRule="auto"/>
        <w:tabs>
          <w:tab w:leader="none" w:pos="168" w:val="left"/>
        </w:tabs>
        <w:numPr>
          <w:ilvl w:val="0"/>
          <w:numId w:val="12"/>
        </w:numPr>
        <w:rPr>
          <w:rFonts w:ascii="MS PGothic" w:cs="MS PGothic" w:eastAsia="MS PGothic" w:hAnsi="MS PGothic"/>
          <w:sz w:val="16"/>
          <w:szCs w:val="16"/>
          <w:color w:val="005CB9"/>
        </w:rPr>
      </w:pPr>
      <w:r>
        <w:rPr>
          <w:rFonts w:ascii="Arial" w:cs="Arial" w:eastAsia="Arial" w:hAnsi="Arial"/>
          <w:sz w:val="16"/>
          <w:szCs w:val="16"/>
          <w:color w:val="auto"/>
        </w:rPr>
        <w:t>Annual performance review of Chairman and CEO and other members of the executive management team by independent directors</w:t>
      </w:r>
    </w:p>
    <w:p>
      <w:pPr>
        <w:spacing w:after="0" w:line="200" w:lineRule="exact"/>
        <w:rPr>
          <w:sz w:val="20"/>
          <w:szCs w:val="20"/>
          <w:color w:val="auto"/>
        </w:rPr>
      </w:pPr>
    </w:p>
    <w:p>
      <w:pPr>
        <w:sectPr>
          <w:pgSz w:w="11900" w:h="16838" w:orient="portrait"/>
          <w:cols w:equalWidth="0" w:num="2">
            <w:col w:w="5260" w:space="632"/>
            <w:col w:w="4988"/>
          </w:cols>
          <w:pgMar w:left="320" w:top="459" w:right="699" w:bottom="1440" w:gutter="0" w:footer="0" w:header="0"/>
          <w:type w:val="continuous"/>
        </w:sectPr>
      </w:pPr>
    </w:p>
    <w:p>
      <w:pPr>
        <w:spacing w:after="0" w:line="319"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320"/>
        <w:spacing w:after="0"/>
        <w:tabs>
          <w:tab w:leader="none" w:pos="4600" w:val="left"/>
          <w:tab w:leader="none" w:pos="9020" w:val="left"/>
        </w:tabs>
        <w:rPr>
          <w:sz w:val="20"/>
          <w:szCs w:val="20"/>
          <w:color w:val="auto"/>
        </w:rPr>
      </w:pPr>
      <w:r>
        <w:rPr>
          <w:rFonts w:ascii="Arial" w:cs="Arial" w:eastAsia="Arial" w:hAnsi="Arial"/>
          <w:sz w:val="16"/>
          <w:szCs w:val="16"/>
          <w:b w:val="1"/>
          <w:bCs w:val="1"/>
          <w:color w:val="auto"/>
        </w:rPr>
        <w:t>Age</w:t>
      </w:r>
      <w:r>
        <w:rPr>
          <w:sz w:val="20"/>
          <w:szCs w:val="20"/>
          <w:color w:val="auto"/>
        </w:rPr>
        <w:tab/>
      </w:r>
      <w:r>
        <w:rPr>
          <w:rFonts w:ascii="Arial" w:cs="Arial" w:eastAsia="Arial" w:hAnsi="Arial"/>
          <w:sz w:val="16"/>
          <w:szCs w:val="16"/>
          <w:b w:val="1"/>
          <w:bCs w:val="1"/>
          <w:color w:val="auto"/>
        </w:rPr>
        <w:t>Independence</w:t>
      </w:r>
      <w:r>
        <w:rPr>
          <w:sz w:val="20"/>
          <w:szCs w:val="20"/>
          <w:color w:val="auto"/>
        </w:rPr>
        <w:tab/>
      </w:r>
      <w:r>
        <w:rPr>
          <w:rFonts w:ascii="Arial" w:cs="Arial" w:eastAsia="Arial" w:hAnsi="Arial"/>
          <w:sz w:val="15"/>
          <w:szCs w:val="15"/>
          <w:b w:val="1"/>
          <w:bCs w:val="1"/>
          <w:color w:val="auto"/>
        </w:rPr>
        <w:t>Tenure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Age</w:t>
      </w:r>
    </w:p>
    <w:p>
      <w:pPr>
        <w:spacing w:after="0" w:line="25" w:lineRule="exact"/>
        <w:rPr>
          <w:sz w:val="20"/>
          <w:szCs w:val="20"/>
          <w:color w:val="auto"/>
        </w:rPr>
      </w:pPr>
    </w:p>
    <w:p>
      <w:pPr>
        <w:ind w:left="820"/>
        <w:spacing w:after="0"/>
        <w:tabs>
          <w:tab w:leader="none" w:pos="9020" w:val="left"/>
        </w:tabs>
        <w:rPr>
          <w:sz w:val="20"/>
          <w:szCs w:val="20"/>
          <w:color w:val="auto"/>
        </w:rPr>
      </w:pPr>
      <w:r>
        <w:rPr>
          <w:rFonts w:ascii="Arial" w:cs="Arial" w:eastAsia="Arial" w:hAnsi="Arial"/>
          <w:sz w:val="16"/>
          <w:szCs w:val="16"/>
          <w:b w:val="1"/>
          <w:bCs w:val="1"/>
          <w:color w:val="005CB9"/>
        </w:rPr>
        <w:t>~61 (On Average)</w:t>
      </w:r>
      <w:r>
        <w:rPr>
          <w:sz w:val="20"/>
          <w:szCs w:val="20"/>
          <w:color w:val="auto"/>
        </w:rPr>
        <w:tab/>
      </w:r>
      <w:r>
        <w:rPr>
          <w:rFonts w:ascii="Arial" w:cs="Arial" w:eastAsia="Arial" w:hAnsi="Arial"/>
          <w:sz w:val="15"/>
          <w:szCs w:val="15"/>
          <w:b w:val="1"/>
          <w:bCs w:val="1"/>
          <w:color w:val="auto"/>
        </w:rPr>
        <w:t>Tenure</w:t>
      </w:r>
    </w:p>
    <w:p>
      <w:pPr>
        <w:spacing w:after="0" w:line="19" w:lineRule="exact"/>
        <w:rPr>
          <w:sz w:val="20"/>
          <w:szCs w:val="20"/>
          <w:color w:val="auto"/>
        </w:rPr>
      </w:pPr>
    </w:p>
    <w:p>
      <w:pPr>
        <w:jc w:val="right"/>
        <w:ind w:right="720"/>
        <w:spacing w:after="0"/>
        <w:rPr>
          <w:sz w:val="20"/>
          <w:szCs w:val="20"/>
          <w:color w:val="auto"/>
        </w:rPr>
      </w:pPr>
      <w:r>
        <w:rPr>
          <w:rFonts w:ascii="Arial" w:cs="Arial" w:eastAsia="Arial" w:hAnsi="Arial"/>
          <w:sz w:val="16"/>
          <w:szCs w:val="16"/>
          <w:b w:val="1"/>
          <w:bCs w:val="1"/>
          <w:color w:val="005CB9"/>
        </w:rPr>
        <w:t>~8 years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559435</wp:posOffset>
            </wp:positionV>
            <wp:extent cx="291465"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0" w:hanging="404"/>
        <w:spacing w:after="0"/>
        <w:tabs>
          <w:tab w:leader="none" w:pos="520" w:val="left"/>
        </w:tabs>
        <w:numPr>
          <w:ilvl w:val="0"/>
          <w:numId w:val="13"/>
        </w:numPr>
        <w:rPr>
          <w:rFonts w:ascii="Arial" w:cs="Arial" w:eastAsia="Arial" w:hAnsi="Arial"/>
          <w:sz w:val="16"/>
          <w:szCs w:val="16"/>
          <w:b w:val="1"/>
          <w:bCs w:val="1"/>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880"/>
          </w:cols>
          <w:pgMar w:left="320" w:top="459" w:right="6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205740</wp:posOffset>
            </wp:positionV>
            <wp:extent cx="160274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02740" cy="145415"/>
                    </a:xfrm>
                    <a:prstGeom prst="rect">
                      <a:avLst/>
                    </a:prstGeom>
                    <a:noFill/>
                  </pic:spPr>
                </pic:pic>
              </a:graphicData>
            </a:graphic>
          </wp:anchor>
        </w:drawing>
      </w:r>
    </w:p>
    <w:p>
      <w:pPr>
        <w:spacing w:after="0" w:line="331"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005CB9"/>
        </w:rPr>
        <w:t>P</w:t>
      </w:r>
      <w:r>
        <w:rPr>
          <w:rFonts w:ascii="Arial" w:cs="Arial" w:eastAsia="Arial" w:hAnsi="Arial"/>
          <w:sz w:val="11"/>
          <w:szCs w:val="11"/>
          <w:b w:val="1"/>
          <w:bCs w:val="1"/>
          <w:color w:val="005CB9"/>
        </w:rPr>
        <w:t>ROXY</w:t>
      </w:r>
      <w:r>
        <w:rPr>
          <w:rFonts w:ascii="Arial" w:cs="Arial" w:eastAsia="Arial" w:hAnsi="Arial"/>
          <w:sz w:val="14"/>
          <w:szCs w:val="14"/>
          <w:b w:val="1"/>
          <w:bCs w:val="1"/>
          <w:color w:val="005CB9"/>
        </w:rPr>
        <w:t xml:space="preserve"> S</w:t>
      </w:r>
      <w:r>
        <w:rPr>
          <w:rFonts w:ascii="Arial" w:cs="Arial" w:eastAsia="Arial" w:hAnsi="Arial"/>
          <w:sz w:val="11"/>
          <w:szCs w:val="11"/>
          <w:b w:val="1"/>
          <w:bCs w:val="1"/>
          <w:color w:val="005CB9"/>
        </w:rPr>
        <w:t>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118110</wp:posOffset>
            </wp:positionV>
            <wp:extent cx="6998970" cy="58248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34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1560" w:type="dxa"/>
            <w:vAlign w:val="bottom"/>
            <w:shd w:val="clear" w:color="auto" w:fill="005CB9"/>
          </w:tcPr>
          <w:p>
            <w:pPr>
              <w:spacing w:after="0"/>
              <w:rPr>
                <w:sz w:val="13"/>
                <w:szCs w:val="13"/>
                <w:color w:val="auto"/>
              </w:rPr>
            </w:pPr>
          </w:p>
        </w:tc>
        <w:tc>
          <w:tcPr>
            <w:tcW w:w="460" w:type="dxa"/>
            <w:vAlign w:val="bottom"/>
            <w:shd w:val="clear" w:color="auto" w:fill="005CB9"/>
          </w:tcPr>
          <w:p>
            <w:pPr>
              <w:spacing w:after="0"/>
              <w:rPr>
                <w:sz w:val="13"/>
                <w:szCs w:val="13"/>
                <w:color w:val="auto"/>
              </w:rPr>
            </w:pPr>
          </w:p>
        </w:tc>
        <w:tc>
          <w:tcPr>
            <w:tcW w:w="880" w:type="dxa"/>
            <w:vAlign w:val="bottom"/>
            <w:shd w:val="clear" w:color="auto" w:fill="005CB9"/>
          </w:tcPr>
          <w:p>
            <w:pPr>
              <w:spacing w:after="0"/>
              <w:rPr>
                <w:sz w:val="13"/>
                <w:szCs w:val="13"/>
                <w:color w:val="auto"/>
              </w:rPr>
            </w:pPr>
          </w:p>
        </w:tc>
        <w:tc>
          <w:tcPr>
            <w:tcW w:w="2680" w:type="dxa"/>
            <w:vAlign w:val="bottom"/>
            <w:shd w:val="clear" w:color="auto" w:fill="005CB9"/>
          </w:tcPr>
          <w:p>
            <w:pPr>
              <w:spacing w:after="0"/>
              <w:rPr>
                <w:sz w:val="13"/>
                <w:szCs w:val="13"/>
                <w:color w:val="auto"/>
              </w:rPr>
            </w:pPr>
          </w:p>
        </w:tc>
        <w:tc>
          <w:tcPr>
            <w:tcW w:w="1360" w:type="dxa"/>
            <w:vAlign w:val="bottom"/>
            <w:shd w:val="clear" w:color="auto" w:fill="005CB9"/>
          </w:tcPr>
          <w:p>
            <w:pPr>
              <w:spacing w:after="0"/>
              <w:rPr>
                <w:sz w:val="13"/>
                <w:szCs w:val="13"/>
                <w:color w:val="auto"/>
              </w:rPr>
            </w:pPr>
          </w:p>
        </w:tc>
        <w:tc>
          <w:tcPr>
            <w:tcW w:w="600" w:type="dxa"/>
            <w:vAlign w:val="bottom"/>
            <w:vMerge w:val="restart"/>
            <w:shd w:val="clear" w:color="auto" w:fill="005CB9"/>
          </w:tcPr>
          <w:p>
            <w:pPr>
              <w:jc w:val="center"/>
              <w:spacing w:after="0"/>
              <w:rPr>
                <w:sz w:val="20"/>
                <w:szCs w:val="20"/>
                <w:color w:val="auto"/>
              </w:rPr>
            </w:pPr>
            <w:r>
              <w:rPr>
                <w:rFonts w:ascii="Arial" w:cs="Arial" w:eastAsia="Arial" w:hAnsi="Arial"/>
                <w:sz w:val="13"/>
                <w:szCs w:val="13"/>
                <w:b w:val="1"/>
                <w:bCs w:val="1"/>
                <w:color w:val="FFFFFF"/>
                <w:w w:val="97"/>
              </w:rPr>
              <w:t>Other</w:t>
            </w:r>
          </w:p>
        </w:tc>
        <w:tc>
          <w:tcPr>
            <w:tcW w:w="500" w:type="dxa"/>
            <w:vAlign w:val="bottom"/>
            <w:shd w:val="clear" w:color="auto" w:fill="005CB9"/>
          </w:tcPr>
          <w:p>
            <w:pPr>
              <w:spacing w:after="0"/>
              <w:rPr>
                <w:sz w:val="13"/>
                <w:szCs w:val="13"/>
                <w:color w:val="auto"/>
              </w:rPr>
            </w:pPr>
          </w:p>
        </w:tc>
        <w:tc>
          <w:tcPr>
            <w:tcW w:w="1900" w:type="dxa"/>
            <w:vAlign w:val="bottom"/>
            <w:gridSpan w:val="2"/>
            <w:shd w:val="clear" w:color="auto" w:fill="005CB9"/>
          </w:tcPr>
          <w:p>
            <w:pPr>
              <w:ind w:left="340"/>
              <w:spacing w:after="0"/>
              <w:rPr>
                <w:sz w:val="20"/>
                <w:szCs w:val="20"/>
                <w:color w:val="auto"/>
              </w:rPr>
            </w:pPr>
            <w:r>
              <w:rPr>
                <w:rFonts w:ascii="Arial" w:cs="Arial" w:eastAsia="Arial" w:hAnsi="Arial"/>
                <w:sz w:val="13"/>
                <w:szCs w:val="13"/>
                <w:b w:val="1"/>
                <w:bCs w:val="1"/>
                <w:color w:val="FFFFFF"/>
                <w:w w:val="99"/>
              </w:rPr>
              <w:t>Committee Memberships</w:t>
            </w:r>
          </w:p>
        </w:tc>
        <w:tc>
          <w:tcPr>
            <w:tcW w:w="70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560" w:type="dxa"/>
            <w:vAlign w:val="bottom"/>
            <w:shd w:val="clear" w:color="auto" w:fill="005CB9"/>
          </w:tcPr>
          <w:p>
            <w:pPr>
              <w:spacing w:after="0"/>
              <w:rPr>
                <w:sz w:val="9"/>
                <w:szCs w:val="9"/>
                <w:color w:val="auto"/>
              </w:rPr>
            </w:pPr>
          </w:p>
        </w:tc>
        <w:tc>
          <w:tcPr>
            <w:tcW w:w="460" w:type="dxa"/>
            <w:vAlign w:val="bottom"/>
            <w:shd w:val="clear" w:color="auto" w:fill="005CB9"/>
          </w:tcPr>
          <w:p>
            <w:pPr>
              <w:spacing w:after="0"/>
              <w:rPr>
                <w:sz w:val="9"/>
                <w:szCs w:val="9"/>
                <w:color w:val="auto"/>
              </w:rPr>
            </w:pPr>
          </w:p>
        </w:tc>
        <w:tc>
          <w:tcPr>
            <w:tcW w:w="880" w:type="dxa"/>
            <w:vAlign w:val="bottom"/>
            <w:shd w:val="clear" w:color="auto" w:fill="005CB9"/>
          </w:tcPr>
          <w:p>
            <w:pPr>
              <w:spacing w:after="0"/>
              <w:rPr>
                <w:sz w:val="9"/>
                <w:szCs w:val="9"/>
                <w:color w:val="auto"/>
              </w:rPr>
            </w:pPr>
          </w:p>
        </w:tc>
        <w:tc>
          <w:tcPr>
            <w:tcW w:w="2680" w:type="dxa"/>
            <w:vAlign w:val="bottom"/>
            <w:shd w:val="clear" w:color="auto" w:fill="005CB9"/>
          </w:tcPr>
          <w:p>
            <w:pPr>
              <w:spacing w:after="0"/>
              <w:rPr>
                <w:sz w:val="9"/>
                <w:szCs w:val="9"/>
                <w:color w:val="auto"/>
              </w:rPr>
            </w:pPr>
          </w:p>
        </w:tc>
        <w:tc>
          <w:tcPr>
            <w:tcW w:w="1360" w:type="dxa"/>
            <w:vAlign w:val="bottom"/>
            <w:shd w:val="clear" w:color="auto" w:fill="005CB9"/>
          </w:tcPr>
          <w:p>
            <w:pPr>
              <w:spacing w:after="0"/>
              <w:rPr>
                <w:sz w:val="9"/>
                <w:szCs w:val="9"/>
                <w:color w:val="auto"/>
              </w:rPr>
            </w:pPr>
          </w:p>
        </w:tc>
        <w:tc>
          <w:tcPr>
            <w:tcW w:w="600" w:type="dxa"/>
            <w:vAlign w:val="bottom"/>
            <w:vMerge w:val="continue"/>
            <w:shd w:val="clear" w:color="auto" w:fill="005CB9"/>
          </w:tcPr>
          <w:p>
            <w:pPr>
              <w:spacing w:after="0"/>
              <w:rPr>
                <w:sz w:val="9"/>
                <w:szCs w:val="9"/>
                <w:color w:val="auto"/>
              </w:rPr>
            </w:pPr>
          </w:p>
        </w:tc>
        <w:tc>
          <w:tcPr>
            <w:tcW w:w="500" w:type="dxa"/>
            <w:vAlign w:val="bottom"/>
            <w:shd w:val="clear" w:color="auto" w:fill="005CB9"/>
          </w:tcPr>
          <w:p>
            <w:pPr>
              <w:spacing w:after="0"/>
              <w:rPr>
                <w:sz w:val="9"/>
                <w:szCs w:val="9"/>
                <w:color w:val="auto"/>
              </w:rPr>
            </w:pPr>
          </w:p>
        </w:tc>
        <w:tc>
          <w:tcPr>
            <w:tcW w:w="1040" w:type="dxa"/>
            <w:vAlign w:val="bottom"/>
            <w:shd w:val="clear" w:color="auto" w:fill="005CB9"/>
          </w:tcPr>
          <w:p>
            <w:pPr>
              <w:spacing w:after="0"/>
              <w:rPr>
                <w:sz w:val="9"/>
                <w:szCs w:val="9"/>
                <w:color w:val="auto"/>
              </w:rPr>
            </w:pPr>
          </w:p>
        </w:tc>
        <w:tc>
          <w:tcPr>
            <w:tcW w:w="860" w:type="dxa"/>
            <w:vAlign w:val="bottom"/>
            <w:shd w:val="clear" w:color="auto" w:fill="005CB9"/>
          </w:tcPr>
          <w:p>
            <w:pPr>
              <w:spacing w:after="0"/>
              <w:rPr>
                <w:sz w:val="9"/>
                <w:szCs w:val="9"/>
                <w:color w:val="auto"/>
              </w:rPr>
            </w:pPr>
          </w:p>
        </w:tc>
        <w:tc>
          <w:tcPr>
            <w:tcW w:w="700" w:type="dxa"/>
            <w:vAlign w:val="bottom"/>
            <w:shd w:val="clear" w:color="auto" w:fill="005CB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005CB9"/>
          </w:tcPr>
          <w:p>
            <w:pPr>
              <w:spacing w:after="0"/>
              <w:rPr>
                <w:sz w:val="11"/>
                <w:szCs w:val="11"/>
                <w:color w:val="auto"/>
              </w:rPr>
            </w:pPr>
          </w:p>
        </w:tc>
        <w:tc>
          <w:tcPr>
            <w:tcW w:w="460" w:type="dxa"/>
            <w:vAlign w:val="bottom"/>
            <w:shd w:val="clear" w:color="auto" w:fill="005CB9"/>
          </w:tcPr>
          <w:p>
            <w:pPr>
              <w:spacing w:after="0"/>
              <w:rPr>
                <w:sz w:val="11"/>
                <w:szCs w:val="11"/>
                <w:color w:val="auto"/>
              </w:rPr>
            </w:pPr>
          </w:p>
        </w:tc>
        <w:tc>
          <w:tcPr>
            <w:tcW w:w="880" w:type="dxa"/>
            <w:vAlign w:val="bottom"/>
            <w:shd w:val="clear" w:color="auto" w:fill="005CB9"/>
          </w:tcPr>
          <w:p>
            <w:pPr>
              <w:jc w:val="center"/>
              <w:spacing w:after="0" w:line="135" w:lineRule="exact"/>
              <w:rPr>
                <w:sz w:val="20"/>
                <w:szCs w:val="20"/>
                <w:color w:val="auto"/>
              </w:rPr>
            </w:pPr>
            <w:r>
              <w:rPr>
                <w:rFonts w:ascii="Arial" w:cs="Arial" w:eastAsia="Arial" w:hAnsi="Arial"/>
                <w:sz w:val="13"/>
                <w:szCs w:val="13"/>
                <w:b w:val="1"/>
                <w:bCs w:val="1"/>
                <w:color w:val="FFFFFF"/>
                <w:w w:val="96"/>
              </w:rPr>
              <w:t>Director</w:t>
            </w:r>
          </w:p>
        </w:tc>
        <w:tc>
          <w:tcPr>
            <w:tcW w:w="2680" w:type="dxa"/>
            <w:vAlign w:val="bottom"/>
            <w:shd w:val="clear" w:color="auto" w:fill="005CB9"/>
          </w:tcPr>
          <w:p>
            <w:pPr>
              <w:spacing w:after="0"/>
              <w:rPr>
                <w:sz w:val="11"/>
                <w:szCs w:val="11"/>
                <w:color w:val="auto"/>
              </w:rPr>
            </w:pPr>
          </w:p>
        </w:tc>
        <w:tc>
          <w:tcPr>
            <w:tcW w:w="1360" w:type="dxa"/>
            <w:vAlign w:val="bottom"/>
            <w:shd w:val="clear" w:color="auto" w:fill="005CB9"/>
          </w:tcPr>
          <w:p>
            <w:pPr>
              <w:spacing w:after="0"/>
              <w:rPr>
                <w:sz w:val="11"/>
                <w:szCs w:val="11"/>
                <w:color w:val="auto"/>
              </w:rPr>
            </w:pPr>
          </w:p>
        </w:tc>
        <w:tc>
          <w:tcPr>
            <w:tcW w:w="600" w:type="dxa"/>
            <w:vAlign w:val="bottom"/>
            <w:shd w:val="clear" w:color="auto" w:fill="005CB9"/>
          </w:tcPr>
          <w:p>
            <w:pPr>
              <w:jc w:val="center"/>
              <w:spacing w:after="0" w:line="135" w:lineRule="exact"/>
              <w:rPr>
                <w:sz w:val="20"/>
                <w:szCs w:val="20"/>
                <w:color w:val="auto"/>
              </w:rPr>
            </w:pPr>
            <w:r>
              <w:rPr>
                <w:rFonts w:ascii="Arial" w:cs="Arial" w:eastAsia="Arial" w:hAnsi="Arial"/>
                <w:sz w:val="13"/>
                <w:szCs w:val="13"/>
                <w:b w:val="1"/>
                <w:bCs w:val="1"/>
                <w:color w:val="FFFFFF"/>
                <w:w w:val="97"/>
              </w:rPr>
              <w:t>Public</w:t>
            </w:r>
          </w:p>
        </w:tc>
        <w:tc>
          <w:tcPr>
            <w:tcW w:w="500" w:type="dxa"/>
            <w:vAlign w:val="bottom"/>
            <w:shd w:val="clear" w:color="auto" w:fill="005CB9"/>
          </w:tcPr>
          <w:p>
            <w:pPr>
              <w:spacing w:after="0"/>
              <w:rPr>
                <w:sz w:val="11"/>
                <w:szCs w:val="11"/>
                <w:color w:val="auto"/>
              </w:rPr>
            </w:pPr>
          </w:p>
        </w:tc>
        <w:tc>
          <w:tcPr>
            <w:tcW w:w="1040" w:type="dxa"/>
            <w:vAlign w:val="bottom"/>
            <w:shd w:val="clear" w:color="auto" w:fill="005CB9"/>
          </w:tcPr>
          <w:p>
            <w:pPr>
              <w:spacing w:after="0"/>
              <w:rPr>
                <w:sz w:val="11"/>
                <w:szCs w:val="11"/>
                <w:color w:val="auto"/>
              </w:rPr>
            </w:pPr>
          </w:p>
        </w:tc>
        <w:tc>
          <w:tcPr>
            <w:tcW w:w="860" w:type="dxa"/>
            <w:vAlign w:val="bottom"/>
            <w:shd w:val="clear" w:color="auto" w:fill="005CB9"/>
          </w:tcPr>
          <w:p>
            <w:pPr>
              <w:jc w:val="center"/>
              <w:spacing w:after="0" w:line="135" w:lineRule="exact"/>
              <w:rPr>
                <w:sz w:val="20"/>
                <w:szCs w:val="20"/>
                <w:color w:val="auto"/>
              </w:rPr>
            </w:pPr>
            <w:r>
              <w:rPr>
                <w:rFonts w:ascii="Arial" w:cs="Arial" w:eastAsia="Arial" w:hAnsi="Arial"/>
                <w:sz w:val="13"/>
                <w:szCs w:val="13"/>
                <w:b w:val="1"/>
                <w:bCs w:val="1"/>
                <w:color w:val="FFFFFF"/>
                <w:w w:val="96"/>
              </w:rPr>
              <w:t>Corporate</w:t>
            </w:r>
          </w:p>
        </w:tc>
        <w:tc>
          <w:tcPr>
            <w:tcW w:w="700" w:type="dxa"/>
            <w:vAlign w:val="bottom"/>
            <w:shd w:val="clear" w:color="auto" w:fill="005CB9"/>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60" w:type="dxa"/>
            <w:vAlign w:val="bottom"/>
            <w:shd w:val="clear" w:color="auto" w:fill="005CB9"/>
          </w:tcPr>
          <w:p>
            <w:pPr>
              <w:ind w:left="80"/>
              <w:spacing w:after="0"/>
              <w:rPr>
                <w:sz w:val="20"/>
                <w:szCs w:val="20"/>
                <w:color w:val="auto"/>
              </w:rPr>
            </w:pPr>
            <w:r>
              <w:rPr>
                <w:rFonts w:ascii="Arial" w:cs="Arial" w:eastAsia="Arial" w:hAnsi="Arial"/>
                <w:sz w:val="13"/>
                <w:szCs w:val="13"/>
                <w:b w:val="1"/>
                <w:bCs w:val="1"/>
                <w:color w:val="FFFFFF"/>
              </w:rPr>
              <w:t>Name</w:t>
            </w:r>
          </w:p>
        </w:tc>
        <w:tc>
          <w:tcPr>
            <w:tcW w:w="46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7"/>
              </w:rPr>
              <w:t>Age</w:t>
            </w:r>
          </w:p>
        </w:tc>
        <w:tc>
          <w:tcPr>
            <w:tcW w:w="88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7"/>
              </w:rPr>
              <w:t>Since</w:t>
            </w:r>
          </w:p>
        </w:tc>
        <w:tc>
          <w:tcPr>
            <w:tcW w:w="2680" w:type="dxa"/>
            <w:vAlign w:val="bottom"/>
            <w:shd w:val="clear" w:color="auto" w:fill="005CB9"/>
          </w:tcPr>
          <w:p>
            <w:pPr>
              <w:ind w:left="920"/>
              <w:spacing w:after="0"/>
              <w:rPr>
                <w:sz w:val="20"/>
                <w:szCs w:val="20"/>
                <w:color w:val="auto"/>
              </w:rPr>
            </w:pPr>
            <w:r>
              <w:rPr>
                <w:rFonts w:ascii="Arial" w:cs="Arial" w:eastAsia="Arial" w:hAnsi="Arial"/>
                <w:sz w:val="13"/>
                <w:szCs w:val="13"/>
                <w:b w:val="1"/>
                <w:bCs w:val="1"/>
                <w:color w:val="FFFFFF"/>
              </w:rPr>
              <w:t>Principal Occupation</w:t>
            </w:r>
          </w:p>
        </w:tc>
        <w:tc>
          <w:tcPr>
            <w:tcW w:w="1360" w:type="dxa"/>
            <w:vAlign w:val="bottom"/>
            <w:shd w:val="clear" w:color="auto" w:fill="005CB9"/>
          </w:tcPr>
          <w:p>
            <w:pPr>
              <w:jc w:val="center"/>
              <w:ind w:left="349"/>
              <w:spacing w:after="0"/>
              <w:rPr>
                <w:sz w:val="20"/>
                <w:szCs w:val="20"/>
                <w:color w:val="auto"/>
              </w:rPr>
            </w:pPr>
            <w:r>
              <w:rPr>
                <w:rFonts w:ascii="Arial" w:cs="Arial" w:eastAsia="Arial" w:hAnsi="Arial"/>
                <w:sz w:val="13"/>
                <w:szCs w:val="13"/>
                <w:b w:val="1"/>
                <w:bCs w:val="1"/>
                <w:color w:val="FFFFFF"/>
                <w:w w:val="95"/>
              </w:rPr>
              <w:t>Independent</w:t>
            </w:r>
          </w:p>
        </w:tc>
        <w:tc>
          <w:tcPr>
            <w:tcW w:w="60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8"/>
              </w:rPr>
              <w:t>Boards</w:t>
            </w:r>
          </w:p>
        </w:tc>
        <w:tc>
          <w:tcPr>
            <w:tcW w:w="50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6"/>
              </w:rPr>
              <w:t>Audit</w:t>
            </w:r>
          </w:p>
        </w:tc>
        <w:tc>
          <w:tcPr>
            <w:tcW w:w="104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5"/>
              </w:rPr>
              <w:t>Compensation</w:t>
            </w:r>
          </w:p>
        </w:tc>
        <w:tc>
          <w:tcPr>
            <w:tcW w:w="86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5"/>
              </w:rPr>
              <w:t>Governance</w:t>
            </w:r>
          </w:p>
        </w:tc>
        <w:tc>
          <w:tcPr>
            <w:tcW w:w="700" w:type="dxa"/>
            <w:vAlign w:val="bottom"/>
            <w:shd w:val="clear" w:color="auto" w:fill="005CB9"/>
          </w:tcPr>
          <w:p>
            <w:pPr>
              <w:ind w:left="40"/>
              <w:spacing w:after="0"/>
              <w:rPr>
                <w:sz w:val="20"/>
                <w:szCs w:val="20"/>
                <w:color w:val="auto"/>
              </w:rPr>
            </w:pPr>
            <w:r>
              <w:rPr>
                <w:rFonts w:ascii="Arial" w:cs="Arial" w:eastAsia="Arial" w:hAnsi="Arial"/>
                <w:sz w:val="13"/>
                <w:szCs w:val="13"/>
                <w:b w:val="1"/>
                <w:bCs w:val="1"/>
                <w:color w:val="FFFFFF"/>
              </w:rPr>
              <w:t>Executive</w:t>
            </w:r>
          </w:p>
        </w:tc>
        <w:tc>
          <w:tcPr>
            <w:tcW w:w="0" w:type="dxa"/>
            <w:vAlign w:val="bottom"/>
          </w:tcPr>
          <w:p>
            <w:pPr>
              <w:spacing w:after="0"/>
              <w:rPr>
                <w:sz w:val="1"/>
                <w:szCs w:val="1"/>
                <w:color w:val="auto"/>
              </w:rPr>
            </w:pPr>
          </w:p>
        </w:tc>
      </w:tr>
      <w:tr>
        <w:trPr>
          <w:trHeight w:val="207"/>
        </w:trPr>
        <w:tc>
          <w:tcPr>
            <w:tcW w:w="156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Michael Dornemann</w:t>
            </w:r>
          </w:p>
        </w:tc>
        <w:tc>
          <w:tcPr>
            <w:tcW w:w="460" w:type="dxa"/>
            <w:vAlign w:val="bottom"/>
            <w:shd w:val="clear" w:color="auto" w:fill="EAEAEA"/>
          </w:tcPr>
          <w:p>
            <w:pPr>
              <w:spacing w:after="0"/>
              <w:rPr>
                <w:sz w:val="18"/>
                <w:szCs w:val="18"/>
                <w:color w:val="auto"/>
              </w:rPr>
            </w:pPr>
          </w:p>
        </w:tc>
        <w:tc>
          <w:tcPr>
            <w:tcW w:w="88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rPr>
              <w:t>March</w:t>
            </w:r>
          </w:p>
        </w:tc>
        <w:tc>
          <w:tcPr>
            <w:tcW w:w="2680" w:type="dxa"/>
            <w:vAlign w:val="bottom"/>
            <w:shd w:val="clear" w:color="auto" w:fill="EAEAEA"/>
          </w:tcPr>
          <w:p>
            <w:pPr>
              <w:ind w:left="80"/>
              <w:spacing w:after="0"/>
              <w:rPr>
                <w:sz w:val="20"/>
                <w:szCs w:val="20"/>
                <w:color w:val="auto"/>
              </w:rPr>
            </w:pPr>
            <w:r>
              <w:rPr>
                <w:rFonts w:ascii="Arial" w:cs="Arial" w:eastAsia="Arial" w:hAnsi="Arial"/>
                <w:sz w:val="14"/>
                <w:szCs w:val="14"/>
                <w:color w:val="auto"/>
              </w:rPr>
              <w:t>Retired Chairman</w:t>
            </w:r>
          </w:p>
        </w:tc>
        <w:tc>
          <w:tcPr>
            <w:tcW w:w="1360" w:type="dxa"/>
            <w:vAlign w:val="bottom"/>
            <w:shd w:val="clear" w:color="auto" w:fill="EAEAEA"/>
          </w:tcPr>
          <w:p>
            <w:pPr>
              <w:spacing w:after="0"/>
              <w:rPr>
                <w:sz w:val="18"/>
                <w:szCs w:val="18"/>
                <w:color w:val="auto"/>
              </w:rPr>
            </w:pPr>
          </w:p>
        </w:tc>
        <w:tc>
          <w:tcPr>
            <w:tcW w:w="600" w:type="dxa"/>
            <w:vAlign w:val="bottom"/>
            <w:shd w:val="clear" w:color="auto" w:fill="EAEAEA"/>
          </w:tcPr>
          <w:p>
            <w:pPr>
              <w:spacing w:after="0"/>
              <w:rPr>
                <w:sz w:val="18"/>
                <w:szCs w:val="18"/>
                <w:color w:val="auto"/>
              </w:rPr>
            </w:pPr>
          </w:p>
        </w:tc>
        <w:tc>
          <w:tcPr>
            <w:tcW w:w="50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860" w:type="dxa"/>
            <w:vAlign w:val="bottom"/>
            <w:shd w:val="clear" w:color="auto" w:fill="EAEAEA"/>
          </w:tcPr>
          <w:p>
            <w:pPr>
              <w:spacing w:after="0"/>
              <w:rPr>
                <w:sz w:val="18"/>
                <w:szCs w:val="18"/>
                <w:color w:val="auto"/>
              </w:rPr>
            </w:pPr>
          </w:p>
        </w:tc>
        <w:tc>
          <w:tcPr>
            <w:tcW w:w="7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560" w:type="dxa"/>
            <w:vAlign w:val="bottom"/>
            <w:vMerge w:val="continue"/>
            <w:shd w:val="clear" w:color="auto" w:fill="EAEAEA"/>
          </w:tcPr>
          <w:p>
            <w:pPr>
              <w:spacing w:after="0"/>
              <w:rPr>
                <w:sz w:val="3"/>
                <w:szCs w:val="3"/>
                <w:color w:val="auto"/>
              </w:rPr>
            </w:pPr>
          </w:p>
        </w:tc>
        <w:tc>
          <w:tcPr>
            <w:tcW w:w="460" w:type="dxa"/>
            <w:vAlign w:val="bottom"/>
            <w:shd w:val="clear" w:color="auto" w:fill="EAEAEA"/>
          </w:tcPr>
          <w:p>
            <w:pPr>
              <w:spacing w:after="0"/>
              <w:rPr>
                <w:sz w:val="3"/>
                <w:szCs w:val="3"/>
                <w:color w:val="auto"/>
              </w:rPr>
            </w:pPr>
          </w:p>
        </w:tc>
        <w:tc>
          <w:tcPr>
            <w:tcW w:w="880" w:type="dxa"/>
            <w:vAlign w:val="bottom"/>
            <w:vMerge w:val="continue"/>
            <w:shd w:val="clear" w:color="auto" w:fill="EAEAEA"/>
          </w:tcPr>
          <w:p>
            <w:pPr>
              <w:spacing w:after="0"/>
              <w:rPr>
                <w:sz w:val="3"/>
                <w:szCs w:val="3"/>
                <w:color w:val="auto"/>
              </w:rPr>
            </w:pPr>
          </w:p>
        </w:tc>
        <w:tc>
          <w:tcPr>
            <w:tcW w:w="2680" w:type="dxa"/>
            <w:vAlign w:val="bottom"/>
            <w:vMerge w:val="restart"/>
            <w:shd w:val="clear" w:color="auto" w:fill="EAEAEA"/>
          </w:tcPr>
          <w:p>
            <w:pPr>
              <w:ind w:left="80"/>
              <w:spacing w:after="0" w:line="149" w:lineRule="exact"/>
              <w:rPr>
                <w:sz w:val="20"/>
                <w:szCs w:val="20"/>
                <w:color w:val="auto"/>
              </w:rPr>
            </w:pPr>
            <w:r>
              <w:rPr>
                <w:rFonts w:ascii="Arial" w:cs="Arial" w:eastAsia="Arial" w:hAnsi="Arial"/>
                <w:sz w:val="14"/>
                <w:szCs w:val="14"/>
                <w:color w:val="auto"/>
              </w:rPr>
              <w:t>and CEO,</w:t>
            </w:r>
          </w:p>
        </w:tc>
        <w:tc>
          <w:tcPr>
            <w:tcW w:w="1360" w:type="dxa"/>
            <w:vAlign w:val="bottom"/>
            <w:shd w:val="clear" w:color="auto" w:fill="EAEAEA"/>
          </w:tcPr>
          <w:p>
            <w:pPr>
              <w:spacing w:after="0"/>
              <w:rPr>
                <w:sz w:val="3"/>
                <w:szCs w:val="3"/>
                <w:color w:val="auto"/>
              </w:rPr>
            </w:pPr>
          </w:p>
        </w:tc>
        <w:tc>
          <w:tcPr>
            <w:tcW w:w="600" w:type="dxa"/>
            <w:vAlign w:val="bottom"/>
            <w:shd w:val="clear" w:color="auto" w:fill="EAEAEA"/>
          </w:tcPr>
          <w:p>
            <w:pPr>
              <w:spacing w:after="0"/>
              <w:rPr>
                <w:sz w:val="3"/>
                <w:szCs w:val="3"/>
                <w:color w:val="auto"/>
              </w:rPr>
            </w:pPr>
          </w:p>
        </w:tc>
        <w:tc>
          <w:tcPr>
            <w:tcW w:w="500" w:type="dxa"/>
            <w:vAlign w:val="bottom"/>
            <w:shd w:val="clear" w:color="auto" w:fill="EAEAEA"/>
          </w:tcPr>
          <w:p>
            <w:pPr>
              <w:spacing w:after="0"/>
              <w:rPr>
                <w:sz w:val="3"/>
                <w:szCs w:val="3"/>
                <w:color w:val="auto"/>
              </w:rPr>
            </w:pPr>
          </w:p>
        </w:tc>
        <w:tc>
          <w:tcPr>
            <w:tcW w:w="1040" w:type="dxa"/>
            <w:vAlign w:val="bottom"/>
            <w:shd w:val="clear" w:color="auto" w:fill="EAEAEA"/>
          </w:tcPr>
          <w:p>
            <w:pPr>
              <w:spacing w:after="0"/>
              <w:rPr>
                <w:sz w:val="3"/>
                <w:szCs w:val="3"/>
                <w:color w:val="auto"/>
              </w:rPr>
            </w:pPr>
          </w:p>
        </w:tc>
        <w:tc>
          <w:tcPr>
            <w:tcW w:w="860" w:type="dxa"/>
            <w:vAlign w:val="bottom"/>
            <w:shd w:val="clear" w:color="auto" w:fill="EAEAEA"/>
          </w:tcPr>
          <w:p>
            <w:pPr>
              <w:spacing w:after="0"/>
              <w:rPr>
                <w:sz w:val="3"/>
                <w:szCs w:val="3"/>
                <w:color w:val="auto"/>
              </w:rPr>
            </w:pPr>
          </w:p>
        </w:tc>
        <w:tc>
          <w:tcPr>
            <w:tcW w:w="700" w:type="dxa"/>
            <w:vAlign w:val="bottom"/>
            <w:shd w:val="clear" w:color="auto" w:fill="EAEAEA"/>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1560" w:type="dxa"/>
            <w:vAlign w:val="bottom"/>
            <w:vMerge w:val="restart"/>
            <w:shd w:val="clear" w:color="auto" w:fill="EAEAEA"/>
          </w:tcPr>
          <w:p>
            <w:pPr>
              <w:ind w:left="80"/>
              <w:spacing w:after="0"/>
              <w:rPr>
                <w:sz w:val="20"/>
                <w:szCs w:val="20"/>
                <w:color w:val="auto"/>
              </w:rPr>
            </w:pPr>
            <w:r>
              <w:rPr>
                <w:rFonts w:ascii="Arial" w:cs="Arial" w:eastAsia="Arial" w:hAnsi="Arial"/>
                <w:sz w:val="14"/>
                <w:szCs w:val="14"/>
                <w:i w:val="1"/>
                <w:iCs w:val="1"/>
                <w:color w:val="auto"/>
              </w:rPr>
              <w:t>Lead Independent</w:t>
            </w:r>
          </w:p>
        </w:tc>
        <w:tc>
          <w:tcPr>
            <w:tcW w:w="46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rPr>
              <w:t>74</w:t>
            </w:r>
          </w:p>
        </w:tc>
        <w:tc>
          <w:tcPr>
            <w:tcW w:w="880" w:type="dxa"/>
            <w:vAlign w:val="bottom"/>
            <w:vMerge w:val="continue"/>
            <w:shd w:val="clear" w:color="auto" w:fill="EAEAEA"/>
          </w:tcPr>
          <w:p>
            <w:pPr>
              <w:spacing w:after="0"/>
              <w:rPr>
                <w:sz w:val="9"/>
                <w:szCs w:val="9"/>
                <w:color w:val="auto"/>
              </w:rPr>
            </w:pPr>
          </w:p>
        </w:tc>
        <w:tc>
          <w:tcPr>
            <w:tcW w:w="2680" w:type="dxa"/>
            <w:vAlign w:val="bottom"/>
            <w:vMerge w:val="continue"/>
            <w:shd w:val="clear" w:color="auto" w:fill="EAEAEA"/>
          </w:tcPr>
          <w:p>
            <w:pPr>
              <w:spacing w:after="0"/>
              <w:rPr>
                <w:sz w:val="9"/>
                <w:szCs w:val="9"/>
                <w:color w:val="auto"/>
              </w:rPr>
            </w:pPr>
          </w:p>
        </w:tc>
        <w:tc>
          <w:tcPr>
            <w:tcW w:w="1360" w:type="dxa"/>
            <w:vAlign w:val="bottom"/>
            <w:vMerge w:val="restart"/>
            <w:shd w:val="clear" w:color="auto" w:fill="EAEAEA"/>
          </w:tcPr>
          <w:p>
            <w:pPr>
              <w:jc w:val="center"/>
              <w:ind w:left="349"/>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w w:val="99"/>
              </w:rPr>
              <w:t>—</w:t>
            </w:r>
          </w:p>
        </w:tc>
        <w:tc>
          <w:tcPr>
            <w:tcW w:w="50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w w:val="94"/>
              </w:rPr>
              <w:t>●</w:t>
            </w:r>
          </w:p>
        </w:tc>
        <w:tc>
          <w:tcPr>
            <w:tcW w:w="104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w w:val="94"/>
              </w:rPr>
              <w:t>●</w:t>
            </w:r>
          </w:p>
        </w:tc>
        <w:tc>
          <w:tcPr>
            <w:tcW w:w="70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r>
        <w:trPr>
          <w:trHeight w:val="53"/>
        </w:trPr>
        <w:tc>
          <w:tcPr>
            <w:tcW w:w="1560" w:type="dxa"/>
            <w:vAlign w:val="bottom"/>
            <w:vMerge w:val="continue"/>
            <w:shd w:val="clear" w:color="auto" w:fill="EAEAEA"/>
          </w:tcPr>
          <w:p>
            <w:pPr>
              <w:spacing w:after="0"/>
              <w:rPr>
                <w:sz w:val="4"/>
                <w:szCs w:val="4"/>
                <w:color w:val="auto"/>
              </w:rPr>
            </w:pPr>
          </w:p>
        </w:tc>
        <w:tc>
          <w:tcPr>
            <w:tcW w:w="460" w:type="dxa"/>
            <w:vAlign w:val="bottom"/>
            <w:vMerge w:val="continue"/>
            <w:shd w:val="clear" w:color="auto" w:fill="EAEAEA"/>
          </w:tcPr>
          <w:p>
            <w:pPr>
              <w:spacing w:after="0"/>
              <w:rPr>
                <w:sz w:val="4"/>
                <w:szCs w:val="4"/>
                <w:color w:val="auto"/>
              </w:rPr>
            </w:pPr>
          </w:p>
        </w:tc>
        <w:tc>
          <w:tcPr>
            <w:tcW w:w="88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rPr>
              <w:t>2007</w:t>
            </w:r>
          </w:p>
        </w:tc>
        <w:tc>
          <w:tcPr>
            <w:tcW w:w="268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Bertelsmann</w:t>
            </w:r>
          </w:p>
        </w:tc>
        <w:tc>
          <w:tcPr>
            <w:tcW w:w="1360" w:type="dxa"/>
            <w:vAlign w:val="bottom"/>
            <w:vMerge w:val="continue"/>
            <w:shd w:val="clear" w:color="auto" w:fill="EAEAEA"/>
          </w:tcPr>
          <w:p>
            <w:pPr>
              <w:spacing w:after="0"/>
              <w:rPr>
                <w:sz w:val="4"/>
                <w:szCs w:val="4"/>
                <w:color w:val="auto"/>
              </w:rPr>
            </w:pPr>
          </w:p>
        </w:tc>
        <w:tc>
          <w:tcPr>
            <w:tcW w:w="600" w:type="dxa"/>
            <w:vAlign w:val="bottom"/>
            <w:vMerge w:val="continue"/>
            <w:shd w:val="clear" w:color="auto" w:fill="EAEAEA"/>
          </w:tcPr>
          <w:p>
            <w:pPr>
              <w:spacing w:after="0"/>
              <w:rPr>
                <w:sz w:val="4"/>
                <w:szCs w:val="4"/>
                <w:color w:val="auto"/>
              </w:rPr>
            </w:pPr>
          </w:p>
        </w:tc>
        <w:tc>
          <w:tcPr>
            <w:tcW w:w="500" w:type="dxa"/>
            <w:vAlign w:val="bottom"/>
            <w:vMerge w:val="continue"/>
            <w:shd w:val="clear" w:color="auto" w:fill="EAEAEA"/>
          </w:tcPr>
          <w:p>
            <w:pPr>
              <w:spacing w:after="0"/>
              <w:rPr>
                <w:sz w:val="4"/>
                <w:szCs w:val="4"/>
                <w:color w:val="auto"/>
              </w:rPr>
            </w:pPr>
          </w:p>
        </w:tc>
        <w:tc>
          <w:tcPr>
            <w:tcW w:w="1040" w:type="dxa"/>
            <w:vAlign w:val="bottom"/>
            <w:vMerge w:val="continue"/>
            <w:shd w:val="clear" w:color="auto" w:fill="EAEAEA"/>
          </w:tcPr>
          <w:p>
            <w:pPr>
              <w:spacing w:after="0"/>
              <w:rPr>
                <w:sz w:val="4"/>
                <w:szCs w:val="4"/>
                <w:color w:val="auto"/>
              </w:rPr>
            </w:pPr>
          </w:p>
        </w:tc>
        <w:tc>
          <w:tcPr>
            <w:tcW w:w="860" w:type="dxa"/>
            <w:vAlign w:val="bottom"/>
            <w:vMerge w:val="continue"/>
            <w:shd w:val="clear" w:color="auto" w:fill="EAEAEA"/>
          </w:tcPr>
          <w:p>
            <w:pPr>
              <w:spacing w:after="0"/>
              <w:rPr>
                <w:sz w:val="4"/>
                <w:szCs w:val="4"/>
                <w:color w:val="auto"/>
              </w:rPr>
            </w:pPr>
          </w:p>
        </w:tc>
        <w:tc>
          <w:tcPr>
            <w:tcW w:w="700" w:type="dxa"/>
            <w:vAlign w:val="bottom"/>
            <w:vMerge w:val="continue"/>
            <w:shd w:val="clear" w:color="auto" w:fill="EAEAEA"/>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60" w:type="dxa"/>
            <w:vAlign w:val="bottom"/>
            <w:vMerge w:val="restart"/>
            <w:shd w:val="clear" w:color="auto" w:fill="EAEAEA"/>
          </w:tcPr>
          <w:p>
            <w:pPr>
              <w:ind w:left="80"/>
              <w:spacing w:after="0"/>
              <w:rPr>
                <w:sz w:val="20"/>
                <w:szCs w:val="20"/>
                <w:color w:val="auto"/>
              </w:rPr>
            </w:pPr>
            <w:r>
              <w:rPr>
                <w:rFonts w:ascii="Arial" w:cs="Arial" w:eastAsia="Arial" w:hAnsi="Arial"/>
                <w:sz w:val="14"/>
                <w:szCs w:val="14"/>
                <w:i w:val="1"/>
                <w:iCs w:val="1"/>
                <w:color w:val="auto"/>
              </w:rPr>
              <w:t>Director</w:t>
            </w:r>
          </w:p>
        </w:tc>
        <w:tc>
          <w:tcPr>
            <w:tcW w:w="460" w:type="dxa"/>
            <w:vAlign w:val="bottom"/>
            <w:shd w:val="clear" w:color="auto" w:fill="EAEAEA"/>
          </w:tcPr>
          <w:p>
            <w:pPr>
              <w:spacing w:after="0"/>
              <w:rPr>
                <w:sz w:val="10"/>
                <w:szCs w:val="10"/>
                <w:color w:val="auto"/>
              </w:rPr>
            </w:pPr>
          </w:p>
        </w:tc>
        <w:tc>
          <w:tcPr>
            <w:tcW w:w="880" w:type="dxa"/>
            <w:vAlign w:val="bottom"/>
            <w:vMerge w:val="continue"/>
            <w:shd w:val="clear" w:color="auto" w:fill="EAEAEA"/>
          </w:tcPr>
          <w:p>
            <w:pPr>
              <w:spacing w:after="0"/>
              <w:rPr>
                <w:sz w:val="10"/>
                <w:szCs w:val="10"/>
                <w:color w:val="auto"/>
              </w:rPr>
            </w:pPr>
          </w:p>
        </w:tc>
        <w:tc>
          <w:tcPr>
            <w:tcW w:w="2680" w:type="dxa"/>
            <w:vAlign w:val="bottom"/>
            <w:vMerge w:val="continue"/>
            <w:shd w:val="clear" w:color="auto" w:fill="EAEAEA"/>
          </w:tcPr>
          <w:p>
            <w:pPr>
              <w:spacing w:after="0"/>
              <w:rPr>
                <w:sz w:val="10"/>
                <w:szCs w:val="10"/>
                <w:color w:val="auto"/>
              </w:rPr>
            </w:pPr>
          </w:p>
        </w:tc>
        <w:tc>
          <w:tcPr>
            <w:tcW w:w="1360" w:type="dxa"/>
            <w:vAlign w:val="bottom"/>
            <w:shd w:val="clear" w:color="auto" w:fill="EAEAEA"/>
          </w:tcPr>
          <w:p>
            <w:pPr>
              <w:spacing w:after="0"/>
              <w:rPr>
                <w:sz w:val="10"/>
                <w:szCs w:val="10"/>
                <w:color w:val="auto"/>
              </w:rPr>
            </w:pPr>
          </w:p>
        </w:tc>
        <w:tc>
          <w:tcPr>
            <w:tcW w:w="600" w:type="dxa"/>
            <w:vAlign w:val="bottom"/>
            <w:shd w:val="clear" w:color="auto" w:fill="EAEAEA"/>
          </w:tcPr>
          <w:p>
            <w:pPr>
              <w:spacing w:after="0"/>
              <w:rPr>
                <w:sz w:val="10"/>
                <w:szCs w:val="10"/>
                <w:color w:val="auto"/>
              </w:rPr>
            </w:pPr>
          </w:p>
        </w:tc>
        <w:tc>
          <w:tcPr>
            <w:tcW w:w="50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86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560" w:type="dxa"/>
            <w:vAlign w:val="bottom"/>
            <w:vMerge w:val="continue"/>
            <w:shd w:val="clear" w:color="auto" w:fill="EAEAEA"/>
          </w:tcPr>
          <w:p>
            <w:pPr>
              <w:spacing w:after="0"/>
              <w:rPr>
                <w:sz w:val="5"/>
                <w:szCs w:val="5"/>
                <w:color w:val="auto"/>
              </w:rPr>
            </w:pPr>
          </w:p>
        </w:tc>
        <w:tc>
          <w:tcPr>
            <w:tcW w:w="46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268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Entertainment</w:t>
            </w:r>
          </w:p>
        </w:tc>
        <w:tc>
          <w:tcPr>
            <w:tcW w:w="1360" w:type="dxa"/>
            <w:vAlign w:val="bottom"/>
            <w:shd w:val="clear" w:color="auto" w:fill="EAEAEA"/>
          </w:tcPr>
          <w:p>
            <w:pPr>
              <w:spacing w:after="0"/>
              <w:rPr>
                <w:sz w:val="5"/>
                <w:szCs w:val="5"/>
                <w:color w:val="auto"/>
              </w:rPr>
            </w:pPr>
          </w:p>
        </w:tc>
        <w:tc>
          <w:tcPr>
            <w:tcW w:w="600" w:type="dxa"/>
            <w:vAlign w:val="bottom"/>
            <w:shd w:val="clear" w:color="auto" w:fill="EAEAEA"/>
          </w:tcPr>
          <w:p>
            <w:pPr>
              <w:spacing w:after="0"/>
              <w:rPr>
                <w:sz w:val="5"/>
                <w:szCs w:val="5"/>
                <w:color w:val="auto"/>
              </w:rPr>
            </w:pPr>
          </w:p>
        </w:tc>
        <w:tc>
          <w:tcPr>
            <w:tcW w:w="500" w:type="dxa"/>
            <w:vAlign w:val="bottom"/>
            <w:shd w:val="clear" w:color="auto" w:fill="EAEAEA"/>
          </w:tcPr>
          <w:p>
            <w:pPr>
              <w:spacing w:after="0"/>
              <w:rPr>
                <w:sz w:val="5"/>
                <w:szCs w:val="5"/>
                <w:color w:val="auto"/>
              </w:rPr>
            </w:pPr>
          </w:p>
        </w:tc>
        <w:tc>
          <w:tcPr>
            <w:tcW w:w="1040" w:type="dxa"/>
            <w:vAlign w:val="bottom"/>
            <w:shd w:val="clear" w:color="auto" w:fill="EAEAEA"/>
          </w:tcPr>
          <w:p>
            <w:pPr>
              <w:spacing w:after="0"/>
              <w:rPr>
                <w:sz w:val="5"/>
                <w:szCs w:val="5"/>
                <w:color w:val="auto"/>
              </w:rPr>
            </w:pPr>
          </w:p>
        </w:tc>
        <w:tc>
          <w:tcPr>
            <w:tcW w:w="860" w:type="dxa"/>
            <w:vAlign w:val="bottom"/>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560" w:type="dxa"/>
            <w:vAlign w:val="bottom"/>
            <w:shd w:val="clear" w:color="auto" w:fill="EAEAEA"/>
          </w:tcPr>
          <w:p>
            <w:pPr>
              <w:spacing w:after="0"/>
              <w:rPr>
                <w:sz w:val="9"/>
                <w:szCs w:val="9"/>
                <w:color w:val="auto"/>
              </w:rPr>
            </w:pPr>
          </w:p>
        </w:tc>
        <w:tc>
          <w:tcPr>
            <w:tcW w:w="460" w:type="dxa"/>
            <w:vAlign w:val="bottom"/>
            <w:shd w:val="clear" w:color="auto" w:fill="EAEAEA"/>
          </w:tcPr>
          <w:p>
            <w:pPr>
              <w:spacing w:after="0"/>
              <w:rPr>
                <w:sz w:val="9"/>
                <w:szCs w:val="9"/>
                <w:color w:val="auto"/>
              </w:rPr>
            </w:pPr>
          </w:p>
        </w:tc>
        <w:tc>
          <w:tcPr>
            <w:tcW w:w="880" w:type="dxa"/>
            <w:vAlign w:val="bottom"/>
            <w:shd w:val="clear" w:color="auto" w:fill="EAEAEA"/>
          </w:tcPr>
          <w:p>
            <w:pPr>
              <w:spacing w:after="0"/>
              <w:rPr>
                <w:sz w:val="9"/>
                <w:szCs w:val="9"/>
                <w:color w:val="auto"/>
              </w:rPr>
            </w:pPr>
          </w:p>
        </w:tc>
        <w:tc>
          <w:tcPr>
            <w:tcW w:w="2680" w:type="dxa"/>
            <w:vAlign w:val="bottom"/>
            <w:vMerge w:val="continue"/>
            <w:shd w:val="clear" w:color="auto" w:fill="EAEAEA"/>
          </w:tcPr>
          <w:p>
            <w:pPr>
              <w:spacing w:after="0"/>
              <w:rPr>
                <w:sz w:val="9"/>
                <w:szCs w:val="9"/>
                <w:color w:val="auto"/>
              </w:rPr>
            </w:pPr>
          </w:p>
        </w:tc>
        <w:tc>
          <w:tcPr>
            <w:tcW w:w="1360" w:type="dxa"/>
            <w:vAlign w:val="bottom"/>
            <w:shd w:val="clear" w:color="auto" w:fill="EAEAEA"/>
          </w:tcPr>
          <w:p>
            <w:pPr>
              <w:spacing w:after="0"/>
              <w:rPr>
                <w:sz w:val="9"/>
                <w:szCs w:val="9"/>
                <w:color w:val="auto"/>
              </w:rPr>
            </w:pPr>
          </w:p>
        </w:tc>
        <w:tc>
          <w:tcPr>
            <w:tcW w:w="600" w:type="dxa"/>
            <w:vAlign w:val="bottom"/>
            <w:shd w:val="clear" w:color="auto" w:fill="EAEAEA"/>
          </w:tcPr>
          <w:p>
            <w:pPr>
              <w:spacing w:after="0"/>
              <w:rPr>
                <w:sz w:val="9"/>
                <w:szCs w:val="9"/>
                <w:color w:val="auto"/>
              </w:rPr>
            </w:pPr>
          </w:p>
        </w:tc>
        <w:tc>
          <w:tcPr>
            <w:tcW w:w="500" w:type="dxa"/>
            <w:vAlign w:val="bottom"/>
            <w:shd w:val="clear" w:color="auto" w:fill="EAEAEA"/>
          </w:tcPr>
          <w:p>
            <w:pPr>
              <w:spacing w:after="0"/>
              <w:rPr>
                <w:sz w:val="9"/>
                <w:szCs w:val="9"/>
                <w:color w:val="auto"/>
              </w:rPr>
            </w:pPr>
          </w:p>
        </w:tc>
        <w:tc>
          <w:tcPr>
            <w:tcW w:w="1040" w:type="dxa"/>
            <w:vAlign w:val="bottom"/>
            <w:shd w:val="clear" w:color="auto" w:fill="EAEAEA"/>
          </w:tcPr>
          <w:p>
            <w:pPr>
              <w:spacing w:after="0"/>
              <w:rPr>
                <w:sz w:val="9"/>
                <w:szCs w:val="9"/>
                <w:color w:val="auto"/>
              </w:rPr>
            </w:pPr>
          </w:p>
        </w:tc>
        <w:tc>
          <w:tcPr>
            <w:tcW w:w="860" w:type="dxa"/>
            <w:vAlign w:val="bottom"/>
            <w:shd w:val="clear" w:color="auto" w:fill="EAEAEA"/>
          </w:tcPr>
          <w:p>
            <w:pPr>
              <w:spacing w:after="0"/>
              <w:rPr>
                <w:sz w:val="9"/>
                <w:szCs w:val="9"/>
                <w:color w:val="auto"/>
              </w:rPr>
            </w:pPr>
          </w:p>
        </w:tc>
        <w:tc>
          <w:tcPr>
            <w:tcW w:w="70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560" w:type="dxa"/>
            <w:vAlign w:val="bottom"/>
            <w:shd w:val="clear" w:color="auto" w:fill="EAEAEA"/>
          </w:tcPr>
          <w:p>
            <w:pPr>
              <w:spacing w:after="0"/>
              <w:rPr>
                <w:sz w:val="5"/>
                <w:szCs w:val="5"/>
                <w:color w:val="auto"/>
              </w:rPr>
            </w:pPr>
          </w:p>
        </w:tc>
        <w:tc>
          <w:tcPr>
            <w:tcW w:w="46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2680" w:type="dxa"/>
            <w:vAlign w:val="bottom"/>
            <w:shd w:val="clear" w:color="auto" w:fill="EAEAEA"/>
          </w:tcPr>
          <w:p>
            <w:pPr>
              <w:spacing w:after="0"/>
              <w:rPr>
                <w:sz w:val="5"/>
                <w:szCs w:val="5"/>
                <w:color w:val="auto"/>
              </w:rPr>
            </w:pPr>
          </w:p>
        </w:tc>
        <w:tc>
          <w:tcPr>
            <w:tcW w:w="1360" w:type="dxa"/>
            <w:vAlign w:val="bottom"/>
            <w:shd w:val="clear" w:color="auto" w:fill="EAEAEA"/>
          </w:tcPr>
          <w:p>
            <w:pPr>
              <w:spacing w:after="0"/>
              <w:rPr>
                <w:sz w:val="5"/>
                <w:szCs w:val="5"/>
                <w:color w:val="auto"/>
              </w:rPr>
            </w:pPr>
          </w:p>
        </w:tc>
        <w:tc>
          <w:tcPr>
            <w:tcW w:w="600" w:type="dxa"/>
            <w:vAlign w:val="bottom"/>
            <w:shd w:val="clear" w:color="auto" w:fill="EAEAEA"/>
          </w:tcPr>
          <w:p>
            <w:pPr>
              <w:spacing w:after="0"/>
              <w:rPr>
                <w:sz w:val="5"/>
                <w:szCs w:val="5"/>
                <w:color w:val="auto"/>
              </w:rPr>
            </w:pPr>
          </w:p>
        </w:tc>
        <w:tc>
          <w:tcPr>
            <w:tcW w:w="500" w:type="dxa"/>
            <w:vAlign w:val="bottom"/>
            <w:shd w:val="clear" w:color="auto" w:fill="EAEAEA"/>
          </w:tcPr>
          <w:p>
            <w:pPr>
              <w:spacing w:after="0"/>
              <w:rPr>
                <w:sz w:val="5"/>
                <w:szCs w:val="5"/>
                <w:color w:val="auto"/>
              </w:rPr>
            </w:pPr>
          </w:p>
        </w:tc>
        <w:tc>
          <w:tcPr>
            <w:tcW w:w="1040" w:type="dxa"/>
            <w:vAlign w:val="bottom"/>
            <w:shd w:val="clear" w:color="auto" w:fill="EAEAEA"/>
          </w:tcPr>
          <w:p>
            <w:pPr>
              <w:spacing w:after="0"/>
              <w:rPr>
                <w:sz w:val="5"/>
                <w:szCs w:val="5"/>
                <w:color w:val="auto"/>
              </w:rPr>
            </w:pPr>
          </w:p>
        </w:tc>
        <w:tc>
          <w:tcPr>
            <w:tcW w:w="860" w:type="dxa"/>
            <w:vAlign w:val="bottom"/>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September</w:t>
            </w:r>
          </w:p>
        </w:tc>
        <w:tc>
          <w:tcPr>
            <w:tcW w:w="2680" w:type="dxa"/>
            <w:vAlign w:val="bottom"/>
          </w:tcPr>
          <w:p>
            <w:pPr>
              <w:ind w:left="80"/>
              <w:spacing w:after="0"/>
              <w:rPr>
                <w:sz w:val="20"/>
                <w:szCs w:val="20"/>
                <w:color w:val="auto"/>
              </w:rPr>
            </w:pPr>
            <w:r>
              <w:rPr>
                <w:rFonts w:ascii="Arial" w:cs="Arial" w:eastAsia="Arial" w:hAnsi="Arial"/>
                <w:sz w:val="14"/>
                <w:szCs w:val="14"/>
                <w:color w:val="auto"/>
              </w:rPr>
              <w:t>Founding Principal</w:t>
            </w: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560" w:type="dxa"/>
            <w:vAlign w:val="bottom"/>
            <w:vMerge w:val="restart"/>
          </w:tcPr>
          <w:p>
            <w:pPr>
              <w:ind w:left="80"/>
              <w:spacing w:after="0"/>
              <w:rPr>
                <w:sz w:val="20"/>
                <w:szCs w:val="20"/>
                <w:color w:val="auto"/>
              </w:rPr>
            </w:pPr>
            <w:r>
              <w:rPr>
                <w:rFonts w:ascii="Arial" w:cs="Arial" w:eastAsia="Arial" w:hAnsi="Arial"/>
                <w:sz w:val="14"/>
                <w:szCs w:val="14"/>
                <w:color w:val="auto"/>
              </w:rPr>
              <w:t>Roland Hernandez</w:t>
            </w:r>
          </w:p>
        </w:tc>
        <w:tc>
          <w:tcPr>
            <w:tcW w:w="460" w:type="dxa"/>
            <w:vAlign w:val="bottom"/>
            <w:vMerge w:val="restart"/>
          </w:tcPr>
          <w:p>
            <w:pPr>
              <w:jc w:val="center"/>
              <w:spacing w:after="0"/>
              <w:rPr>
                <w:sz w:val="20"/>
                <w:szCs w:val="20"/>
                <w:color w:val="auto"/>
              </w:rPr>
            </w:pPr>
            <w:r>
              <w:rPr>
                <w:rFonts w:ascii="Arial" w:cs="Arial" w:eastAsia="Arial" w:hAnsi="Arial"/>
                <w:sz w:val="14"/>
                <w:szCs w:val="14"/>
                <w:color w:val="auto"/>
              </w:rPr>
              <w:t>62</w:t>
            </w:r>
          </w:p>
        </w:tc>
        <w:tc>
          <w:tcPr>
            <w:tcW w:w="880" w:type="dxa"/>
            <w:vAlign w:val="bottom"/>
            <w:vMerge w:val="continue"/>
          </w:tcPr>
          <w:p>
            <w:pPr>
              <w:spacing w:after="0"/>
              <w:rPr>
                <w:sz w:val="12"/>
                <w:szCs w:val="12"/>
                <w:color w:val="auto"/>
              </w:rPr>
            </w:pPr>
          </w:p>
        </w:tc>
        <w:tc>
          <w:tcPr>
            <w:tcW w:w="2680" w:type="dxa"/>
            <w:vAlign w:val="bottom"/>
          </w:tcPr>
          <w:p>
            <w:pPr>
              <w:ind w:left="80"/>
              <w:spacing w:after="0" w:line="149" w:lineRule="exact"/>
              <w:rPr>
                <w:sz w:val="20"/>
                <w:szCs w:val="20"/>
                <w:color w:val="auto"/>
              </w:rPr>
            </w:pPr>
            <w:r>
              <w:rPr>
                <w:rFonts w:ascii="Arial" w:cs="Arial" w:eastAsia="Arial" w:hAnsi="Arial"/>
                <w:sz w:val="14"/>
                <w:szCs w:val="14"/>
                <w:color w:val="auto"/>
              </w:rPr>
              <w:t>and Chief Executive</w:t>
            </w:r>
          </w:p>
        </w:tc>
        <w:tc>
          <w:tcPr>
            <w:tcW w:w="1360" w:type="dxa"/>
            <w:vAlign w:val="bottom"/>
            <w:vMerge w:val="restart"/>
          </w:tcPr>
          <w:p>
            <w:pPr>
              <w:jc w:val="center"/>
              <w:ind w:left="349"/>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3</w:t>
            </w:r>
          </w:p>
        </w:tc>
        <w:tc>
          <w:tcPr>
            <w:tcW w:w="5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56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2680" w:type="dxa"/>
            <w:vAlign w:val="bottom"/>
            <w:vMerge w:val="restart"/>
          </w:tcPr>
          <w:p>
            <w:pPr>
              <w:ind w:left="80"/>
              <w:spacing w:after="0"/>
              <w:rPr>
                <w:sz w:val="20"/>
                <w:szCs w:val="20"/>
                <w:color w:val="auto"/>
              </w:rPr>
            </w:pPr>
            <w:r>
              <w:rPr>
                <w:rFonts w:ascii="Arial" w:cs="Arial" w:eastAsia="Arial" w:hAnsi="Arial"/>
                <w:sz w:val="14"/>
                <w:szCs w:val="14"/>
                <w:color w:val="auto"/>
              </w:rPr>
              <w:t>Officer of Hernandez</w:t>
            </w:r>
          </w:p>
        </w:tc>
        <w:tc>
          <w:tcPr>
            <w:tcW w:w="13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Arial" w:cs="Arial" w:eastAsia="Arial" w:hAnsi="Arial"/>
                <w:sz w:val="14"/>
                <w:szCs w:val="14"/>
                <w:color w:val="auto"/>
              </w:rPr>
              <w:t>Media Ventures</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560" w:type="dxa"/>
            <w:vAlign w:val="bottom"/>
            <w:shd w:val="clear" w:color="auto" w:fill="EAEAEA"/>
          </w:tcPr>
          <w:p>
            <w:pPr>
              <w:ind w:left="80"/>
              <w:spacing w:after="0"/>
              <w:rPr>
                <w:sz w:val="20"/>
                <w:szCs w:val="20"/>
                <w:color w:val="auto"/>
              </w:rPr>
            </w:pPr>
            <w:r>
              <w:rPr>
                <w:rFonts w:ascii="Arial" w:cs="Arial" w:eastAsia="Arial" w:hAnsi="Arial"/>
                <w:sz w:val="14"/>
                <w:szCs w:val="14"/>
                <w:color w:val="auto"/>
              </w:rPr>
              <w:t>J Moses</w:t>
            </w:r>
          </w:p>
        </w:tc>
        <w:tc>
          <w:tcPr>
            <w:tcW w:w="46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61</w:t>
            </w:r>
          </w:p>
        </w:tc>
        <w:tc>
          <w:tcPr>
            <w:tcW w:w="88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March</w:t>
            </w:r>
          </w:p>
        </w:tc>
        <w:tc>
          <w:tcPr>
            <w:tcW w:w="2680" w:type="dxa"/>
            <w:vAlign w:val="bottom"/>
            <w:shd w:val="clear" w:color="auto" w:fill="EAEAEA"/>
          </w:tcPr>
          <w:p>
            <w:pPr>
              <w:ind w:left="80"/>
              <w:spacing w:after="0"/>
              <w:rPr>
                <w:sz w:val="20"/>
                <w:szCs w:val="20"/>
                <w:color w:val="auto"/>
              </w:rPr>
            </w:pPr>
            <w:r>
              <w:rPr>
                <w:rFonts w:ascii="Arial" w:cs="Arial" w:eastAsia="Arial" w:hAnsi="Arial"/>
                <w:sz w:val="14"/>
                <w:szCs w:val="14"/>
                <w:color w:val="auto"/>
              </w:rPr>
              <w:t>Principal,</w:t>
            </w:r>
          </w:p>
        </w:tc>
        <w:tc>
          <w:tcPr>
            <w:tcW w:w="1360" w:type="dxa"/>
            <w:vAlign w:val="bottom"/>
            <w:shd w:val="clear" w:color="auto" w:fill="EAEAEA"/>
          </w:tcPr>
          <w:p>
            <w:pPr>
              <w:jc w:val="center"/>
              <w:ind w:left="349"/>
              <w:spacing w:after="0"/>
              <w:rPr>
                <w:sz w:val="20"/>
                <w:szCs w:val="20"/>
                <w:color w:val="auto"/>
              </w:rPr>
            </w:pPr>
            <w:r>
              <w:rPr>
                <w:rFonts w:ascii="Arial" w:cs="Arial" w:eastAsia="Arial" w:hAnsi="Arial"/>
                <w:sz w:val="14"/>
                <w:szCs w:val="14"/>
                <w:color w:val="auto"/>
              </w:rPr>
              <w:t>●</w:t>
            </w:r>
          </w:p>
        </w:tc>
        <w:tc>
          <w:tcPr>
            <w:tcW w:w="600" w:type="dxa"/>
            <w:vAlign w:val="bottom"/>
            <w:shd w:val="clear" w:color="auto" w:fill="EAEAEA"/>
          </w:tcPr>
          <w:p>
            <w:pPr>
              <w:jc w:val="center"/>
              <w:spacing w:after="0"/>
              <w:rPr>
                <w:sz w:val="20"/>
                <w:szCs w:val="20"/>
                <w:color w:val="auto"/>
              </w:rPr>
            </w:pPr>
            <w:r>
              <w:rPr>
                <w:rFonts w:ascii="Arial" w:cs="Arial" w:eastAsia="Arial" w:hAnsi="Arial"/>
                <w:sz w:val="14"/>
                <w:szCs w:val="14"/>
                <w:color w:val="auto"/>
                <w:w w:val="99"/>
              </w:rPr>
              <w:t>—</w:t>
            </w:r>
          </w:p>
        </w:tc>
        <w:tc>
          <w:tcPr>
            <w:tcW w:w="500" w:type="dxa"/>
            <w:vAlign w:val="bottom"/>
            <w:shd w:val="clear" w:color="auto" w:fill="EAEAEA"/>
          </w:tcPr>
          <w:p>
            <w:pPr>
              <w:jc w:val="center"/>
              <w:spacing w:after="0"/>
              <w:rPr>
                <w:sz w:val="20"/>
                <w:szCs w:val="20"/>
                <w:color w:val="auto"/>
              </w:rPr>
            </w:pPr>
            <w:r>
              <w:rPr>
                <w:rFonts w:ascii="Arial" w:cs="Arial" w:eastAsia="Arial" w:hAnsi="Arial"/>
                <w:sz w:val="14"/>
                <w:szCs w:val="14"/>
                <w:color w:val="auto"/>
                <w:w w:val="94"/>
              </w:rPr>
              <w:t>●</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Chair</w:t>
            </w:r>
          </w:p>
        </w:tc>
        <w:tc>
          <w:tcPr>
            <w:tcW w:w="70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560" w:type="dxa"/>
            <w:vAlign w:val="bottom"/>
            <w:tcBorders>
              <w:bottom w:val="single" w:sz="8" w:color="EAEAEA"/>
            </w:tcBorders>
            <w:shd w:val="clear" w:color="auto" w:fill="EAEAEA"/>
          </w:tcPr>
          <w:p>
            <w:pPr>
              <w:spacing w:after="0"/>
              <w:rPr>
                <w:sz w:val="15"/>
                <w:szCs w:val="15"/>
                <w:color w:val="auto"/>
              </w:rPr>
            </w:pPr>
          </w:p>
        </w:tc>
        <w:tc>
          <w:tcPr>
            <w:tcW w:w="460" w:type="dxa"/>
            <w:vAlign w:val="bottom"/>
            <w:tcBorders>
              <w:bottom w:val="single" w:sz="8" w:color="EAEAEA"/>
            </w:tcBorders>
            <w:shd w:val="clear" w:color="auto" w:fill="EAEAEA"/>
          </w:tcPr>
          <w:p>
            <w:pPr>
              <w:spacing w:after="0"/>
              <w:rPr>
                <w:sz w:val="15"/>
                <w:szCs w:val="15"/>
                <w:color w:val="auto"/>
              </w:rPr>
            </w:pPr>
          </w:p>
        </w:tc>
        <w:tc>
          <w:tcPr>
            <w:tcW w:w="88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auto"/>
              </w:rPr>
              <w:t>2007</w:t>
            </w:r>
          </w:p>
        </w:tc>
        <w:tc>
          <w:tcPr>
            <w:tcW w:w="26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auto"/>
              </w:rPr>
              <w:t>J Moses Projects</w:t>
            </w:r>
          </w:p>
        </w:tc>
        <w:tc>
          <w:tcPr>
            <w:tcW w:w="1360" w:type="dxa"/>
            <w:vAlign w:val="bottom"/>
            <w:tcBorders>
              <w:bottom w:val="single" w:sz="8" w:color="EAEAEA"/>
            </w:tcBorders>
            <w:shd w:val="clear" w:color="auto" w:fill="EAEAEA"/>
          </w:tcPr>
          <w:p>
            <w:pPr>
              <w:spacing w:after="0"/>
              <w:rPr>
                <w:sz w:val="15"/>
                <w:szCs w:val="15"/>
                <w:color w:val="auto"/>
              </w:rPr>
            </w:pPr>
          </w:p>
        </w:tc>
        <w:tc>
          <w:tcPr>
            <w:tcW w:w="600" w:type="dxa"/>
            <w:vAlign w:val="bottom"/>
            <w:tcBorders>
              <w:bottom w:val="single" w:sz="8" w:color="EAEAEA"/>
            </w:tcBorders>
            <w:shd w:val="clear" w:color="auto" w:fill="EAEAEA"/>
          </w:tcPr>
          <w:p>
            <w:pPr>
              <w:spacing w:after="0"/>
              <w:rPr>
                <w:sz w:val="15"/>
                <w:szCs w:val="15"/>
                <w:color w:val="auto"/>
              </w:rPr>
            </w:pPr>
          </w:p>
        </w:tc>
        <w:tc>
          <w:tcPr>
            <w:tcW w:w="500" w:type="dxa"/>
            <w:vAlign w:val="bottom"/>
            <w:tcBorders>
              <w:bottom w:val="single" w:sz="8" w:color="EAEAEA"/>
            </w:tcBorders>
            <w:shd w:val="clear" w:color="auto" w:fill="EAEAEA"/>
          </w:tcPr>
          <w:p>
            <w:pPr>
              <w:spacing w:after="0"/>
              <w:rPr>
                <w:sz w:val="15"/>
                <w:szCs w:val="15"/>
                <w:color w:val="auto"/>
              </w:rPr>
            </w:pPr>
          </w:p>
        </w:tc>
        <w:tc>
          <w:tcPr>
            <w:tcW w:w="1040" w:type="dxa"/>
            <w:vAlign w:val="bottom"/>
            <w:tcBorders>
              <w:bottom w:val="single" w:sz="8" w:color="EAEAEA"/>
            </w:tcBorders>
            <w:shd w:val="clear" w:color="auto" w:fill="EAEAEA"/>
          </w:tcPr>
          <w:p>
            <w:pPr>
              <w:spacing w:after="0"/>
              <w:rPr>
                <w:sz w:val="15"/>
                <w:szCs w:val="15"/>
                <w:color w:val="auto"/>
              </w:rPr>
            </w:pPr>
          </w:p>
        </w:tc>
        <w:tc>
          <w:tcPr>
            <w:tcW w:w="860" w:type="dxa"/>
            <w:vAlign w:val="bottom"/>
            <w:tcBorders>
              <w:bottom w:val="single" w:sz="8" w:color="EAEAEA"/>
            </w:tcBorders>
            <w:shd w:val="clear" w:color="auto" w:fill="EAEAEA"/>
          </w:tcPr>
          <w:p>
            <w:pPr>
              <w:spacing w:after="0"/>
              <w:rPr>
                <w:sz w:val="15"/>
                <w:szCs w:val="15"/>
                <w:color w:val="auto"/>
              </w:rPr>
            </w:pPr>
          </w:p>
        </w:tc>
        <w:tc>
          <w:tcPr>
            <w:tcW w:w="700" w:type="dxa"/>
            <w:vAlign w:val="bottom"/>
            <w:tcBorders>
              <w:bottom w:val="single" w:sz="8" w:color="EAEAEA"/>
            </w:tcBorders>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80"/>
              <w:spacing w:after="0"/>
              <w:rPr>
                <w:sz w:val="20"/>
                <w:szCs w:val="20"/>
                <w:color w:val="auto"/>
              </w:rPr>
            </w:pPr>
            <w:r>
              <w:rPr>
                <w:rFonts w:ascii="Arial" w:cs="Arial" w:eastAsia="Arial" w:hAnsi="Arial"/>
                <w:sz w:val="14"/>
                <w:szCs w:val="14"/>
                <w:color w:val="auto"/>
              </w:rPr>
              <w:t>Michael Sheresky</w:t>
            </w:r>
          </w:p>
        </w:tc>
        <w:tc>
          <w:tcPr>
            <w:tcW w:w="460" w:type="dxa"/>
            <w:vAlign w:val="bottom"/>
          </w:tcPr>
          <w:p>
            <w:pPr>
              <w:jc w:val="center"/>
              <w:spacing w:after="0"/>
              <w:rPr>
                <w:sz w:val="20"/>
                <w:szCs w:val="20"/>
                <w:color w:val="auto"/>
              </w:rPr>
            </w:pPr>
            <w:r>
              <w:rPr>
                <w:rFonts w:ascii="Arial" w:cs="Arial" w:eastAsia="Arial" w:hAnsi="Arial"/>
                <w:sz w:val="14"/>
                <w:szCs w:val="14"/>
                <w:color w:val="auto"/>
              </w:rPr>
              <w:t>52</w:t>
            </w:r>
          </w:p>
        </w:tc>
        <w:tc>
          <w:tcPr>
            <w:tcW w:w="880" w:type="dxa"/>
            <w:vAlign w:val="bottom"/>
          </w:tcPr>
          <w:p>
            <w:pPr>
              <w:jc w:val="center"/>
              <w:spacing w:after="0"/>
              <w:rPr>
                <w:sz w:val="20"/>
                <w:szCs w:val="20"/>
                <w:color w:val="auto"/>
              </w:rPr>
            </w:pPr>
            <w:r>
              <w:rPr>
                <w:rFonts w:ascii="Arial" w:cs="Arial" w:eastAsia="Arial" w:hAnsi="Arial"/>
                <w:sz w:val="14"/>
                <w:szCs w:val="14"/>
                <w:color w:val="auto"/>
              </w:rPr>
              <w:t>March</w:t>
            </w:r>
          </w:p>
        </w:tc>
        <w:tc>
          <w:tcPr>
            <w:tcW w:w="2680" w:type="dxa"/>
            <w:vAlign w:val="bottom"/>
          </w:tcPr>
          <w:p>
            <w:pPr>
              <w:ind w:left="80"/>
              <w:spacing w:after="0"/>
              <w:rPr>
                <w:sz w:val="20"/>
                <w:szCs w:val="20"/>
                <w:color w:val="auto"/>
              </w:rPr>
            </w:pPr>
            <w:r>
              <w:rPr>
                <w:rFonts w:ascii="Arial" w:cs="Arial" w:eastAsia="Arial" w:hAnsi="Arial"/>
                <w:sz w:val="14"/>
                <w:szCs w:val="14"/>
                <w:color w:val="auto"/>
              </w:rPr>
              <w:t>Partner, United</w:t>
            </w:r>
          </w:p>
        </w:tc>
        <w:tc>
          <w:tcPr>
            <w:tcW w:w="1360" w:type="dxa"/>
            <w:vAlign w:val="bottom"/>
          </w:tcPr>
          <w:p>
            <w:pPr>
              <w:jc w:val="center"/>
              <w:ind w:left="349"/>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Chair</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2007</w:t>
            </w:r>
          </w:p>
        </w:tc>
        <w:tc>
          <w:tcPr>
            <w:tcW w:w="2680" w:type="dxa"/>
            <w:vAlign w:val="bottom"/>
          </w:tcPr>
          <w:p>
            <w:pPr>
              <w:ind w:left="80"/>
              <w:spacing w:after="0"/>
              <w:rPr>
                <w:sz w:val="20"/>
                <w:szCs w:val="20"/>
                <w:color w:val="auto"/>
              </w:rPr>
            </w:pPr>
            <w:r>
              <w:rPr>
                <w:rFonts w:ascii="Arial" w:cs="Arial" w:eastAsia="Arial" w:hAnsi="Arial"/>
                <w:sz w:val="14"/>
                <w:szCs w:val="14"/>
                <w:color w:val="auto"/>
              </w:rPr>
              <w:t>Talent Agency</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56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LaVerne Srinivasan</w:t>
            </w:r>
          </w:p>
        </w:tc>
        <w:tc>
          <w:tcPr>
            <w:tcW w:w="46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rPr>
              <w:t>58</w:t>
            </w:r>
          </w:p>
        </w:tc>
        <w:tc>
          <w:tcPr>
            <w:tcW w:w="88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rPr>
              <w:t>March</w:t>
            </w:r>
          </w:p>
        </w:tc>
        <w:tc>
          <w:tcPr>
            <w:tcW w:w="2680" w:type="dxa"/>
            <w:vAlign w:val="bottom"/>
            <w:shd w:val="clear" w:color="auto" w:fill="EAEAEA"/>
          </w:tcPr>
          <w:p>
            <w:pPr>
              <w:ind w:left="80"/>
              <w:spacing w:after="0"/>
              <w:rPr>
                <w:sz w:val="20"/>
                <w:szCs w:val="20"/>
                <w:color w:val="auto"/>
              </w:rPr>
            </w:pPr>
            <w:r>
              <w:rPr>
                <w:rFonts w:ascii="Arial" w:cs="Arial" w:eastAsia="Arial" w:hAnsi="Arial"/>
                <w:sz w:val="14"/>
                <w:szCs w:val="14"/>
                <w:color w:val="auto"/>
              </w:rPr>
              <w:t>Vice President,</w:t>
            </w:r>
          </w:p>
        </w:tc>
        <w:tc>
          <w:tcPr>
            <w:tcW w:w="1360" w:type="dxa"/>
            <w:vAlign w:val="bottom"/>
            <w:vMerge w:val="restart"/>
            <w:shd w:val="clear" w:color="auto" w:fill="EAEAEA"/>
          </w:tcPr>
          <w:p>
            <w:pPr>
              <w:jc w:val="center"/>
              <w:ind w:left="349"/>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w w:val="99"/>
              </w:rPr>
              <w:t>—</w:t>
            </w:r>
          </w:p>
        </w:tc>
        <w:tc>
          <w:tcPr>
            <w:tcW w:w="50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86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w w:val="94"/>
              </w:rPr>
              <w:t>●</w:t>
            </w:r>
          </w:p>
        </w:tc>
        <w:tc>
          <w:tcPr>
            <w:tcW w:w="7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560" w:type="dxa"/>
            <w:vAlign w:val="bottom"/>
            <w:vMerge w:val="continue"/>
            <w:shd w:val="clear" w:color="auto" w:fill="EAEAEA"/>
          </w:tcPr>
          <w:p>
            <w:pPr>
              <w:spacing w:after="0"/>
              <w:rPr>
                <w:sz w:val="5"/>
                <w:szCs w:val="5"/>
                <w:color w:val="auto"/>
              </w:rPr>
            </w:pPr>
          </w:p>
        </w:tc>
        <w:tc>
          <w:tcPr>
            <w:tcW w:w="460" w:type="dxa"/>
            <w:vAlign w:val="bottom"/>
            <w:vMerge w:val="continue"/>
            <w:shd w:val="clear" w:color="auto" w:fill="EAEAEA"/>
          </w:tcPr>
          <w:p>
            <w:pPr>
              <w:spacing w:after="0"/>
              <w:rPr>
                <w:sz w:val="5"/>
                <w:szCs w:val="5"/>
                <w:color w:val="auto"/>
              </w:rPr>
            </w:pPr>
          </w:p>
        </w:tc>
        <w:tc>
          <w:tcPr>
            <w:tcW w:w="880" w:type="dxa"/>
            <w:vAlign w:val="bottom"/>
            <w:vMerge w:val="continue"/>
            <w:shd w:val="clear" w:color="auto" w:fill="EAEAEA"/>
          </w:tcPr>
          <w:p>
            <w:pPr>
              <w:spacing w:after="0"/>
              <w:rPr>
                <w:sz w:val="5"/>
                <w:szCs w:val="5"/>
                <w:color w:val="auto"/>
              </w:rPr>
            </w:pPr>
          </w:p>
        </w:tc>
        <w:tc>
          <w:tcPr>
            <w:tcW w:w="268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Carnegie Corporation</w:t>
            </w:r>
          </w:p>
        </w:tc>
        <w:tc>
          <w:tcPr>
            <w:tcW w:w="1360" w:type="dxa"/>
            <w:vAlign w:val="bottom"/>
            <w:vMerge w:val="continue"/>
            <w:shd w:val="clear" w:color="auto" w:fill="EAEAEA"/>
          </w:tcPr>
          <w:p>
            <w:pPr>
              <w:spacing w:after="0"/>
              <w:rPr>
                <w:sz w:val="5"/>
                <w:szCs w:val="5"/>
                <w:color w:val="auto"/>
              </w:rPr>
            </w:pPr>
          </w:p>
        </w:tc>
        <w:tc>
          <w:tcPr>
            <w:tcW w:w="600" w:type="dxa"/>
            <w:vAlign w:val="bottom"/>
            <w:vMerge w:val="continue"/>
            <w:shd w:val="clear" w:color="auto" w:fill="EAEAEA"/>
          </w:tcPr>
          <w:p>
            <w:pPr>
              <w:spacing w:after="0"/>
              <w:rPr>
                <w:sz w:val="5"/>
                <w:szCs w:val="5"/>
                <w:color w:val="auto"/>
              </w:rPr>
            </w:pPr>
          </w:p>
        </w:tc>
        <w:tc>
          <w:tcPr>
            <w:tcW w:w="500" w:type="dxa"/>
            <w:vAlign w:val="bottom"/>
            <w:shd w:val="clear" w:color="auto" w:fill="EAEAEA"/>
          </w:tcPr>
          <w:p>
            <w:pPr>
              <w:spacing w:after="0"/>
              <w:rPr>
                <w:sz w:val="5"/>
                <w:szCs w:val="5"/>
                <w:color w:val="auto"/>
              </w:rPr>
            </w:pPr>
          </w:p>
        </w:tc>
        <w:tc>
          <w:tcPr>
            <w:tcW w:w="1040" w:type="dxa"/>
            <w:vAlign w:val="bottom"/>
            <w:shd w:val="clear" w:color="auto" w:fill="EAEAEA"/>
          </w:tcPr>
          <w:p>
            <w:pPr>
              <w:spacing w:after="0"/>
              <w:rPr>
                <w:sz w:val="5"/>
                <w:szCs w:val="5"/>
                <w:color w:val="auto"/>
              </w:rPr>
            </w:pPr>
          </w:p>
        </w:tc>
        <w:tc>
          <w:tcPr>
            <w:tcW w:w="860" w:type="dxa"/>
            <w:vAlign w:val="bottom"/>
            <w:vMerge w:val="continue"/>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60" w:type="dxa"/>
            <w:vAlign w:val="bottom"/>
            <w:vMerge w:val="continue"/>
            <w:shd w:val="clear" w:color="auto" w:fill="EAEAEA"/>
          </w:tcPr>
          <w:p>
            <w:pPr>
              <w:spacing w:after="0"/>
              <w:rPr>
                <w:sz w:val="8"/>
                <w:szCs w:val="8"/>
                <w:color w:val="auto"/>
              </w:rPr>
            </w:pPr>
          </w:p>
        </w:tc>
        <w:tc>
          <w:tcPr>
            <w:tcW w:w="460" w:type="dxa"/>
            <w:vAlign w:val="bottom"/>
            <w:vMerge w:val="continue"/>
            <w:shd w:val="clear" w:color="auto" w:fill="EAEAEA"/>
          </w:tcPr>
          <w:p>
            <w:pPr>
              <w:spacing w:after="0"/>
              <w:rPr>
                <w:sz w:val="8"/>
                <w:szCs w:val="8"/>
                <w:color w:val="auto"/>
              </w:rPr>
            </w:pPr>
          </w:p>
        </w:tc>
        <w:tc>
          <w:tcPr>
            <w:tcW w:w="88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rPr>
              <w:t>2017</w:t>
            </w:r>
          </w:p>
        </w:tc>
        <w:tc>
          <w:tcPr>
            <w:tcW w:w="2680" w:type="dxa"/>
            <w:vAlign w:val="bottom"/>
            <w:vMerge w:val="continue"/>
            <w:shd w:val="clear" w:color="auto" w:fill="EAEAEA"/>
          </w:tcPr>
          <w:p>
            <w:pPr>
              <w:spacing w:after="0"/>
              <w:rPr>
                <w:sz w:val="8"/>
                <w:szCs w:val="8"/>
                <w:color w:val="auto"/>
              </w:rPr>
            </w:pPr>
          </w:p>
        </w:tc>
        <w:tc>
          <w:tcPr>
            <w:tcW w:w="1360" w:type="dxa"/>
            <w:vAlign w:val="bottom"/>
            <w:vMerge w:val="continue"/>
            <w:shd w:val="clear" w:color="auto" w:fill="EAEAEA"/>
          </w:tcPr>
          <w:p>
            <w:pPr>
              <w:spacing w:after="0"/>
              <w:rPr>
                <w:sz w:val="8"/>
                <w:szCs w:val="8"/>
                <w:color w:val="auto"/>
              </w:rPr>
            </w:pPr>
          </w:p>
        </w:tc>
        <w:tc>
          <w:tcPr>
            <w:tcW w:w="600" w:type="dxa"/>
            <w:vAlign w:val="bottom"/>
            <w:vMerge w:val="continue"/>
            <w:shd w:val="clear" w:color="auto" w:fill="EAEAEA"/>
          </w:tcPr>
          <w:p>
            <w:pPr>
              <w:spacing w:after="0"/>
              <w:rPr>
                <w:sz w:val="8"/>
                <w:szCs w:val="8"/>
                <w:color w:val="auto"/>
              </w:rPr>
            </w:pPr>
          </w:p>
        </w:tc>
        <w:tc>
          <w:tcPr>
            <w:tcW w:w="500" w:type="dxa"/>
            <w:vAlign w:val="bottom"/>
            <w:shd w:val="clear" w:color="auto" w:fill="EAEAEA"/>
          </w:tcPr>
          <w:p>
            <w:pPr>
              <w:spacing w:after="0"/>
              <w:rPr>
                <w:sz w:val="8"/>
                <w:szCs w:val="8"/>
                <w:color w:val="auto"/>
              </w:rPr>
            </w:pPr>
          </w:p>
        </w:tc>
        <w:tc>
          <w:tcPr>
            <w:tcW w:w="1040" w:type="dxa"/>
            <w:vAlign w:val="bottom"/>
            <w:shd w:val="clear" w:color="auto" w:fill="EAEAEA"/>
          </w:tcPr>
          <w:p>
            <w:pPr>
              <w:spacing w:after="0"/>
              <w:rPr>
                <w:sz w:val="8"/>
                <w:szCs w:val="8"/>
                <w:color w:val="auto"/>
              </w:rPr>
            </w:pPr>
          </w:p>
        </w:tc>
        <w:tc>
          <w:tcPr>
            <w:tcW w:w="860" w:type="dxa"/>
            <w:vAlign w:val="bottom"/>
            <w:vMerge w:val="continue"/>
            <w:shd w:val="clear" w:color="auto" w:fill="EAEAEA"/>
          </w:tcPr>
          <w:p>
            <w:pPr>
              <w:spacing w:after="0"/>
              <w:rPr>
                <w:sz w:val="8"/>
                <w:szCs w:val="8"/>
                <w:color w:val="auto"/>
              </w:rPr>
            </w:pPr>
          </w:p>
        </w:tc>
        <w:tc>
          <w:tcPr>
            <w:tcW w:w="70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560" w:type="dxa"/>
            <w:vAlign w:val="bottom"/>
            <w:shd w:val="clear" w:color="auto" w:fill="EAEAEA"/>
          </w:tcPr>
          <w:p>
            <w:pPr>
              <w:spacing w:after="0"/>
              <w:rPr>
                <w:sz w:val="6"/>
                <w:szCs w:val="6"/>
                <w:color w:val="auto"/>
              </w:rPr>
            </w:pPr>
          </w:p>
        </w:tc>
        <w:tc>
          <w:tcPr>
            <w:tcW w:w="460" w:type="dxa"/>
            <w:vAlign w:val="bottom"/>
            <w:shd w:val="clear" w:color="auto" w:fill="EAEAEA"/>
          </w:tcPr>
          <w:p>
            <w:pPr>
              <w:spacing w:after="0"/>
              <w:rPr>
                <w:sz w:val="6"/>
                <w:szCs w:val="6"/>
                <w:color w:val="auto"/>
              </w:rPr>
            </w:pPr>
          </w:p>
        </w:tc>
        <w:tc>
          <w:tcPr>
            <w:tcW w:w="880" w:type="dxa"/>
            <w:vAlign w:val="bottom"/>
            <w:vMerge w:val="continue"/>
            <w:shd w:val="clear" w:color="auto" w:fill="EAEAEA"/>
          </w:tcPr>
          <w:p>
            <w:pPr>
              <w:spacing w:after="0"/>
              <w:rPr>
                <w:sz w:val="6"/>
                <w:szCs w:val="6"/>
                <w:color w:val="auto"/>
              </w:rPr>
            </w:pPr>
          </w:p>
        </w:tc>
        <w:tc>
          <w:tcPr>
            <w:tcW w:w="268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of New York</w:t>
            </w:r>
          </w:p>
        </w:tc>
        <w:tc>
          <w:tcPr>
            <w:tcW w:w="1360" w:type="dxa"/>
            <w:vAlign w:val="bottom"/>
            <w:shd w:val="clear" w:color="auto" w:fill="EAEAEA"/>
          </w:tcPr>
          <w:p>
            <w:pPr>
              <w:spacing w:after="0"/>
              <w:rPr>
                <w:sz w:val="6"/>
                <w:szCs w:val="6"/>
                <w:color w:val="auto"/>
              </w:rPr>
            </w:pPr>
          </w:p>
        </w:tc>
        <w:tc>
          <w:tcPr>
            <w:tcW w:w="600" w:type="dxa"/>
            <w:vAlign w:val="bottom"/>
            <w:shd w:val="clear" w:color="auto" w:fill="EAEAEA"/>
          </w:tcPr>
          <w:p>
            <w:pPr>
              <w:spacing w:after="0"/>
              <w:rPr>
                <w:sz w:val="6"/>
                <w:szCs w:val="6"/>
                <w:color w:val="auto"/>
              </w:rPr>
            </w:pPr>
          </w:p>
        </w:tc>
        <w:tc>
          <w:tcPr>
            <w:tcW w:w="500" w:type="dxa"/>
            <w:vAlign w:val="bottom"/>
            <w:shd w:val="clear" w:color="auto" w:fill="EAEAEA"/>
          </w:tcPr>
          <w:p>
            <w:pPr>
              <w:spacing w:after="0"/>
              <w:rPr>
                <w:sz w:val="6"/>
                <w:szCs w:val="6"/>
                <w:color w:val="auto"/>
              </w:rPr>
            </w:pPr>
          </w:p>
        </w:tc>
        <w:tc>
          <w:tcPr>
            <w:tcW w:w="1040" w:type="dxa"/>
            <w:vAlign w:val="bottom"/>
            <w:shd w:val="clear" w:color="auto" w:fill="EAEAEA"/>
          </w:tcPr>
          <w:p>
            <w:pPr>
              <w:spacing w:after="0"/>
              <w:rPr>
                <w:sz w:val="6"/>
                <w:szCs w:val="6"/>
                <w:color w:val="auto"/>
              </w:rPr>
            </w:pPr>
          </w:p>
        </w:tc>
        <w:tc>
          <w:tcPr>
            <w:tcW w:w="860" w:type="dxa"/>
            <w:vAlign w:val="bottom"/>
            <w:shd w:val="clear" w:color="auto" w:fill="EAEAEA"/>
          </w:tcPr>
          <w:p>
            <w:pPr>
              <w:spacing w:after="0"/>
              <w:rPr>
                <w:sz w:val="6"/>
                <w:szCs w:val="6"/>
                <w:color w:val="auto"/>
              </w:rPr>
            </w:pPr>
          </w:p>
        </w:tc>
        <w:tc>
          <w:tcPr>
            <w:tcW w:w="70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560" w:type="dxa"/>
            <w:vAlign w:val="bottom"/>
            <w:shd w:val="clear" w:color="auto" w:fill="EAEAEA"/>
          </w:tcPr>
          <w:p>
            <w:pPr>
              <w:spacing w:after="0"/>
              <w:rPr>
                <w:sz w:val="8"/>
                <w:szCs w:val="8"/>
                <w:color w:val="auto"/>
              </w:rPr>
            </w:pPr>
          </w:p>
        </w:tc>
        <w:tc>
          <w:tcPr>
            <w:tcW w:w="460" w:type="dxa"/>
            <w:vAlign w:val="bottom"/>
            <w:shd w:val="clear" w:color="auto" w:fill="EAEAEA"/>
          </w:tcPr>
          <w:p>
            <w:pPr>
              <w:spacing w:after="0"/>
              <w:rPr>
                <w:sz w:val="8"/>
                <w:szCs w:val="8"/>
                <w:color w:val="auto"/>
              </w:rPr>
            </w:pPr>
          </w:p>
        </w:tc>
        <w:tc>
          <w:tcPr>
            <w:tcW w:w="880" w:type="dxa"/>
            <w:vAlign w:val="bottom"/>
            <w:shd w:val="clear" w:color="auto" w:fill="EAEAEA"/>
          </w:tcPr>
          <w:p>
            <w:pPr>
              <w:spacing w:after="0"/>
              <w:rPr>
                <w:sz w:val="8"/>
                <w:szCs w:val="8"/>
                <w:color w:val="auto"/>
              </w:rPr>
            </w:pPr>
          </w:p>
        </w:tc>
        <w:tc>
          <w:tcPr>
            <w:tcW w:w="2680" w:type="dxa"/>
            <w:vAlign w:val="bottom"/>
            <w:vMerge w:val="continue"/>
            <w:shd w:val="clear" w:color="auto" w:fill="EAEAEA"/>
          </w:tcPr>
          <w:p>
            <w:pPr>
              <w:spacing w:after="0"/>
              <w:rPr>
                <w:sz w:val="8"/>
                <w:szCs w:val="8"/>
                <w:color w:val="auto"/>
              </w:rPr>
            </w:pPr>
          </w:p>
        </w:tc>
        <w:tc>
          <w:tcPr>
            <w:tcW w:w="1360" w:type="dxa"/>
            <w:vAlign w:val="bottom"/>
            <w:shd w:val="clear" w:color="auto" w:fill="EAEAEA"/>
          </w:tcPr>
          <w:p>
            <w:pPr>
              <w:spacing w:after="0"/>
              <w:rPr>
                <w:sz w:val="8"/>
                <w:szCs w:val="8"/>
                <w:color w:val="auto"/>
              </w:rPr>
            </w:pPr>
          </w:p>
        </w:tc>
        <w:tc>
          <w:tcPr>
            <w:tcW w:w="600" w:type="dxa"/>
            <w:vAlign w:val="bottom"/>
            <w:shd w:val="clear" w:color="auto" w:fill="EAEAEA"/>
          </w:tcPr>
          <w:p>
            <w:pPr>
              <w:spacing w:after="0"/>
              <w:rPr>
                <w:sz w:val="8"/>
                <w:szCs w:val="8"/>
                <w:color w:val="auto"/>
              </w:rPr>
            </w:pPr>
          </w:p>
        </w:tc>
        <w:tc>
          <w:tcPr>
            <w:tcW w:w="500" w:type="dxa"/>
            <w:vAlign w:val="bottom"/>
            <w:shd w:val="clear" w:color="auto" w:fill="EAEAEA"/>
          </w:tcPr>
          <w:p>
            <w:pPr>
              <w:spacing w:after="0"/>
              <w:rPr>
                <w:sz w:val="8"/>
                <w:szCs w:val="8"/>
                <w:color w:val="auto"/>
              </w:rPr>
            </w:pPr>
          </w:p>
        </w:tc>
        <w:tc>
          <w:tcPr>
            <w:tcW w:w="1040" w:type="dxa"/>
            <w:vAlign w:val="bottom"/>
            <w:shd w:val="clear" w:color="auto" w:fill="EAEAEA"/>
          </w:tcPr>
          <w:p>
            <w:pPr>
              <w:spacing w:after="0"/>
              <w:rPr>
                <w:sz w:val="8"/>
                <w:szCs w:val="8"/>
                <w:color w:val="auto"/>
              </w:rPr>
            </w:pPr>
          </w:p>
        </w:tc>
        <w:tc>
          <w:tcPr>
            <w:tcW w:w="860" w:type="dxa"/>
            <w:vAlign w:val="bottom"/>
            <w:shd w:val="clear" w:color="auto" w:fill="EAEAEA"/>
          </w:tcPr>
          <w:p>
            <w:pPr>
              <w:spacing w:after="0"/>
              <w:rPr>
                <w:sz w:val="8"/>
                <w:szCs w:val="8"/>
                <w:color w:val="auto"/>
              </w:rPr>
            </w:pPr>
          </w:p>
        </w:tc>
        <w:tc>
          <w:tcPr>
            <w:tcW w:w="70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560" w:type="dxa"/>
            <w:vAlign w:val="bottom"/>
            <w:shd w:val="clear" w:color="auto" w:fill="EAEAEA"/>
          </w:tcPr>
          <w:p>
            <w:pPr>
              <w:spacing w:after="0"/>
              <w:rPr>
                <w:sz w:val="5"/>
                <w:szCs w:val="5"/>
                <w:color w:val="auto"/>
              </w:rPr>
            </w:pPr>
          </w:p>
        </w:tc>
        <w:tc>
          <w:tcPr>
            <w:tcW w:w="46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2680" w:type="dxa"/>
            <w:vAlign w:val="bottom"/>
            <w:shd w:val="clear" w:color="auto" w:fill="EAEAEA"/>
          </w:tcPr>
          <w:p>
            <w:pPr>
              <w:spacing w:after="0"/>
              <w:rPr>
                <w:sz w:val="5"/>
                <w:szCs w:val="5"/>
                <w:color w:val="auto"/>
              </w:rPr>
            </w:pPr>
          </w:p>
        </w:tc>
        <w:tc>
          <w:tcPr>
            <w:tcW w:w="1360" w:type="dxa"/>
            <w:vAlign w:val="bottom"/>
            <w:shd w:val="clear" w:color="auto" w:fill="EAEAEA"/>
          </w:tcPr>
          <w:p>
            <w:pPr>
              <w:spacing w:after="0"/>
              <w:rPr>
                <w:sz w:val="5"/>
                <w:szCs w:val="5"/>
                <w:color w:val="auto"/>
              </w:rPr>
            </w:pPr>
          </w:p>
        </w:tc>
        <w:tc>
          <w:tcPr>
            <w:tcW w:w="600" w:type="dxa"/>
            <w:vAlign w:val="bottom"/>
            <w:shd w:val="clear" w:color="auto" w:fill="EAEAEA"/>
          </w:tcPr>
          <w:p>
            <w:pPr>
              <w:spacing w:after="0"/>
              <w:rPr>
                <w:sz w:val="5"/>
                <w:szCs w:val="5"/>
                <w:color w:val="auto"/>
              </w:rPr>
            </w:pPr>
          </w:p>
        </w:tc>
        <w:tc>
          <w:tcPr>
            <w:tcW w:w="500" w:type="dxa"/>
            <w:vAlign w:val="bottom"/>
            <w:shd w:val="clear" w:color="auto" w:fill="EAEAEA"/>
          </w:tcPr>
          <w:p>
            <w:pPr>
              <w:spacing w:after="0"/>
              <w:rPr>
                <w:sz w:val="5"/>
                <w:szCs w:val="5"/>
                <w:color w:val="auto"/>
              </w:rPr>
            </w:pPr>
          </w:p>
        </w:tc>
        <w:tc>
          <w:tcPr>
            <w:tcW w:w="1040" w:type="dxa"/>
            <w:vAlign w:val="bottom"/>
            <w:shd w:val="clear" w:color="auto" w:fill="EAEAEA"/>
          </w:tcPr>
          <w:p>
            <w:pPr>
              <w:spacing w:after="0"/>
              <w:rPr>
                <w:sz w:val="5"/>
                <w:szCs w:val="5"/>
                <w:color w:val="auto"/>
              </w:rPr>
            </w:pPr>
          </w:p>
        </w:tc>
        <w:tc>
          <w:tcPr>
            <w:tcW w:w="860" w:type="dxa"/>
            <w:vAlign w:val="bottom"/>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Arial" w:cs="Arial" w:eastAsia="Arial" w:hAnsi="Arial"/>
                <w:sz w:val="14"/>
                <w:szCs w:val="14"/>
                <w:color w:val="auto"/>
              </w:rPr>
              <w:t>Retired Portfolio</w:t>
            </w: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60" w:type="dxa"/>
            <w:vAlign w:val="bottom"/>
            <w:vMerge w:val="restart"/>
          </w:tcPr>
          <w:p>
            <w:pPr>
              <w:ind w:left="80"/>
              <w:spacing w:after="0"/>
              <w:rPr>
                <w:sz w:val="20"/>
                <w:szCs w:val="20"/>
                <w:color w:val="auto"/>
              </w:rPr>
            </w:pPr>
            <w:r>
              <w:rPr>
                <w:rFonts w:ascii="Arial" w:cs="Arial" w:eastAsia="Arial" w:hAnsi="Arial"/>
                <w:sz w:val="14"/>
                <w:szCs w:val="14"/>
                <w:color w:val="auto"/>
              </w:rPr>
              <w:t>Susan Tolson</w:t>
            </w:r>
          </w:p>
        </w:tc>
        <w:tc>
          <w:tcPr>
            <w:tcW w:w="460" w:type="dxa"/>
            <w:vAlign w:val="bottom"/>
            <w:vMerge w:val="restart"/>
          </w:tcPr>
          <w:p>
            <w:pPr>
              <w:jc w:val="center"/>
              <w:spacing w:after="0"/>
              <w:rPr>
                <w:sz w:val="20"/>
                <w:szCs w:val="20"/>
                <w:color w:val="auto"/>
              </w:rPr>
            </w:pPr>
            <w:r>
              <w:rPr>
                <w:rFonts w:ascii="Arial" w:cs="Arial" w:eastAsia="Arial" w:hAnsi="Arial"/>
                <w:sz w:val="14"/>
                <w:szCs w:val="14"/>
                <w:color w:val="auto"/>
              </w:rPr>
              <w:t>58</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March</w:t>
            </w:r>
          </w:p>
        </w:tc>
        <w:tc>
          <w:tcPr>
            <w:tcW w:w="2680" w:type="dxa"/>
            <w:vAlign w:val="bottom"/>
          </w:tcPr>
          <w:p>
            <w:pPr>
              <w:ind w:left="80"/>
              <w:spacing w:after="0"/>
              <w:rPr>
                <w:sz w:val="20"/>
                <w:szCs w:val="20"/>
                <w:color w:val="auto"/>
              </w:rPr>
            </w:pPr>
            <w:r>
              <w:rPr>
                <w:rFonts w:ascii="Arial" w:cs="Arial" w:eastAsia="Arial" w:hAnsi="Arial"/>
                <w:sz w:val="14"/>
                <w:szCs w:val="14"/>
                <w:color w:val="auto"/>
              </w:rPr>
              <w:t>Manager, Capital</w:t>
            </w:r>
          </w:p>
        </w:tc>
        <w:tc>
          <w:tcPr>
            <w:tcW w:w="1360" w:type="dxa"/>
            <w:vAlign w:val="bottom"/>
            <w:vMerge w:val="restart"/>
          </w:tcPr>
          <w:p>
            <w:pPr>
              <w:jc w:val="center"/>
              <w:ind w:left="349"/>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3</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Chair</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5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680" w:type="dxa"/>
            <w:vAlign w:val="bottom"/>
            <w:vMerge w:val="restart"/>
          </w:tcPr>
          <w:p>
            <w:pPr>
              <w:ind w:left="80"/>
              <w:spacing w:after="0"/>
              <w:rPr>
                <w:sz w:val="20"/>
                <w:szCs w:val="20"/>
                <w:color w:val="auto"/>
              </w:rPr>
            </w:pPr>
            <w:r>
              <w:rPr>
                <w:rFonts w:ascii="Arial" w:cs="Arial" w:eastAsia="Arial" w:hAnsi="Arial"/>
                <w:sz w:val="14"/>
                <w:szCs w:val="14"/>
                <w:color w:val="auto"/>
              </w:rPr>
              <w:t>Research and</w:t>
            </w:r>
          </w:p>
        </w:tc>
        <w:tc>
          <w:tcPr>
            <w:tcW w:w="13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2014</w:t>
            </w:r>
          </w:p>
        </w:tc>
        <w:tc>
          <w:tcPr>
            <w:tcW w:w="26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680" w:type="dxa"/>
            <w:vAlign w:val="bottom"/>
            <w:vMerge w:val="restart"/>
          </w:tcPr>
          <w:p>
            <w:pPr>
              <w:ind w:left="80"/>
              <w:spacing w:after="0"/>
              <w:rPr>
                <w:sz w:val="20"/>
                <w:szCs w:val="20"/>
                <w:color w:val="auto"/>
              </w:rPr>
            </w:pPr>
            <w:r>
              <w:rPr>
                <w:rFonts w:ascii="Arial" w:cs="Arial" w:eastAsia="Arial" w:hAnsi="Arial"/>
                <w:sz w:val="14"/>
                <w:szCs w:val="14"/>
                <w:color w:val="auto"/>
              </w:rPr>
              <w:t>Management</w:t>
            </w:r>
          </w:p>
        </w:tc>
        <w:tc>
          <w:tcPr>
            <w:tcW w:w="1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Arial" w:cs="Arial" w:eastAsia="Arial" w:hAnsi="Arial"/>
                <w:sz w:val="14"/>
                <w:szCs w:val="14"/>
                <w:color w:val="auto"/>
              </w:rPr>
              <w:t>Company</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56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Paul Viera</w:t>
            </w:r>
          </w:p>
        </w:tc>
        <w:tc>
          <w:tcPr>
            <w:tcW w:w="46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rPr>
              <w:t>61</w:t>
            </w:r>
          </w:p>
        </w:tc>
        <w:tc>
          <w:tcPr>
            <w:tcW w:w="88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rPr>
              <w:t>May</w:t>
            </w:r>
          </w:p>
        </w:tc>
        <w:tc>
          <w:tcPr>
            <w:tcW w:w="2680" w:type="dxa"/>
            <w:vAlign w:val="bottom"/>
            <w:shd w:val="clear" w:color="auto" w:fill="EAEAEA"/>
          </w:tcPr>
          <w:p>
            <w:pPr>
              <w:ind w:left="80"/>
              <w:spacing w:after="0"/>
              <w:rPr>
                <w:sz w:val="20"/>
                <w:szCs w:val="20"/>
                <w:color w:val="auto"/>
              </w:rPr>
            </w:pPr>
            <w:r>
              <w:rPr>
                <w:rFonts w:ascii="Arial" w:cs="Arial" w:eastAsia="Arial" w:hAnsi="Arial"/>
                <w:sz w:val="14"/>
                <w:szCs w:val="14"/>
                <w:color w:val="auto"/>
              </w:rPr>
              <w:t>Chief Executive</w:t>
            </w:r>
          </w:p>
        </w:tc>
        <w:tc>
          <w:tcPr>
            <w:tcW w:w="1360" w:type="dxa"/>
            <w:vAlign w:val="bottom"/>
            <w:vMerge w:val="restart"/>
            <w:shd w:val="clear" w:color="auto" w:fill="EAEAEA"/>
          </w:tcPr>
          <w:p>
            <w:pPr>
              <w:jc w:val="center"/>
              <w:ind w:left="349"/>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w w:val="99"/>
              </w:rPr>
              <w:t>—</w:t>
            </w:r>
          </w:p>
        </w:tc>
        <w:tc>
          <w:tcPr>
            <w:tcW w:w="50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w w:val="94"/>
              </w:rPr>
              <w:t>●</w:t>
            </w:r>
          </w:p>
        </w:tc>
        <w:tc>
          <w:tcPr>
            <w:tcW w:w="1040" w:type="dxa"/>
            <w:vAlign w:val="bottom"/>
            <w:shd w:val="clear" w:color="auto" w:fill="EAEAEA"/>
          </w:tcPr>
          <w:p>
            <w:pPr>
              <w:spacing w:after="0"/>
              <w:rPr>
                <w:sz w:val="18"/>
                <w:szCs w:val="18"/>
                <w:color w:val="auto"/>
              </w:rPr>
            </w:pPr>
          </w:p>
        </w:tc>
        <w:tc>
          <w:tcPr>
            <w:tcW w:w="860" w:type="dxa"/>
            <w:vAlign w:val="bottom"/>
            <w:shd w:val="clear" w:color="auto" w:fill="EAEAEA"/>
          </w:tcPr>
          <w:p>
            <w:pPr>
              <w:spacing w:after="0"/>
              <w:rPr>
                <w:sz w:val="18"/>
                <w:szCs w:val="18"/>
                <w:color w:val="auto"/>
              </w:rPr>
            </w:pPr>
          </w:p>
        </w:tc>
        <w:tc>
          <w:tcPr>
            <w:tcW w:w="7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560" w:type="dxa"/>
            <w:vAlign w:val="bottom"/>
            <w:vMerge w:val="continue"/>
            <w:shd w:val="clear" w:color="auto" w:fill="EAEAEA"/>
          </w:tcPr>
          <w:p>
            <w:pPr>
              <w:spacing w:after="0"/>
              <w:rPr>
                <w:sz w:val="5"/>
                <w:szCs w:val="5"/>
                <w:color w:val="auto"/>
              </w:rPr>
            </w:pPr>
          </w:p>
        </w:tc>
        <w:tc>
          <w:tcPr>
            <w:tcW w:w="460" w:type="dxa"/>
            <w:vAlign w:val="bottom"/>
            <w:vMerge w:val="continue"/>
            <w:shd w:val="clear" w:color="auto" w:fill="EAEAEA"/>
          </w:tcPr>
          <w:p>
            <w:pPr>
              <w:spacing w:after="0"/>
              <w:rPr>
                <w:sz w:val="5"/>
                <w:szCs w:val="5"/>
                <w:color w:val="auto"/>
              </w:rPr>
            </w:pPr>
          </w:p>
        </w:tc>
        <w:tc>
          <w:tcPr>
            <w:tcW w:w="880" w:type="dxa"/>
            <w:vAlign w:val="bottom"/>
            <w:vMerge w:val="continue"/>
            <w:shd w:val="clear" w:color="auto" w:fill="EAEAEA"/>
          </w:tcPr>
          <w:p>
            <w:pPr>
              <w:spacing w:after="0"/>
              <w:rPr>
                <w:sz w:val="5"/>
                <w:szCs w:val="5"/>
                <w:color w:val="auto"/>
              </w:rPr>
            </w:pPr>
          </w:p>
        </w:tc>
        <w:tc>
          <w:tcPr>
            <w:tcW w:w="268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Officer, Earnest</w:t>
            </w:r>
          </w:p>
        </w:tc>
        <w:tc>
          <w:tcPr>
            <w:tcW w:w="1360" w:type="dxa"/>
            <w:vAlign w:val="bottom"/>
            <w:vMerge w:val="continue"/>
            <w:shd w:val="clear" w:color="auto" w:fill="EAEAEA"/>
          </w:tcPr>
          <w:p>
            <w:pPr>
              <w:spacing w:after="0"/>
              <w:rPr>
                <w:sz w:val="5"/>
                <w:szCs w:val="5"/>
                <w:color w:val="auto"/>
              </w:rPr>
            </w:pPr>
          </w:p>
        </w:tc>
        <w:tc>
          <w:tcPr>
            <w:tcW w:w="600" w:type="dxa"/>
            <w:vAlign w:val="bottom"/>
            <w:vMerge w:val="continue"/>
            <w:shd w:val="clear" w:color="auto" w:fill="EAEAEA"/>
          </w:tcPr>
          <w:p>
            <w:pPr>
              <w:spacing w:after="0"/>
              <w:rPr>
                <w:sz w:val="5"/>
                <w:szCs w:val="5"/>
                <w:color w:val="auto"/>
              </w:rPr>
            </w:pPr>
          </w:p>
        </w:tc>
        <w:tc>
          <w:tcPr>
            <w:tcW w:w="500" w:type="dxa"/>
            <w:vAlign w:val="bottom"/>
            <w:vMerge w:val="continue"/>
            <w:shd w:val="clear" w:color="auto" w:fill="EAEAEA"/>
          </w:tcPr>
          <w:p>
            <w:pPr>
              <w:spacing w:after="0"/>
              <w:rPr>
                <w:sz w:val="5"/>
                <w:szCs w:val="5"/>
                <w:color w:val="auto"/>
              </w:rPr>
            </w:pPr>
          </w:p>
        </w:tc>
        <w:tc>
          <w:tcPr>
            <w:tcW w:w="1040" w:type="dxa"/>
            <w:vAlign w:val="bottom"/>
            <w:shd w:val="clear" w:color="auto" w:fill="EAEAEA"/>
          </w:tcPr>
          <w:p>
            <w:pPr>
              <w:spacing w:after="0"/>
              <w:rPr>
                <w:sz w:val="5"/>
                <w:szCs w:val="5"/>
                <w:color w:val="auto"/>
              </w:rPr>
            </w:pPr>
          </w:p>
        </w:tc>
        <w:tc>
          <w:tcPr>
            <w:tcW w:w="860" w:type="dxa"/>
            <w:vAlign w:val="bottom"/>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560" w:type="dxa"/>
            <w:vAlign w:val="bottom"/>
            <w:vMerge w:val="continue"/>
            <w:shd w:val="clear" w:color="auto" w:fill="EAEAEA"/>
          </w:tcPr>
          <w:p>
            <w:pPr>
              <w:spacing w:after="0"/>
              <w:rPr>
                <w:sz w:val="8"/>
                <w:szCs w:val="8"/>
                <w:color w:val="auto"/>
              </w:rPr>
            </w:pPr>
          </w:p>
        </w:tc>
        <w:tc>
          <w:tcPr>
            <w:tcW w:w="460" w:type="dxa"/>
            <w:vAlign w:val="bottom"/>
            <w:vMerge w:val="continue"/>
            <w:shd w:val="clear" w:color="auto" w:fill="EAEAEA"/>
          </w:tcPr>
          <w:p>
            <w:pPr>
              <w:spacing w:after="0"/>
              <w:rPr>
                <w:sz w:val="8"/>
                <w:szCs w:val="8"/>
                <w:color w:val="auto"/>
              </w:rPr>
            </w:pPr>
          </w:p>
        </w:tc>
        <w:tc>
          <w:tcPr>
            <w:tcW w:w="88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auto"/>
              </w:rPr>
              <w:t>2018</w:t>
            </w:r>
          </w:p>
        </w:tc>
        <w:tc>
          <w:tcPr>
            <w:tcW w:w="2680" w:type="dxa"/>
            <w:vAlign w:val="bottom"/>
            <w:vMerge w:val="continue"/>
            <w:shd w:val="clear" w:color="auto" w:fill="EAEAEA"/>
          </w:tcPr>
          <w:p>
            <w:pPr>
              <w:spacing w:after="0"/>
              <w:rPr>
                <w:sz w:val="8"/>
                <w:szCs w:val="8"/>
                <w:color w:val="auto"/>
              </w:rPr>
            </w:pPr>
          </w:p>
        </w:tc>
        <w:tc>
          <w:tcPr>
            <w:tcW w:w="1360" w:type="dxa"/>
            <w:vAlign w:val="bottom"/>
            <w:vMerge w:val="continue"/>
            <w:shd w:val="clear" w:color="auto" w:fill="EAEAEA"/>
          </w:tcPr>
          <w:p>
            <w:pPr>
              <w:spacing w:after="0"/>
              <w:rPr>
                <w:sz w:val="8"/>
                <w:szCs w:val="8"/>
                <w:color w:val="auto"/>
              </w:rPr>
            </w:pPr>
          </w:p>
        </w:tc>
        <w:tc>
          <w:tcPr>
            <w:tcW w:w="600" w:type="dxa"/>
            <w:vAlign w:val="bottom"/>
            <w:vMerge w:val="continue"/>
            <w:shd w:val="clear" w:color="auto" w:fill="EAEAEA"/>
          </w:tcPr>
          <w:p>
            <w:pPr>
              <w:spacing w:after="0"/>
              <w:rPr>
                <w:sz w:val="8"/>
                <w:szCs w:val="8"/>
                <w:color w:val="auto"/>
              </w:rPr>
            </w:pPr>
          </w:p>
        </w:tc>
        <w:tc>
          <w:tcPr>
            <w:tcW w:w="500" w:type="dxa"/>
            <w:vAlign w:val="bottom"/>
            <w:vMerge w:val="continue"/>
            <w:shd w:val="clear" w:color="auto" w:fill="EAEAEA"/>
          </w:tcPr>
          <w:p>
            <w:pPr>
              <w:spacing w:after="0"/>
              <w:rPr>
                <w:sz w:val="8"/>
                <w:szCs w:val="8"/>
                <w:color w:val="auto"/>
              </w:rPr>
            </w:pPr>
          </w:p>
        </w:tc>
        <w:tc>
          <w:tcPr>
            <w:tcW w:w="1040" w:type="dxa"/>
            <w:vAlign w:val="bottom"/>
            <w:shd w:val="clear" w:color="auto" w:fill="EAEAEA"/>
          </w:tcPr>
          <w:p>
            <w:pPr>
              <w:spacing w:after="0"/>
              <w:rPr>
                <w:sz w:val="8"/>
                <w:szCs w:val="8"/>
                <w:color w:val="auto"/>
              </w:rPr>
            </w:pPr>
          </w:p>
        </w:tc>
        <w:tc>
          <w:tcPr>
            <w:tcW w:w="860" w:type="dxa"/>
            <w:vAlign w:val="bottom"/>
            <w:shd w:val="clear" w:color="auto" w:fill="EAEAEA"/>
          </w:tcPr>
          <w:p>
            <w:pPr>
              <w:spacing w:after="0"/>
              <w:rPr>
                <w:sz w:val="8"/>
                <w:szCs w:val="8"/>
                <w:color w:val="auto"/>
              </w:rPr>
            </w:pPr>
          </w:p>
        </w:tc>
        <w:tc>
          <w:tcPr>
            <w:tcW w:w="70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560" w:type="dxa"/>
            <w:vAlign w:val="bottom"/>
            <w:shd w:val="clear" w:color="auto" w:fill="EAEAEA"/>
          </w:tcPr>
          <w:p>
            <w:pPr>
              <w:spacing w:after="0"/>
              <w:rPr>
                <w:sz w:val="6"/>
                <w:szCs w:val="6"/>
                <w:color w:val="auto"/>
              </w:rPr>
            </w:pPr>
          </w:p>
        </w:tc>
        <w:tc>
          <w:tcPr>
            <w:tcW w:w="460" w:type="dxa"/>
            <w:vAlign w:val="bottom"/>
            <w:shd w:val="clear" w:color="auto" w:fill="EAEAEA"/>
          </w:tcPr>
          <w:p>
            <w:pPr>
              <w:spacing w:after="0"/>
              <w:rPr>
                <w:sz w:val="6"/>
                <w:szCs w:val="6"/>
                <w:color w:val="auto"/>
              </w:rPr>
            </w:pPr>
          </w:p>
        </w:tc>
        <w:tc>
          <w:tcPr>
            <w:tcW w:w="880" w:type="dxa"/>
            <w:vAlign w:val="bottom"/>
            <w:vMerge w:val="continue"/>
            <w:shd w:val="clear" w:color="auto" w:fill="EAEAEA"/>
          </w:tcPr>
          <w:p>
            <w:pPr>
              <w:spacing w:after="0"/>
              <w:rPr>
                <w:sz w:val="6"/>
                <w:szCs w:val="6"/>
                <w:color w:val="auto"/>
              </w:rPr>
            </w:pPr>
          </w:p>
        </w:tc>
        <w:tc>
          <w:tcPr>
            <w:tcW w:w="268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Partners LLC</w:t>
            </w:r>
          </w:p>
        </w:tc>
        <w:tc>
          <w:tcPr>
            <w:tcW w:w="1360" w:type="dxa"/>
            <w:vAlign w:val="bottom"/>
            <w:shd w:val="clear" w:color="auto" w:fill="EAEAEA"/>
          </w:tcPr>
          <w:p>
            <w:pPr>
              <w:spacing w:after="0"/>
              <w:rPr>
                <w:sz w:val="6"/>
                <w:szCs w:val="6"/>
                <w:color w:val="auto"/>
              </w:rPr>
            </w:pPr>
          </w:p>
        </w:tc>
        <w:tc>
          <w:tcPr>
            <w:tcW w:w="600" w:type="dxa"/>
            <w:vAlign w:val="bottom"/>
            <w:shd w:val="clear" w:color="auto" w:fill="EAEAEA"/>
          </w:tcPr>
          <w:p>
            <w:pPr>
              <w:spacing w:after="0"/>
              <w:rPr>
                <w:sz w:val="6"/>
                <w:szCs w:val="6"/>
                <w:color w:val="auto"/>
              </w:rPr>
            </w:pPr>
          </w:p>
        </w:tc>
        <w:tc>
          <w:tcPr>
            <w:tcW w:w="500" w:type="dxa"/>
            <w:vAlign w:val="bottom"/>
            <w:shd w:val="clear" w:color="auto" w:fill="EAEAEA"/>
          </w:tcPr>
          <w:p>
            <w:pPr>
              <w:spacing w:after="0"/>
              <w:rPr>
                <w:sz w:val="6"/>
                <w:szCs w:val="6"/>
                <w:color w:val="auto"/>
              </w:rPr>
            </w:pPr>
          </w:p>
        </w:tc>
        <w:tc>
          <w:tcPr>
            <w:tcW w:w="1040" w:type="dxa"/>
            <w:vAlign w:val="bottom"/>
            <w:shd w:val="clear" w:color="auto" w:fill="EAEAEA"/>
          </w:tcPr>
          <w:p>
            <w:pPr>
              <w:spacing w:after="0"/>
              <w:rPr>
                <w:sz w:val="6"/>
                <w:szCs w:val="6"/>
                <w:color w:val="auto"/>
              </w:rPr>
            </w:pPr>
          </w:p>
        </w:tc>
        <w:tc>
          <w:tcPr>
            <w:tcW w:w="860" w:type="dxa"/>
            <w:vAlign w:val="bottom"/>
            <w:shd w:val="clear" w:color="auto" w:fill="EAEAEA"/>
          </w:tcPr>
          <w:p>
            <w:pPr>
              <w:spacing w:after="0"/>
              <w:rPr>
                <w:sz w:val="6"/>
                <w:szCs w:val="6"/>
                <w:color w:val="auto"/>
              </w:rPr>
            </w:pPr>
          </w:p>
        </w:tc>
        <w:tc>
          <w:tcPr>
            <w:tcW w:w="70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560" w:type="dxa"/>
            <w:vAlign w:val="bottom"/>
            <w:shd w:val="clear" w:color="auto" w:fill="EAEAEA"/>
          </w:tcPr>
          <w:p>
            <w:pPr>
              <w:spacing w:after="0"/>
              <w:rPr>
                <w:sz w:val="8"/>
                <w:szCs w:val="8"/>
                <w:color w:val="auto"/>
              </w:rPr>
            </w:pPr>
          </w:p>
        </w:tc>
        <w:tc>
          <w:tcPr>
            <w:tcW w:w="460" w:type="dxa"/>
            <w:vAlign w:val="bottom"/>
            <w:shd w:val="clear" w:color="auto" w:fill="EAEAEA"/>
          </w:tcPr>
          <w:p>
            <w:pPr>
              <w:spacing w:after="0"/>
              <w:rPr>
                <w:sz w:val="8"/>
                <w:szCs w:val="8"/>
                <w:color w:val="auto"/>
              </w:rPr>
            </w:pPr>
          </w:p>
        </w:tc>
        <w:tc>
          <w:tcPr>
            <w:tcW w:w="880" w:type="dxa"/>
            <w:vAlign w:val="bottom"/>
            <w:shd w:val="clear" w:color="auto" w:fill="EAEAEA"/>
          </w:tcPr>
          <w:p>
            <w:pPr>
              <w:spacing w:after="0"/>
              <w:rPr>
                <w:sz w:val="8"/>
                <w:szCs w:val="8"/>
                <w:color w:val="auto"/>
              </w:rPr>
            </w:pPr>
          </w:p>
        </w:tc>
        <w:tc>
          <w:tcPr>
            <w:tcW w:w="2680" w:type="dxa"/>
            <w:vAlign w:val="bottom"/>
            <w:vMerge w:val="continue"/>
            <w:shd w:val="clear" w:color="auto" w:fill="EAEAEA"/>
          </w:tcPr>
          <w:p>
            <w:pPr>
              <w:spacing w:after="0"/>
              <w:rPr>
                <w:sz w:val="8"/>
                <w:szCs w:val="8"/>
                <w:color w:val="auto"/>
              </w:rPr>
            </w:pPr>
          </w:p>
        </w:tc>
        <w:tc>
          <w:tcPr>
            <w:tcW w:w="1360" w:type="dxa"/>
            <w:vAlign w:val="bottom"/>
            <w:shd w:val="clear" w:color="auto" w:fill="EAEAEA"/>
          </w:tcPr>
          <w:p>
            <w:pPr>
              <w:spacing w:after="0"/>
              <w:rPr>
                <w:sz w:val="8"/>
                <w:szCs w:val="8"/>
                <w:color w:val="auto"/>
              </w:rPr>
            </w:pPr>
          </w:p>
        </w:tc>
        <w:tc>
          <w:tcPr>
            <w:tcW w:w="600" w:type="dxa"/>
            <w:vAlign w:val="bottom"/>
            <w:shd w:val="clear" w:color="auto" w:fill="EAEAEA"/>
          </w:tcPr>
          <w:p>
            <w:pPr>
              <w:spacing w:after="0"/>
              <w:rPr>
                <w:sz w:val="8"/>
                <w:szCs w:val="8"/>
                <w:color w:val="auto"/>
              </w:rPr>
            </w:pPr>
          </w:p>
        </w:tc>
        <w:tc>
          <w:tcPr>
            <w:tcW w:w="500" w:type="dxa"/>
            <w:vAlign w:val="bottom"/>
            <w:shd w:val="clear" w:color="auto" w:fill="EAEAEA"/>
          </w:tcPr>
          <w:p>
            <w:pPr>
              <w:spacing w:after="0"/>
              <w:rPr>
                <w:sz w:val="8"/>
                <w:szCs w:val="8"/>
                <w:color w:val="auto"/>
              </w:rPr>
            </w:pPr>
          </w:p>
        </w:tc>
        <w:tc>
          <w:tcPr>
            <w:tcW w:w="1040" w:type="dxa"/>
            <w:vAlign w:val="bottom"/>
            <w:shd w:val="clear" w:color="auto" w:fill="EAEAEA"/>
          </w:tcPr>
          <w:p>
            <w:pPr>
              <w:spacing w:after="0"/>
              <w:rPr>
                <w:sz w:val="8"/>
                <w:szCs w:val="8"/>
                <w:color w:val="auto"/>
              </w:rPr>
            </w:pPr>
          </w:p>
        </w:tc>
        <w:tc>
          <w:tcPr>
            <w:tcW w:w="860" w:type="dxa"/>
            <w:vAlign w:val="bottom"/>
            <w:shd w:val="clear" w:color="auto" w:fill="EAEAEA"/>
          </w:tcPr>
          <w:p>
            <w:pPr>
              <w:spacing w:after="0"/>
              <w:rPr>
                <w:sz w:val="8"/>
                <w:szCs w:val="8"/>
                <w:color w:val="auto"/>
              </w:rPr>
            </w:pPr>
          </w:p>
        </w:tc>
        <w:tc>
          <w:tcPr>
            <w:tcW w:w="70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560" w:type="dxa"/>
            <w:vAlign w:val="bottom"/>
            <w:shd w:val="clear" w:color="auto" w:fill="EAEAEA"/>
          </w:tcPr>
          <w:p>
            <w:pPr>
              <w:spacing w:after="0"/>
              <w:rPr>
                <w:sz w:val="5"/>
                <w:szCs w:val="5"/>
                <w:color w:val="auto"/>
              </w:rPr>
            </w:pPr>
          </w:p>
        </w:tc>
        <w:tc>
          <w:tcPr>
            <w:tcW w:w="46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2680" w:type="dxa"/>
            <w:vAlign w:val="bottom"/>
            <w:shd w:val="clear" w:color="auto" w:fill="EAEAEA"/>
          </w:tcPr>
          <w:p>
            <w:pPr>
              <w:spacing w:after="0"/>
              <w:rPr>
                <w:sz w:val="5"/>
                <w:szCs w:val="5"/>
                <w:color w:val="auto"/>
              </w:rPr>
            </w:pPr>
          </w:p>
        </w:tc>
        <w:tc>
          <w:tcPr>
            <w:tcW w:w="1360" w:type="dxa"/>
            <w:vAlign w:val="bottom"/>
            <w:shd w:val="clear" w:color="auto" w:fill="EAEAEA"/>
          </w:tcPr>
          <w:p>
            <w:pPr>
              <w:spacing w:after="0"/>
              <w:rPr>
                <w:sz w:val="5"/>
                <w:szCs w:val="5"/>
                <w:color w:val="auto"/>
              </w:rPr>
            </w:pPr>
          </w:p>
        </w:tc>
        <w:tc>
          <w:tcPr>
            <w:tcW w:w="600" w:type="dxa"/>
            <w:vAlign w:val="bottom"/>
            <w:shd w:val="clear" w:color="auto" w:fill="EAEAEA"/>
          </w:tcPr>
          <w:p>
            <w:pPr>
              <w:spacing w:after="0"/>
              <w:rPr>
                <w:sz w:val="5"/>
                <w:szCs w:val="5"/>
                <w:color w:val="auto"/>
              </w:rPr>
            </w:pPr>
          </w:p>
        </w:tc>
        <w:tc>
          <w:tcPr>
            <w:tcW w:w="500" w:type="dxa"/>
            <w:vAlign w:val="bottom"/>
            <w:shd w:val="clear" w:color="auto" w:fill="EAEAEA"/>
          </w:tcPr>
          <w:p>
            <w:pPr>
              <w:spacing w:after="0"/>
              <w:rPr>
                <w:sz w:val="5"/>
                <w:szCs w:val="5"/>
                <w:color w:val="auto"/>
              </w:rPr>
            </w:pPr>
          </w:p>
        </w:tc>
        <w:tc>
          <w:tcPr>
            <w:tcW w:w="1040" w:type="dxa"/>
            <w:vAlign w:val="bottom"/>
            <w:shd w:val="clear" w:color="auto" w:fill="EAEAEA"/>
          </w:tcPr>
          <w:p>
            <w:pPr>
              <w:spacing w:after="0"/>
              <w:rPr>
                <w:sz w:val="5"/>
                <w:szCs w:val="5"/>
                <w:color w:val="auto"/>
              </w:rPr>
            </w:pPr>
          </w:p>
        </w:tc>
        <w:tc>
          <w:tcPr>
            <w:tcW w:w="860" w:type="dxa"/>
            <w:vAlign w:val="bottom"/>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560" w:type="dxa"/>
            <w:vAlign w:val="bottom"/>
            <w:vMerge w:val="restart"/>
          </w:tcPr>
          <w:p>
            <w:pPr>
              <w:ind w:left="80"/>
              <w:spacing w:after="0"/>
              <w:rPr>
                <w:sz w:val="20"/>
                <w:szCs w:val="20"/>
                <w:color w:val="auto"/>
              </w:rPr>
            </w:pPr>
            <w:r>
              <w:rPr>
                <w:rFonts w:ascii="Arial" w:cs="Arial" w:eastAsia="Arial" w:hAnsi="Arial"/>
                <w:sz w:val="14"/>
                <w:szCs w:val="14"/>
                <w:color w:val="auto"/>
              </w:rPr>
              <w:t>Strauss Zelnick</w:t>
            </w:r>
          </w:p>
        </w:tc>
        <w:tc>
          <w:tcPr>
            <w:tcW w:w="460" w:type="dxa"/>
            <w:vAlign w:val="bottom"/>
            <w:vMerge w:val="restart"/>
          </w:tcPr>
          <w:p>
            <w:pPr>
              <w:jc w:val="center"/>
              <w:spacing w:after="0"/>
              <w:rPr>
                <w:sz w:val="20"/>
                <w:szCs w:val="20"/>
                <w:color w:val="auto"/>
              </w:rPr>
            </w:pPr>
            <w:r>
              <w:rPr>
                <w:rFonts w:ascii="Arial" w:cs="Arial" w:eastAsia="Arial" w:hAnsi="Arial"/>
                <w:sz w:val="14"/>
                <w:szCs w:val="14"/>
                <w:color w:val="auto"/>
              </w:rPr>
              <w:t>63</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March</w:t>
            </w:r>
          </w:p>
        </w:tc>
        <w:tc>
          <w:tcPr>
            <w:tcW w:w="2680" w:type="dxa"/>
            <w:vAlign w:val="bottom"/>
          </w:tcPr>
          <w:p>
            <w:pPr>
              <w:ind w:left="80"/>
              <w:spacing w:after="0"/>
              <w:rPr>
                <w:sz w:val="20"/>
                <w:szCs w:val="20"/>
                <w:color w:val="auto"/>
              </w:rPr>
            </w:pPr>
            <w:r>
              <w:rPr>
                <w:rFonts w:ascii="Arial" w:cs="Arial" w:eastAsia="Arial" w:hAnsi="Arial"/>
                <w:sz w:val="14"/>
                <w:szCs w:val="14"/>
                <w:color w:val="auto"/>
              </w:rPr>
              <w:t>Chairman and CEO,</w:t>
            </w:r>
          </w:p>
        </w:tc>
        <w:tc>
          <w:tcPr>
            <w:tcW w:w="13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1</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5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680" w:type="dxa"/>
            <w:vAlign w:val="bottom"/>
            <w:vMerge w:val="restart"/>
          </w:tcPr>
          <w:p>
            <w:pPr>
              <w:ind w:left="80"/>
              <w:spacing w:after="0"/>
              <w:rPr>
                <w:sz w:val="20"/>
                <w:szCs w:val="20"/>
                <w:color w:val="auto"/>
              </w:rPr>
            </w:pPr>
            <w:r>
              <w:rPr>
                <w:rFonts w:ascii="Arial" w:cs="Arial" w:eastAsia="Arial" w:hAnsi="Arial"/>
                <w:sz w:val="14"/>
                <w:szCs w:val="14"/>
                <w:color w:val="auto"/>
              </w:rPr>
              <w:t>Take-Two Interactive</w:t>
            </w:r>
          </w:p>
        </w:tc>
        <w:tc>
          <w:tcPr>
            <w:tcW w:w="13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2007</w:t>
            </w:r>
          </w:p>
        </w:tc>
        <w:tc>
          <w:tcPr>
            <w:tcW w:w="26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680" w:type="dxa"/>
            <w:vAlign w:val="bottom"/>
            <w:vMerge w:val="restart"/>
          </w:tcPr>
          <w:p>
            <w:pPr>
              <w:ind w:left="80"/>
              <w:spacing w:after="0"/>
              <w:rPr>
                <w:sz w:val="20"/>
                <w:szCs w:val="20"/>
                <w:color w:val="auto"/>
              </w:rPr>
            </w:pPr>
            <w:r>
              <w:rPr>
                <w:rFonts w:ascii="Arial" w:cs="Arial" w:eastAsia="Arial" w:hAnsi="Arial"/>
                <w:sz w:val="14"/>
                <w:szCs w:val="14"/>
                <w:color w:val="auto"/>
              </w:rPr>
              <w:t>Software, Inc.</w:t>
            </w:r>
          </w:p>
        </w:tc>
        <w:tc>
          <w:tcPr>
            <w:tcW w:w="1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5CB9"/>
        </w:rPr>
        <w:t>Shareholder Engagement</w:t>
      </w:r>
    </w:p>
    <w:p>
      <w:pPr>
        <w:spacing w:after="0" w:line="159" w:lineRule="exact"/>
        <w:rPr>
          <w:sz w:val="20"/>
          <w:szCs w:val="20"/>
          <w:color w:val="auto"/>
        </w:rPr>
      </w:pPr>
    </w:p>
    <w:p>
      <w:pPr>
        <w:ind w:left="300" w:right="200"/>
        <w:spacing w:after="0" w:line="250" w:lineRule="auto"/>
        <w:rPr>
          <w:sz w:val="20"/>
          <w:szCs w:val="20"/>
          <w:color w:val="auto"/>
        </w:rPr>
      </w:pPr>
      <w:r>
        <w:rPr>
          <w:rFonts w:ascii="Arial" w:cs="Arial" w:eastAsia="Arial" w:hAnsi="Arial"/>
          <w:sz w:val="16"/>
          <w:szCs w:val="16"/>
          <w:color w:val="auto"/>
        </w:rPr>
        <w:t>The Board of Directors places a premium on, oversees and, together with management, regularly participates in an extensive, year-round shareholder engagement program to encourage ongoing, meaningful dialogue about the topics they find most important. We discuss a diverse range of topics with our shareholders, including board, governance, and executive compensation practices, on which we actively seek shareholder feedback. In the months leading up to the filing of this Proxy Statement, we sought discussions with holders of over 69% of our outstanding shares (percentage based on the Company’s investors’ most recent filings at the time of outreach) and had discussions with a number of our top holders.</w:t>
      </w:r>
    </w:p>
    <w:p>
      <w:pPr>
        <w:spacing w:after="0" w:line="203" w:lineRule="exact"/>
        <w:rPr>
          <w:sz w:val="20"/>
          <w:szCs w:val="20"/>
          <w:color w:val="auto"/>
        </w:rPr>
      </w:pPr>
    </w:p>
    <w:p>
      <w:pPr>
        <w:ind w:left="300" w:right="200"/>
        <w:spacing w:after="0" w:line="249" w:lineRule="auto"/>
        <w:rPr>
          <w:sz w:val="20"/>
          <w:szCs w:val="20"/>
          <w:color w:val="auto"/>
        </w:rPr>
      </w:pPr>
      <w:r>
        <w:rPr>
          <w:rFonts w:ascii="Arial" w:cs="Arial" w:eastAsia="Arial" w:hAnsi="Arial"/>
          <w:sz w:val="16"/>
          <w:szCs w:val="16"/>
          <w:color w:val="auto"/>
        </w:rPr>
        <w:t>Investor perspectives shared through these discussions help to inform deliberations in the boardroom and are considered by the Board and its committees in decision making. In response to feedback from our shareholders, we formed a management committee with respect to environmental, social and governance matters, which is overseen by the Corporate Governance Committee. The management committee has continued to evaluate and administer the Company’s environmental, social and governance efforts. We have also continued to enhance our disclosure related to certain human capital and sustainability matters. See “Election of Directors (Proposal 1)—Corporate Governance and Board Matters—Environmental, Social and Governance Matters” for additional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403225</wp:posOffset>
            </wp:positionV>
            <wp:extent cx="291465"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980" w:type="dxa"/>
        <w:tblCellMar>
          <w:top w:w="0" w:type="dxa"/>
          <w:left w:w="0" w:type="dxa"/>
          <w:bottom w:w="0" w:type="dxa"/>
          <w:right w:w="0" w:type="dxa"/>
        </w:tblCellMar>
      </w:tblPr>
      <w:tr>
        <w:trPr>
          <w:trHeight w:val="215"/>
        </w:trPr>
        <w:tc>
          <w:tcPr>
            <w:tcW w:w="392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5</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54305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0" cy="145415"/>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P</w:t>
      </w:r>
      <w:r>
        <w:rPr>
          <w:rFonts w:ascii="Arial" w:cs="Arial" w:eastAsia="Arial" w:hAnsi="Arial"/>
          <w:sz w:val="11"/>
          <w:szCs w:val="11"/>
          <w:b w:val="1"/>
          <w:bCs w:val="1"/>
          <w:color w:val="005CB9"/>
        </w:rPr>
        <w:t>ROXY</w:t>
      </w:r>
      <w:r>
        <w:rPr>
          <w:rFonts w:ascii="Arial" w:cs="Arial" w:eastAsia="Arial" w:hAnsi="Arial"/>
          <w:sz w:val="14"/>
          <w:szCs w:val="14"/>
          <w:b w:val="1"/>
          <w:bCs w:val="1"/>
          <w:color w:val="005CB9"/>
        </w:rPr>
        <w:t xml:space="preserve"> S</w:t>
      </w:r>
      <w:r>
        <w:rPr>
          <w:rFonts w:ascii="Arial" w:cs="Arial" w:eastAsia="Arial" w:hAnsi="Arial"/>
          <w:sz w:val="11"/>
          <w:szCs w:val="11"/>
          <w:b w:val="1"/>
          <w:bCs w:val="1"/>
          <w:color w:val="005CB9"/>
        </w:rPr>
        <w:t>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118110</wp:posOffset>
            </wp:positionV>
            <wp:extent cx="6998970" cy="66560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656070"/>
                    </a:xfrm>
                    <a:prstGeom prst="rect">
                      <a:avLst/>
                    </a:prstGeom>
                    <a:noFill/>
                  </pic:spPr>
                </pic:pic>
              </a:graphicData>
            </a:graphic>
          </wp:anchor>
        </w:drawing>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5CB9"/>
        </w:rPr>
        <w:t>Corporate Governance Highlights</w:t>
      </w:r>
    </w:p>
    <w:p>
      <w:pPr>
        <w:spacing w:after="0" w:line="159" w:lineRule="exact"/>
        <w:rPr>
          <w:sz w:val="20"/>
          <w:szCs w:val="20"/>
          <w:color w:val="auto"/>
        </w:rPr>
      </w:pPr>
    </w:p>
    <w:p>
      <w:pPr>
        <w:ind w:left="300" w:right="340"/>
        <w:spacing w:after="0" w:line="260" w:lineRule="auto"/>
        <w:rPr>
          <w:sz w:val="20"/>
          <w:szCs w:val="20"/>
          <w:color w:val="auto"/>
        </w:rPr>
      </w:pPr>
      <w:r>
        <w:rPr>
          <w:rFonts w:ascii="Arial" w:cs="Arial" w:eastAsia="Arial" w:hAnsi="Arial"/>
          <w:sz w:val="16"/>
          <w:szCs w:val="16"/>
          <w:color w:val="auto"/>
        </w:rPr>
        <w:t>The Company’s sound governance practices and policies demonstrate the Board’s commitment to strong corporate governance, effective risk management and robust independent oversight of management by the Board. The Company’s governance highlights include:</w:t>
      </w:r>
    </w:p>
    <w:p>
      <w:pPr>
        <w:sectPr>
          <w:pgSz w:w="11900" w:h="16838" w:orient="portrait"/>
          <w:cols w:equalWidth="0" w:num="1">
            <w:col w:w="10760"/>
          </w:cols>
          <w:pgMar w:left="320" w:top="459" w:right="819" w:bottom="1440" w:gutter="0" w:footer="0" w:header="0"/>
        </w:sectPr>
      </w:pPr>
    </w:p>
    <w:p>
      <w:pPr>
        <w:spacing w:after="0" w:line="397" w:lineRule="exact"/>
        <w:rPr>
          <w:sz w:val="20"/>
          <w:szCs w:val="20"/>
          <w:color w:val="auto"/>
        </w:rPr>
      </w:pPr>
    </w:p>
    <w:p>
      <w:pPr>
        <w:ind w:left="4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Extensive, year-round shareholder engagement</w:t>
      </w:r>
    </w:p>
    <w:p>
      <w:pPr>
        <w:spacing w:after="0" w:line="103" w:lineRule="exact"/>
        <w:rPr>
          <w:sz w:val="20"/>
          <w:szCs w:val="20"/>
          <w:color w:val="auto"/>
        </w:rPr>
      </w:pPr>
    </w:p>
    <w:p>
      <w:pPr>
        <w:ind w:left="4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Annual evaluation of the Board and its Committees</w:t>
      </w:r>
    </w:p>
    <w:p>
      <w:pPr>
        <w:spacing w:after="0" w:line="100" w:lineRule="exact"/>
        <w:rPr>
          <w:sz w:val="20"/>
          <w:szCs w:val="20"/>
          <w:color w:val="auto"/>
        </w:rPr>
      </w:pPr>
    </w:p>
    <w:p>
      <w:pPr>
        <w:ind w:left="4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Annual review of Board leadership structure</w:t>
      </w:r>
    </w:p>
    <w:p>
      <w:pPr>
        <w:spacing w:after="0" w:line="100" w:lineRule="exact"/>
        <w:rPr>
          <w:sz w:val="20"/>
          <w:szCs w:val="20"/>
          <w:color w:val="auto"/>
        </w:rPr>
      </w:pPr>
    </w:p>
    <w:p>
      <w:pPr>
        <w:ind w:left="4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Ongoing review and refreshment of Board composition</w:t>
      </w:r>
    </w:p>
    <w:p>
      <w:pPr>
        <w:spacing w:after="0" w:line="100" w:lineRule="exact"/>
        <w:rPr>
          <w:sz w:val="20"/>
          <w:szCs w:val="20"/>
          <w:color w:val="auto"/>
        </w:rPr>
      </w:pPr>
    </w:p>
    <w:p>
      <w:pPr>
        <w:ind w:left="4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Lead Independent Director with clearly defined role and</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responsibilities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Shareholder right to call special meetings</w:t>
      </w:r>
    </w:p>
    <w:p>
      <w:pPr>
        <w:spacing w:after="0" w:line="103"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Shareholder right to act by written consent</w:t>
      </w:r>
    </w:p>
    <w:p>
      <w:pPr>
        <w:spacing w:after="0" w:line="100"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No supermajority voting requirements</w:t>
      </w:r>
    </w:p>
    <w:p>
      <w:pPr>
        <w:spacing w:after="0" w:line="100"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Strong anti-hedging, anti-pledging and insider trading policies</w:t>
      </w:r>
    </w:p>
    <w:p>
      <w:pPr>
        <w:spacing w:after="0" w:line="100"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Robust Code of Business Conduct and Ethics for all directors and</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officers</w:t>
      </w:r>
    </w:p>
    <w:p>
      <w:pPr>
        <w:spacing w:after="0" w:line="44" w:lineRule="exact"/>
        <w:rPr>
          <w:sz w:val="20"/>
          <w:szCs w:val="20"/>
          <w:color w:val="auto"/>
        </w:rPr>
      </w:pPr>
    </w:p>
    <w:p>
      <w:pPr>
        <w:sectPr>
          <w:pgSz w:w="11900" w:h="16838" w:orient="portrait"/>
          <w:cols w:equalWidth="0" w:num="2">
            <w:col w:w="5180" w:space="720"/>
            <w:col w:w="4860"/>
          </w:cols>
          <w:pgMar w:left="320" w:top="459" w:right="819" w:bottom="1440" w:gutter="0" w:footer="0" w:header="0"/>
          <w:type w:val="continuous"/>
        </w:sectPr>
      </w:pPr>
    </w:p>
    <w:p>
      <w:pPr>
        <w:ind w:left="460"/>
        <w:spacing w:after="0" w:line="173" w:lineRule="exact"/>
        <w:rPr>
          <w:sz w:val="20"/>
          <w:szCs w:val="20"/>
          <w:color w:val="auto"/>
        </w:rPr>
      </w:pPr>
      <w:r>
        <w:rPr>
          <w:rFonts w:ascii="MS PGothic" w:cs="MS PGothic" w:eastAsia="MS PGothic" w:hAnsi="MS PGothic"/>
          <w:sz w:val="15"/>
          <w:szCs w:val="15"/>
          <w:color w:val="005CB9"/>
        </w:rPr>
        <w:t>✓</w:t>
      </w:r>
      <w:r>
        <w:rPr>
          <w:rFonts w:ascii="Arial" w:cs="Arial" w:eastAsia="Arial" w:hAnsi="Arial"/>
          <w:sz w:val="15"/>
          <w:szCs w:val="15"/>
          <w:color w:val="auto"/>
        </w:rPr>
        <w:t xml:space="preserve"> Board oversight of risk management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Independent Audit Committee, Compensation Committee and</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Corporate Governance Committee</w:t>
      </w:r>
    </w:p>
    <w:p>
      <w:pPr>
        <w:spacing w:after="0" w:line="200" w:lineRule="exact"/>
        <w:rPr>
          <w:sz w:val="20"/>
          <w:szCs w:val="20"/>
          <w:color w:val="auto"/>
        </w:rPr>
      </w:pPr>
    </w:p>
    <w:p>
      <w:pPr>
        <w:sectPr>
          <w:pgSz w:w="11900" w:h="16838" w:orient="portrait"/>
          <w:cols w:equalWidth="0" w:num="2">
            <w:col w:w="5180" w:space="720"/>
            <w:col w:w="4860"/>
          </w:cols>
          <w:pgMar w:left="320" w:top="459" w:right="81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5CB9"/>
        </w:rPr>
        <w:t>Executive Compensation Highlights</w:t>
      </w:r>
    </w:p>
    <w:p>
      <w:pPr>
        <w:spacing w:after="0" w:line="159" w:lineRule="exact"/>
        <w:rPr>
          <w:sz w:val="20"/>
          <w:szCs w:val="20"/>
          <w:color w:val="auto"/>
        </w:rPr>
      </w:pPr>
    </w:p>
    <w:p>
      <w:pPr>
        <w:ind w:left="300" w:right="120"/>
        <w:spacing w:after="0" w:line="253" w:lineRule="auto"/>
        <w:rPr>
          <w:sz w:val="20"/>
          <w:szCs w:val="20"/>
          <w:color w:val="auto"/>
        </w:rPr>
      </w:pPr>
      <w:r>
        <w:rPr>
          <w:rFonts w:ascii="Arial" w:cs="Arial" w:eastAsia="Arial" w:hAnsi="Arial"/>
          <w:sz w:val="16"/>
          <w:szCs w:val="16"/>
          <w:color w:val="auto"/>
        </w:rPr>
        <w:t>The Company maintains strong compensation governance practices that support our pay-for-performance principles and align management incentives with the interests of our shareholders. A significant portion of our Company’s executive compensation in fiscal 2020 was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have also adopted a number of “best practices” with respect to executive compensation, including:</w:t>
      </w:r>
    </w:p>
    <w:p>
      <w:pPr>
        <w:sectPr>
          <w:pgSz w:w="11900" w:h="16838" w:orient="portrait"/>
          <w:cols w:equalWidth="0" w:num="1">
            <w:col w:w="10760"/>
          </w:cols>
          <w:pgMar w:left="320" w:top="459" w:right="819" w:bottom="1440" w:gutter="0" w:footer="0" w:header="0"/>
          <w:type w:val="continuous"/>
        </w:sectPr>
      </w:pPr>
    </w:p>
    <w:p>
      <w:pPr>
        <w:spacing w:after="0" w:line="382" w:lineRule="exact"/>
        <w:rPr>
          <w:sz w:val="20"/>
          <w:szCs w:val="20"/>
          <w:color w:val="auto"/>
        </w:rPr>
      </w:pPr>
    </w:p>
    <w:p>
      <w:pPr>
        <w:ind w:left="4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Clawback policy with respect to incentive compensation</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73" w:lineRule="exact"/>
        <w:rPr>
          <w:sz w:val="20"/>
          <w:szCs w:val="20"/>
          <w:color w:val="auto"/>
        </w:rPr>
      </w:pPr>
      <w:r>
        <w:rPr>
          <w:rFonts w:ascii="MS PGothic" w:cs="MS PGothic" w:eastAsia="MS PGothic" w:hAnsi="MS PGothic"/>
          <w:sz w:val="15"/>
          <w:szCs w:val="15"/>
          <w:color w:val="005CB9"/>
        </w:rPr>
        <w:t>✓</w:t>
      </w:r>
      <w:r>
        <w:rPr>
          <w:rFonts w:ascii="Arial" w:cs="Arial" w:eastAsia="Arial" w:hAnsi="Arial"/>
          <w:sz w:val="15"/>
          <w:szCs w:val="15"/>
          <w:color w:val="auto"/>
        </w:rPr>
        <w:t xml:space="preserve"> Limited perquisites</w:t>
      </w:r>
    </w:p>
    <w:p>
      <w:pPr>
        <w:spacing w:after="0" w:line="111" w:lineRule="exact"/>
        <w:rPr>
          <w:sz w:val="20"/>
          <w:szCs w:val="20"/>
          <w:color w:val="auto"/>
        </w:rPr>
      </w:pPr>
    </w:p>
    <w:p>
      <w:pPr>
        <w:sectPr>
          <w:pgSz w:w="11900" w:h="16838" w:orient="portrait"/>
          <w:cols w:equalWidth="0" w:num="2">
            <w:col w:w="5180" w:space="720"/>
            <w:col w:w="4860"/>
          </w:cols>
          <w:pgMar w:left="320" w:top="459" w:right="819" w:bottom="1440" w:gutter="0" w:footer="0" w:header="0"/>
          <w:type w:val="continuous"/>
        </w:sectPr>
      </w:pPr>
    </w:p>
    <w:p>
      <w:pPr>
        <w:ind w:left="460"/>
        <w:spacing w:after="0" w:line="173" w:lineRule="exact"/>
        <w:rPr>
          <w:sz w:val="20"/>
          <w:szCs w:val="20"/>
          <w:color w:val="auto"/>
        </w:rPr>
      </w:pPr>
      <w:r>
        <w:rPr>
          <w:rFonts w:ascii="MS PGothic" w:cs="MS PGothic" w:eastAsia="MS PGothic" w:hAnsi="MS PGothic"/>
          <w:sz w:val="15"/>
          <w:szCs w:val="15"/>
          <w:color w:val="005CB9"/>
        </w:rPr>
        <w:t>✓</w:t>
      </w:r>
      <w:r>
        <w:rPr>
          <w:rFonts w:ascii="Arial" w:cs="Arial" w:eastAsia="Arial" w:hAnsi="Arial"/>
          <w:sz w:val="15"/>
          <w:szCs w:val="15"/>
          <w:color w:val="auto"/>
        </w:rPr>
        <w:t xml:space="preserve"> Caps on annual bonuses to NEOs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No tax gross ups for excise taxes on parachute payments</w:t>
      </w:r>
    </w:p>
    <w:p>
      <w:pPr>
        <w:spacing w:after="0" w:line="100" w:lineRule="exact"/>
        <w:rPr>
          <w:sz w:val="20"/>
          <w:szCs w:val="20"/>
          <w:color w:val="auto"/>
        </w:rPr>
      </w:pPr>
    </w:p>
    <w:p>
      <w:pPr>
        <w:sectPr>
          <w:pgSz w:w="11900" w:h="16838" w:orient="portrait"/>
          <w:cols w:equalWidth="0" w:num="2">
            <w:col w:w="5180" w:space="720"/>
            <w:col w:w="4860"/>
          </w:cols>
          <w:pgMar w:left="320" w:top="459" w:right="819" w:bottom="1440" w:gutter="0" w:footer="0" w:header="0"/>
          <w:type w:val="continuous"/>
        </w:sectPr>
      </w:pPr>
    </w:p>
    <w:p>
      <w:pPr>
        <w:ind w:left="460"/>
        <w:spacing w:after="0" w:line="173" w:lineRule="exact"/>
        <w:rPr>
          <w:sz w:val="20"/>
          <w:szCs w:val="20"/>
          <w:color w:val="auto"/>
        </w:rPr>
      </w:pPr>
      <w:r>
        <w:rPr>
          <w:rFonts w:ascii="MS PGothic" w:cs="MS PGothic" w:eastAsia="MS PGothic" w:hAnsi="MS PGothic"/>
          <w:sz w:val="15"/>
          <w:szCs w:val="15"/>
          <w:color w:val="005CB9"/>
        </w:rPr>
        <w:t>✓</w:t>
      </w:r>
      <w:r>
        <w:rPr>
          <w:rFonts w:ascii="Arial" w:cs="Arial" w:eastAsia="Arial" w:hAnsi="Arial"/>
          <w:sz w:val="15"/>
          <w:szCs w:val="15"/>
          <w:color w:val="auto"/>
        </w:rPr>
        <w:t xml:space="preserve"> Double-trigger vesting on a change in control</w:t>
      </w:r>
    </w:p>
    <w:p>
      <w:pPr>
        <w:spacing w:after="0" w:line="20" w:lineRule="exact"/>
        <w:rPr>
          <w:sz w:val="20"/>
          <w:szCs w:val="20"/>
          <w:color w:val="auto"/>
        </w:rPr>
      </w:pPr>
      <w:r>
        <w:rPr>
          <w:sz w:val="20"/>
          <w:szCs w:val="20"/>
          <w:color w:val="auto"/>
        </w:rPr>
        <w:br w:type="column"/>
      </w:r>
    </w:p>
    <w:p>
      <w:pPr>
        <w:jc w:val="center"/>
        <w:ind w:right="1940"/>
        <w:spacing w:after="0" w:line="153" w:lineRule="exact"/>
        <w:rPr>
          <w:sz w:val="20"/>
          <w:szCs w:val="20"/>
          <w:color w:val="auto"/>
        </w:rPr>
      </w:pPr>
      <w:r>
        <w:rPr>
          <w:rFonts w:ascii="MS PGothic" w:cs="MS PGothic" w:eastAsia="MS PGothic" w:hAnsi="MS PGothic"/>
          <w:sz w:val="15"/>
          <w:szCs w:val="15"/>
          <w:color w:val="005CB9"/>
        </w:rPr>
        <w:t>✓</w:t>
      </w:r>
      <w:r>
        <w:rPr>
          <w:rFonts w:ascii="Arial" w:cs="Arial" w:eastAsia="Arial" w:hAnsi="Arial"/>
          <w:sz w:val="15"/>
          <w:szCs w:val="15"/>
          <w:color w:val="auto"/>
        </w:rPr>
        <w:t xml:space="preserve"> Annual compensation risk assessment</w:t>
      </w:r>
    </w:p>
    <w:p>
      <w:pPr>
        <w:spacing w:after="0" w:line="111" w:lineRule="exact"/>
        <w:rPr>
          <w:sz w:val="20"/>
          <w:szCs w:val="20"/>
          <w:color w:val="auto"/>
        </w:rPr>
      </w:pPr>
    </w:p>
    <w:p>
      <w:pPr>
        <w:sectPr>
          <w:pgSz w:w="11900" w:h="16838" w:orient="portrait"/>
          <w:cols w:equalWidth="0" w:num="2">
            <w:col w:w="5180" w:space="720"/>
            <w:col w:w="4860"/>
          </w:cols>
          <w:pgMar w:left="320" w:top="459" w:right="819" w:bottom="1440" w:gutter="0" w:footer="0" w:header="0"/>
          <w:type w:val="continuous"/>
        </w:sectPr>
      </w:pPr>
    </w:p>
    <w:p>
      <w:pPr>
        <w:ind w:left="4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Meaningful stock ownership requirements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r>
        <w:rPr>
          <w:rFonts w:ascii="MS PGothic" w:cs="MS PGothic" w:eastAsia="MS PGothic" w:hAnsi="MS PGothic"/>
          <w:sz w:val="15"/>
          <w:szCs w:val="15"/>
          <w:color w:val="005CB9"/>
        </w:rPr>
        <w:t>✓</w:t>
      </w:r>
      <w:r>
        <w:rPr>
          <w:rFonts w:ascii="Arial" w:cs="Arial" w:eastAsia="Arial" w:hAnsi="Arial"/>
          <w:sz w:val="15"/>
          <w:szCs w:val="15"/>
          <w:color w:val="auto"/>
        </w:rPr>
        <w:t xml:space="preserve"> Retention of independent compensation consultants</w:t>
      </w:r>
    </w:p>
    <w:p>
      <w:pPr>
        <w:spacing w:after="0" w:line="111" w:lineRule="exact"/>
        <w:rPr>
          <w:sz w:val="20"/>
          <w:szCs w:val="20"/>
          <w:color w:val="auto"/>
        </w:rPr>
      </w:pPr>
    </w:p>
    <w:p>
      <w:pPr>
        <w:sectPr>
          <w:pgSz w:w="11900" w:h="16838" w:orient="portrait"/>
          <w:cols w:equalWidth="0" w:num="2">
            <w:col w:w="5180" w:space="720"/>
            <w:col w:w="4860"/>
          </w:cols>
          <w:pgMar w:left="320" w:top="459" w:right="819" w:bottom="1440" w:gutter="0" w:footer="0" w:header="0"/>
          <w:type w:val="continuous"/>
        </w:sectPr>
      </w:pPr>
    </w:p>
    <w:p>
      <w:pPr>
        <w:ind w:left="4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No repricing of stock options without shareholder approval</w:t>
      </w:r>
    </w:p>
    <w:p>
      <w:pPr>
        <w:spacing w:after="0" w:line="20" w:lineRule="exact"/>
        <w:rPr>
          <w:sz w:val="20"/>
          <w:szCs w:val="20"/>
          <w:color w:val="auto"/>
        </w:rPr>
      </w:pPr>
      <w:r>
        <w:rPr>
          <w:sz w:val="20"/>
          <w:szCs w:val="20"/>
          <w:color w:val="auto"/>
        </w:rPr>
        <w:br w:type="column"/>
      </w:r>
    </w:p>
    <w:p>
      <w:pPr>
        <w:ind w:right="100" w:hanging="161"/>
        <w:spacing w:after="0" w:line="193"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Balanced compensation approach between short- and long-term incentive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612775</wp:posOffset>
            </wp:positionV>
            <wp:extent cx="291465"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4700"/>
          </w:cols>
          <w:pgMar w:left="320" w:top="45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760"/>
          </w:cols>
          <w:pgMar w:left="320" w:top="459" w:right="8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205740</wp:posOffset>
            </wp:positionV>
            <wp:extent cx="160274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02740" cy="137160"/>
                    </a:xfrm>
                    <a:prstGeom prst="rect">
                      <a:avLst/>
                    </a:prstGeom>
                    <a:noFill/>
                  </pic:spPr>
                </pic:pic>
              </a:graphicData>
            </a:graphic>
          </wp:anchor>
        </w:drawing>
      </w:r>
    </w:p>
    <w:p>
      <w:pPr>
        <w:spacing w:after="0" w:line="331"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005CB9"/>
        </w:rPr>
        <w:t>P</w:t>
      </w:r>
      <w:r>
        <w:rPr>
          <w:rFonts w:ascii="Arial" w:cs="Arial" w:eastAsia="Arial" w:hAnsi="Arial"/>
          <w:sz w:val="11"/>
          <w:szCs w:val="11"/>
          <w:b w:val="1"/>
          <w:bCs w:val="1"/>
          <w:color w:val="005CB9"/>
        </w:rPr>
        <w:t>ROXY</w:t>
      </w:r>
      <w:r>
        <w:rPr>
          <w:rFonts w:ascii="Arial" w:cs="Arial" w:eastAsia="Arial" w:hAnsi="Arial"/>
          <w:sz w:val="14"/>
          <w:szCs w:val="14"/>
          <w:b w:val="1"/>
          <w:bCs w:val="1"/>
          <w:color w:val="005CB9"/>
        </w:rPr>
        <w:t xml:space="preserve"> S</w:t>
      </w:r>
      <w:r>
        <w:rPr>
          <w:rFonts w:ascii="Arial" w:cs="Arial" w:eastAsia="Arial" w:hAnsi="Arial"/>
          <w:sz w:val="11"/>
          <w:szCs w:val="11"/>
          <w:b w:val="1"/>
          <w:bCs w:val="1"/>
          <w:color w:val="005CB9"/>
        </w:rPr>
        <w:t>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281305</wp:posOffset>
            </wp:positionV>
            <wp:extent cx="6296025" cy="6741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6025" cy="674179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005CB9"/>
        </w:rPr>
        <w:t>Amended and Restated Take-Two Interactive Software, Inc. 2017 Stock Incentive Plan</w:t>
      </w:r>
    </w:p>
    <w:p>
      <w:pPr>
        <w:spacing w:after="0" w:line="159" w:lineRule="exact"/>
        <w:rPr>
          <w:sz w:val="20"/>
          <w:szCs w:val="20"/>
          <w:color w:val="auto"/>
        </w:rPr>
      </w:pPr>
    </w:p>
    <w:p>
      <w:pPr>
        <w:ind w:left="840" w:right="320"/>
        <w:spacing w:after="0" w:line="248" w:lineRule="auto"/>
        <w:rPr>
          <w:sz w:val="20"/>
          <w:szCs w:val="20"/>
          <w:color w:val="auto"/>
        </w:rPr>
      </w:pPr>
      <w:r>
        <w:rPr>
          <w:rFonts w:ascii="Arial" w:cs="Arial" w:eastAsia="Arial" w:hAnsi="Arial"/>
          <w:sz w:val="16"/>
          <w:szCs w:val="16"/>
          <w:color w:val="auto"/>
        </w:rPr>
        <w:t>We are asking that our shareholders approve the Amended and Restated 2017 Stock Incentive Plan to increase the number of shares available for issuance under the plan by 2,000,000 shares, which would be added to the 4,744,253 shares available for issuance under the 2017 Plan as of June 30, 2020. The Board of Directors believes that the increase in the number of shares is necessary to enable the Company to continue to secure the creative talent that drives company performance and to establish equity incentives that focus the management team on long-term sustainable performance. Specifically, equity is used to attract, retain and motivate the Company’s creative talent, which is critical to executing Take-Two’s long-term strategy, and to align the interests of creative employees with the interests of the Company’s shareholders.</w:t>
      </w:r>
    </w:p>
    <w:p>
      <w:pPr>
        <w:sectPr>
          <w:pgSz w:w="11900" w:h="16838" w:orient="portrait"/>
          <w:cols w:equalWidth="0" w:num="1">
            <w:col w:w="10580"/>
          </w:cols>
          <w:pgMar w:left="320" w:top="459" w:right="999" w:bottom="1440" w:gutter="0" w:footer="0" w:header="0"/>
        </w:sectPr>
      </w:pPr>
    </w:p>
    <w:p>
      <w:pPr>
        <w:spacing w:after="0" w:line="235" w:lineRule="exact"/>
        <w:rPr>
          <w:sz w:val="20"/>
          <w:szCs w:val="20"/>
          <w:color w:val="auto"/>
        </w:rPr>
      </w:pPr>
    </w:p>
    <w:p>
      <w:pPr>
        <w:ind w:left="1300" w:right="60" w:hanging="237"/>
        <w:spacing w:after="0" w:line="253" w:lineRule="auto"/>
        <w:tabs>
          <w:tab w:leader="none" w:pos="1276"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Our creative employees at Rockstar Games, 2K, Private Division, and Social Point, drive our business, are critical to our continued success, and help us build shareholder value.</w:t>
      </w:r>
    </w:p>
    <w:p>
      <w:pPr>
        <w:spacing w:after="0" w:line="106" w:lineRule="exact"/>
        <w:rPr>
          <w:rFonts w:ascii="Arial" w:cs="Arial" w:eastAsia="Arial" w:hAnsi="Arial"/>
          <w:sz w:val="16"/>
          <w:szCs w:val="16"/>
          <w:color w:val="005CB9"/>
        </w:rPr>
      </w:pPr>
    </w:p>
    <w:p>
      <w:pPr>
        <w:ind w:left="1300" w:hanging="237"/>
        <w:spacing w:after="0" w:line="260" w:lineRule="auto"/>
        <w:tabs>
          <w:tab w:leader="none" w:pos="1276"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We believe our use of equity throughout Take-Two, and beyond the executive level is a strategic advantage and vital to our ownership culture.</w:t>
      </w:r>
    </w:p>
    <w:p>
      <w:pPr>
        <w:spacing w:after="0" w:line="100" w:lineRule="exact"/>
        <w:rPr>
          <w:rFonts w:ascii="Arial" w:cs="Arial" w:eastAsia="Arial" w:hAnsi="Arial"/>
          <w:sz w:val="16"/>
          <w:szCs w:val="16"/>
          <w:color w:val="005CB9"/>
        </w:rPr>
      </w:pPr>
    </w:p>
    <w:p>
      <w:pPr>
        <w:ind w:left="1300" w:right="260" w:hanging="237"/>
        <w:spacing w:after="0" w:line="253" w:lineRule="auto"/>
        <w:tabs>
          <w:tab w:leader="none" w:pos="1267"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Almost two-thirds of our employees work in our development studios and have highly specialized technical capabilities to develop software titles for multiple platforms.</w:t>
      </w:r>
    </w:p>
    <w:p>
      <w:pPr>
        <w:spacing w:after="0" w:line="106" w:lineRule="exact"/>
        <w:rPr>
          <w:rFonts w:ascii="Arial" w:cs="Arial" w:eastAsia="Arial" w:hAnsi="Arial"/>
          <w:sz w:val="16"/>
          <w:szCs w:val="16"/>
          <w:color w:val="005CB9"/>
        </w:rPr>
      </w:pPr>
    </w:p>
    <w:p>
      <w:pPr>
        <w:ind w:left="1300" w:right="100" w:hanging="237"/>
        <w:spacing w:after="0" w:line="260" w:lineRule="auto"/>
        <w:tabs>
          <w:tab w:leader="none" w:pos="1276"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In fiscal 2020, 62% of equity awards granted were used to retain employees at our labels.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Fiscal 2020 Share Grant Distribution</w:t>
      </w:r>
    </w:p>
    <w:p>
      <w:pPr>
        <w:spacing w:after="0" w:line="2291" w:lineRule="exact"/>
        <w:rPr>
          <w:sz w:val="20"/>
          <w:szCs w:val="20"/>
          <w:color w:val="auto"/>
        </w:rPr>
      </w:pPr>
    </w:p>
    <w:p>
      <w:pPr>
        <w:sectPr>
          <w:pgSz w:w="11900" w:h="16838" w:orient="portrait"/>
          <w:cols w:equalWidth="0" w:num="2">
            <w:col w:w="6820" w:space="660"/>
            <w:col w:w="3100"/>
          </w:cols>
          <w:pgMar w:left="320" w:top="459"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Plan highlights include:</w:t>
      </w:r>
    </w:p>
    <w:p>
      <w:pPr>
        <w:spacing w:after="0" w:line="154" w:lineRule="exact"/>
        <w:rPr>
          <w:sz w:val="20"/>
          <w:szCs w:val="20"/>
          <w:color w:val="auto"/>
        </w:rPr>
      </w:pPr>
    </w:p>
    <w:p>
      <w:pPr>
        <w:ind w:left="1160" w:hanging="165"/>
        <w:spacing w:after="0"/>
        <w:tabs>
          <w:tab w:leader="none" w:pos="1160" w:val="left"/>
        </w:tabs>
        <w:numPr>
          <w:ilvl w:val="0"/>
          <w:numId w:val="15"/>
        </w:numPr>
        <w:rPr>
          <w:rFonts w:ascii="MS PGothic" w:cs="MS PGothic" w:eastAsia="MS PGothic" w:hAnsi="MS PGothic"/>
          <w:sz w:val="16"/>
          <w:szCs w:val="16"/>
          <w:color w:val="005CB9"/>
        </w:rPr>
      </w:pPr>
      <w:r>
        <w:rPr>
          <w:rFonts w:ascii="Arial" w:cs="Arial" w:eastAsia="Arial" w:hAnsi="Arial"/>
          <w:sz w:val="16"/>
          <w:szCs w:val="16"/>
          <w:color w:val="auto"/>
        </w:rPr>
        <w:t>Annual limits on awards to individual participants</w:t>
      </w:r>
    </w:p>
    <w:p>
      <w:pPr>
        <w:spacing w:after="0" w:line="140" w:lineRule="exact"/>
        <w:rPr>
          <w:rFonts w:ascii="MS PGothic" w:cs="MS PGothic" w:eastAsia="MS PGothic" w:hAnsi="MS PGothic"/>
          <w:sz w:val="16"/>
          <w:szCs w:val="16"/>
          <w:color w:val="005CB9"/>
        </w:rPr>
      </w:pPr>
    </w:p>
    <w:p>
      <w:pPr>
        <w:ind w:left="1160" w:right="400" w:hanging="165"/>
        <w:spacing w:after="0" w:line="260" w:lineRule="auto"/>
        <w:tabs>
          <w:tab w:leader="none" w:pos="1160" w:val="left"/>
        </w:tabs>
        <w:numPr>
          <w:ilvl w:val="0"/>
          <w:numId w:val="15"/>
        </w:numPr>
        <w:rPr>
          <w:rFonts w:ascii="MS PGothic" w:cs="MS PGothic" w:eastAsia="MS PGothic" w:hAnsi="MS PGothic"/>
          <w:sz w:val="16"/>
          <w:szCs w:val="16"/>
          <w:color w:val="005CB9"/>
        </w:rPr>
      </w:pPr>
      <w:r>
        <w:rPr>
          <w:rFonts w:ascii="Arial" w:cs="Arial" w:eastAsia="Arial" w:hAnsi="Arial"/>
          <w:sz w:val="16"/>
          <w:szCs w:val="16"/>
          <w:color w:val="auto"/>
        </w:rPr>
        <w:t>Non-liberal recycling of shares used to satisfy tax withholding obligations or as payment for the exercise price or base price for stock options and SARs</w:t>
      </w:r>
    </w:p>
    <w:p>
      <w:pPr>
        <w:spacing w:after="0" w:line="100" w:lineRule="exact"/>
        <w:rPr>
          <w:rFonts w:ascii="MS PGothic" w:cs="MS PGothic" w:eastAsia="MS PGothic" w:hAnsi="MS PGothic"/>
          <w:sz w:val="16"/>
          <w:szCs w:val="16"/>
          <w:color w:val="005CB9"/>
        </w:rPr>
      </w:pPr>
    </w:p>
    <w:p>
      <w:pPr>
        <w:ind w:left="1160" w:hanging="165"/>
        <w:spacing w:after="0"/>
        <w:tabs>
          <w:tab w:leader="none" w:pos="1160" w:val="left"/>
        </w:tabs>
        <w:numPr>
          <w:ilvl w:val="0"/>
          <w:numId w:val="15"/>
        </w:numPr>
        <w:rPr>
          <w:rFonts w:ascii="MS PGothic" w:cs="MS PGothic" w:eastAsia="MS PGothic" w:hAnsi="MS PGothic"/>
          <w:sz w:val="16"/>
          <w:szCs w:val="16"/>
          <w:color w:val="005CB9"/>
        </w:rPr>
      </w:pPr>
      <w:r>
        <w:rPr>
          <w:rFonts w:ascii="Arial" w:cs="Arial" w:eastAsia="Arial" w:hAnsi="Arial"/>
          <w:sz w:val="16"/>
          <w:szCs w:val="16"/>
          <w:color w:val="auto"/>
        </w:rPr>
        <w:t>No evergreen provision for share reserve</w:t>
      </w:r>
    </w:p>
    <w:p>
      <w:pPr>
        <w:spacing w:after="0" w:line="140" w:lineRule="exact"/>
        <w:rPr>
          <w:rFonts w:ascii="MS PGothic" w:cs="MS PGothic" w:eastAsia="MS PGothic" w:hAnsi="MS PGothic"/>
          <w:sz w:val="16"/>
          <w:szCs w:val="16"/>
          <w:color w:val="005CB9"/>
        </w:rPr>
      </w:pPr>
    </w:p>
    <w:p>
      <w:pPr>
        <w:ind w:left="1160" w:hanging="165"/>
        <w:spacing w:after="0"/>
        <w:tabs>
          <w:tab w:leader="none" w:pos="1160" w:val="left"/>
        </w:tabs>
        <w:numPr>
          <w:ilvl w:val="0"/>
          <w:numId w:val="15"/>
        </w:numPr>
        <w:rPr>
          <w:rFonts w:ascii="MS PGothic" w:cs="MS PGothic" w:eastAsia="MS PGothic" w:hAnsi="MS PGothic"/>
          <w:sz w:val="16"/>
          <w:szCs w:val="16"/>
          <w:color w:val="005CB9"/>
        </w:rPr>
      </w:pPr>
      <w:r>
        <w:rPr>
          <w:rFonts w:ascii="Arial" w:cs="Arial" w:eastAsia="Arial" w:hAnsi="Arial"/>
          <w:sz w:val="16"/>
          <w:szCs w:val="16"/>
          <w:color w:val="auto"/>
        </w:rPr>
        <w:t>No payment of dividends or dividend equivalents on unvested awards</w:t>
      </w:r>
    </w:p>
    <w:p>
      <w:pPr>
        <w:spacing w:after="0" w:line="140" w:lineRule="exact"/>
        <w:rPr>
          <w:rFonts w:ascii="MS PGothic" w:cs="MS PGothic" w:eastAsia="MS PGothic" w:hAnsi="MS PGothic"/>
          <w:sz w:val="16"/>
          <w:szCs w:val="16"/>
          <w:color w:val="005CB9"/>
        </w:rPr>
      </w:pPr>
    </w:p>
    <w:p>
      <w:pPr>
        <w:ind w:left="1160" w:hanging="165"/>
        <w:spacing w:after="0"/>
        <w:tabs>
          <w:tab w:leader="none" w:pos="1160" w:val="left"/>
        </w:tabs>
        <w:numPr>
          <w:ilvl w:val="0"/>
          <w:numId w:val="15"/>
        </w:numPr>
        <w:rPr>
          <w:rFonts w:ascii="MS PGothic" w:cs="MS PGothic" w:eastAsia="MS PGothic" w:hAnsi="MS PGothic"/>
          <w:sz w:val="16"/>
          <w:szCs w:val="16"/>
          <w:color w:val="005CB9"/>
        </w:rPr>
      </w:pPr>
      <w:r>
        <w:rPr>
          <w:rFonts w:ascii="Arial" w:cs="Arial" w:eastAsia="Arial" w:hAnsi="Arial"/>
          <w:sz w:val="16"/>
          <w:szCs w:val="16"/>
          <w:color w:val="auto"/>
        </w:rPr>
        <w:t>Annual compensation limits for non-employee directors</w:t>
      </w:r>
    </w:p>
    <w:p>
      <w:pPr>
        <w:spacing w:after="0" w:line="140" w:lineRule="exact"/>
        <w:rPr>
          <w:rFonts w:ascii="MS PGothic" w:cs="MS PGothic" w:eastAsia="MS PGothic" w:hAnsi="MS PGothic"/>
          <w:sz w:val="16"/>
          <w:szCs w:val="16"/>
          <w:color w:val="005CB9"/>
        </w:rPr>
      </w:pPr>
    </w:p>
    <w:p>
      <w:pPr>
        <w:ind w:left="1160" w:hanging="165"/>
        <w:spacing w:after="0"/>
        <w:tabs>
          <w:tab w:leader="none" w:pos="1160" w:val="left"/>
        </w:tabs>
        <w:numPr>
          <w:ilvl w:val="0"/>
          <w:numId w:val="15"/>
        </w:numPr>
        <w:rPr>
          <w:rFonts w:ascii="MS PGothic" w:cs="MS PGothic" w:eastAsia="MS PGothic" w:hAnsi="MS PGothic"/>
          <w:sz w:val="16"/>
          <w:szCs w:val="16"/>
          <w:color w:val="005CB9"/>
        </w:rPr>
      </w:pPr>
      <w:r>
        <w:rPr>
          <w:rFonts w:ascii="Arial" w:cs="Arial" w:eastAsia="Arial" w:hAnsi="Arial"/>
          <w:sz w:val="16"/>
          <w:szCs w:val="16"/>
          <w:color w:val="auto"/>
        </w:rPr>
        <w:t>Minimum vesting periods for certain awards</w:t>
      </w:r>
    </w:p>
    <w:p>
      <w:pPr>
        <w:spacing w:after="0" w:line="140" w:lineRule="exact"/>
        <w:rPr>
          <w:rFonts w:ascii="MS PGothic" w:cs="MS PGothic" w:eastAsia="MS PGothic" w:hAnsi="MS PGothic"/>
          <w:sz w:val="16"/>
          <w:szCs w:val="16"/>
          <w:color w:val="005CB9"/>
        </w:rPr>
      </w:pPr>
    </w:p>
    <w:p>
      <w:pPr>
        <w:ind w:left="1160" w:hanging="165"/>
        <w:spacing w:after="0"/>
        <w:tabs>
          <w:tab w:leader="none" w:pos="1160" w:val="left"/>
        </w:tabs>
        <w:numPr>
          <w:ilvl w:val="0"/>
          <w:numId w:val="15"/>
        </w:numPr>
        <w:rPr>
          <w:rFonts w:ascii="MS PGothic" w:cs="MS PGothic" w:eastAsia="MS PGothic" w:hAnsi="MS PGothic"/>
          <w:sz w:val="16"/>
          <w:szCs w:val="16"/>
          <w:color w:val="005CB9"/>
        </w:rPr>
      </w:pPr>
      <w:r>
        <w:rPr>
          <w:rFonts w:ascii="Arial" w:cs="Arial" w:eastAsia="Arial" w:hAnsi="Arial"/>
          <w:sz w:val="16"/>
          <w:szCs w:val="16"/>
          <w:color w:val="auto"/>
        </w:rPr>
        <w:t>No repricing of underwater stock options or SARs without shareholder approval</w:t>
      </w:r>
    </w:p>
    <w:p>
      <w:pPr>
        <w:spacing w:after="0" w:line="140" w:lineRule="exact"/>
        <w:rPr>
          <w:rFonts w:ascii="MS PGothic" w:cs="MS PGothic" w:eastAsia="MS PGothic" w:hAnsi="MS PGothic"/>
          <w:sz w:val="16"/>
          <w:szCs w:val="16"/>
          <w:color w:val="005CB9"/>
        </w:rPr>
      </w:pPr>
    </w:p>
    <w:p>
      <w:pPr>
        <w:ind w:left="1160" w:hanging="165"/>
        <w:spacing w:after="0"/>
        <w:tabs>
          <w:tab w:leader="none" w:pos="1160" w:val="left"/>
        </w:tabs>
        <w:numPr>
          <w:ilvl w:val="0"/>
          <w:numId w:val="15"/>
        </w:numPr>
        <w:rPr>
          <w:rFonts w:ascii="MS PGothic" w:cs="MS PGothic" w:eastAsia="MS PGothic" w:hAnsi="MS PGothic"/>
          <w:sz w:val="16"/>
          <w:szCs w:val="16"/>
          <w:color w:val="005CB9"/>
        </w:rPr>
      </w:pPr>
      <w:r>
        <w:rPr>
          <w:rFonts w:ascii="Arial" w:cs="Arial" w:eastAsia="Arial" w:hAnsi="Arial"/>
          <w:sz w:val="16"/>
          <w:szCs w:val="16"/>
          <w:color w:val="auto"/>
        </w:rPr>
        <w:t>No discounted stock options or SARs</w:t>
      </w:r>
    </w:p>
    <w:p>
      <w:pPr>
        <w:spacing w:after="0" w:line="140" w:lineRule="exact"/>
        <w:rPr>
          <w:rFonts w:ascii="MS PGothic" w:cs="MS PGothic" w:eastAsia="MS PGothic" w:hAnsi="MS PGothic"/>
          <w:sz w:val="16"/>
          <w:szCs w:val="16"/>
          <w:color w:val="005CB9"/>
        </w:rPr>
      </w:pPr>
    </w:p>
    <w:p>
      <w:pPr>
        <w:ind w:left="1160" w:hanging="165"/>
        <w:spacing w:after="0"/>
        <w:tabs>
          <w:tab w:leader="none" w:pos="1160" w:val="left"/>
        </w:tabs>
        <w:numPr>
          <w:ilvl w:val="0"/>
          <w:numId w:val="15"/>
        </w:numPr>
        <w:rPr>
          <w:rFonts w:ascii="MS PGothic" w:cs="MS PGothic" w:eastAsia="MS PGothic" w:hAnsi="MS PGothic"/>
          <w:sz w:val="16"/>
          <w:szCs w:val="16"/>
          <w:color w:val="005CB9"/>
        </w:rPr>
      </w:pPr>
      <w:r>
        <w:rPr>
          <w:rFonts w:ascii="Arial" w:cs="Arial" w:eastAsia="Arial" w:hAnsi="Arial"/>
          <w:sz w:val="16"/>
          <w:szCs w:val="16"/>
          <w:color w:val="auto"/>
        </w:rPr>
        <w:t>Clawback provisions</w:t>
      </w:r>
    </w:p>
    <w:p>
      <w:pPr>
        <w:spacing w:after="0" w:line="140" w:lineRule="exact"/>
        <w:rPr>
          <w:rFonts w:ascii="MS PGothic" w:cs="MS PGothic" w:eastAsia="MS PGothic" w:hAnsi="MS PGothic"/>
          <w:sz w:val="16"/>
          <w:szCs w:val="16"/>
          <w:color w:val="005CB9"/>
        </w:rPr>
      </w:pPr>
    </w:p>
    <w:p>
      <w:pPr>
        <w:ind w:left="1160" w:hanging="165"/>
        <w:spacing w:after="0"/>
        <w:tabs>
          <w:tab w:leader="none" w:pos="1160" w:val="left"/>
        </w:tabs>
        <w:numPr>
          <w:ilvl w:val="0"/>
          <w:numId w:val="15"/>
        </w:numPr>
        <w:rPr>
          <w:rFonts w:ascii="MS PGothic" w:cs="MS PGothic" w:eastAsia="MS PGothic" w:hAnsi="MS PGothic"/>
          <w:sz w:val="16"/>
          <w:szCs w:val="16"/>
          <w:color w:val="005CB9"/>
        </w:rPr>
      </w:pPr>
      <w:r>
        <w:rPr>
          <w:rFonts w:ascii="Arial" w:cs="Arial" w:eastAsia="Arial" w:hAnsi="Arial"/>
          <w:sz w:val="16"/>
          <w:szCs w:val="16"/>
          <w:color w:val="auto"/>
        </w:rPr>
        <w:t>Non-liberal definition of change in control</w:t>
      </w:r>
    </w:p>
    <w:p>
      <w:pPr>
        <w:spacing w:after="0" w:line="140" w:lineRule="exact"/>
        <w:rPr>
          <w:rFonts w:ascii="MS PGothic" w:cs="MS PGothic" w:eastAsia="MS PGothic" w:hAnsi="MS PGothic"/>
          <w:sz w:val="16"/>
          <w:szCs w:val="16"/>
          <w:color w:val="005CB9"/>
        </w:rPr>
      </w:pPr>
    </w:p>
    <w:p>
      <w:pPr>
        <w:ind w:left="1160" w:hanging="165"/>
        <w:spacing w:after="0"/>
        <w:tabs>
          <w:tab w:leader="none" w:pos="1160" w:val="left"/>
        </w:tabs>
        <w:numPr>
          <w:ilvl w:val="0"/>
          <w:numId w:val="15"/>
        </w:numPr>
        <w:rPr>
          <w:rFonts w:ascii="MS PGothic" w:cs="MS PGothic" w:eastAsia="MS PGothic" w:hAnsi="MS PGothic"/>
          <w:sz w:val="16"/>
          <w:szCs w:val="16"/>
          <w:color w:val="005CB9"/>
        </w:rPr>
      </w:pPr>
      <w:r>
        <w:rPr>
          <w:rFonts w:ascii="Arial" w:cs="Arial" w:eastAsia="Arial" w:hAnsi="Arial"/>
          <w:sz w:val="16"/>
          <w:szCs w:val="16"/>
          <w:color w:val="auto"/>
        </w:rPr>
        <w:t>No automatic grants</w:t>
      </w:r>
    </w:p>
    <w:p>
      <w:pPr>
        <w:spacing w:after="0" w:line="140" w:lineRule="exact"/>
        <w:rPr>
          <w:rFonts w:ascii="MS PGothic" w:cs="MS PGothic" w:eastAsia="MS PGothic" w:hAnsi="MS PGothic"/>
          <w:sz w:val="16"/>
          <w:szCs w:val="16"/>
          <w:color w:val="005CB9"/>
        </w:rPr>
      </w:pPr>
    </w:p>
    <w:p>
      <w:pPr>
        <w:ind w:left="1160" w:hanging="165"/>
        <w:spacing w:after="0"/>
        <w:tabs>
          <w:tab w:leader="none" w:pos="1160" w:val="left"/>
        </w:tabs>
        <w:numPr>
          <w:ilvl w:val="0"/>
          <w:numId w:val="15"/>
        </w:numPr>
        <w:rPr>
          <w:rFonts w:ascii="MS PGothic" w:cs="MS PGothic" w:eastAsia="MS PGothic" w:hAnsi="MS PGothic"/>
          <w:sz w:val="16"/>
          <w:szCs w:val="16"/>
          <w:color w:val="005CB9"/>
        </w:rPr>
      </w:pPr>
      <w:r>
        <w:rPr>
          <w:rFonts w:ascii="Arial" w:cs="Arial" w:eastAsia="Arial" w:hAnsi="Arial"/>
          <w:sz w:val="16"/>
          <w:szCs w:val="16"/>
          <w:color w:val="auto"/>
        </w:rPr>
        <w:t>Double-trigger acceleration of equity vesting 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645160</wp:posOffset>
            </wp:positionV>
            <wp:extent cx="291465"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4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7</w:t>
            </w:r>
          </w:p>
        </w:tc>
      </w:tr>
    </w:tbl>
    <w:p>
      <w:pPr>
        <w:sectPr>
          <w:pgSz w:w="11900" w:h="16838" w:orient="portrait"/>
          <w:cols w:equalWidth="0" w:num="1">
            <w:col w:w="10580"/>
          </w:cols>
          <w:pgMar w:left="320" w:top="459" w:right="9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9512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19"/>
        <w:spacing w:after="0"/>
        <w:rPr>
          <w:sz w:val="20"/>
          <w:szCs w:val="20"/>
          <w:color w:val="auto"/>
        </w:rPr>
      </w:pPr>
      <w:r>
        <w:rPr>
          <w:rFonts w:ascii="Arial" w:cs="Arial" w:eastAsia="Arial" w:hAnsi="Arial"/>
          <w:sz w:val="40"/>
          <w:szCs w:val="40"/>
          <w:b w:val="1"/>
          <w:bCs w:val="1"/>
          <w:color w:val="FFFFFF"/>
        </w:rPr>
        <w:t>Election of Directors</w:t>
      </w:r>
    </w:p>
    <w:p>
      <w:pPr>
        <w:spacing w:after="0" w:line="39" w:lineRule="exact"/>
        <w:rPr>
          <w:sz w:val="20"/>
          <w:szCs w:val="20"/>
          <w:color w:val="auto"/>
        </w:rPr>
      </w:pPr>
    </w:p>
    <w:p>
      <w:pPr>
        <w:ind w:left="4820"/>
        <w:spacing w:after="0"/>
        <w:rPr>
          <w:sz w:val="20"/>
          <w:szCs w:val="20"/>
          <w:color w:val="auto"/>
        </w:rPr>
      </w:pPr>
      <w:r>
        <w:rPr>
          <w:rFonts w:ascii="Arial" w:cs="Arial" w:eastAsia="Arial" w:hAnsi="Arial"/>
          <w:sz w:val="29"/>
          <w:szCs w:val="29"/>
          <w:b w:val="1"/>
          <w:bCs w:val="1"/>
          <w:color w:val="FFFFFF"/>
        </w:rPr>
        <w:t>(Proposal 1)</w:t>
      </w:r>
    </w:p>
    <w:p>
      <w:pPr>
        <w:spacing w:after="0" w:line="200" w:lineRule="exact"/>
        <w:rPr>
          <w:sz w:val="20"/>
          <w:szCs w:val="20"/>
          <w:color w:val="auto"/>
        </w:rPr>
      </w:pPr>
    </w:p>
    <w:p>
      <w:pPr>
        <w:spacing w:after="0" w:line="364" w:lineRule="exact"/>
        <w:rPr>
          <w:sz w:val="20"/>
          <w:szCs w:val="20"/>
          <w:color w:val="auto"/>
        </w:rPr>
      </w:pPr>
    </w:p>
    <w:p>
      <w:pPr>
        <w:ind w:left="660" w:right="80"/>
        <w:spacing w:after="0" w:line="251" w:lineRule="auto"/>
        <w:rPr>
          <w:sz w:val="20"/>
          <w:szCs w:val="20"/>
          <w:color w:val="auto"/>
        </w:rPr>
      </w:pPr>
      <w:r>
        <w:rPr>
          <w:rFonts w:ascii="Arial" w:cs="Arial" w:eastAsia="Arial" w:hAnsi="Arial"/>
          <w:sz w:val="16"/>
          <w:szCs w:val="16"/>
          <w:color w:val="auto"/>
        </w:rPr>
        <w:t>All members of the Board of Directors stand for election on an annual basis, and at the Annual Meeting eight director nominees will stand for election to hold office for a term expiring at the 2021 Annual Meeting of Shareholders. The Board of Directors, upon the recommendation of the Corporate Governance Committee, has nominated the individuals named below. Each director who is elected will serve until a successor is elected and qualified or until the director’s earlier resignation or removal.</w:t>
      </w:r>
    </w:p>
    <w:p>
      <w:pPr>
        <w:spacing w:after="0" w:line="202" w:lineRule="exact"/>
        <w:rPr>
          <w:sz w:val="20"/>
          <w:szCs w:val="20"/>
          <w:color w:val="auto"/>
        </w:rPr>
      </w:pPr>
    </w:p>
    <w:p>
      <w:pPr>
        <w:ind w:left="660" w:right="300"/>
        <w:spacing w:after="0" w:line="251" w:lineRule="auto"/>
        <w:rPr>
          <w:sz w:val="20"/>
          <w:szCs w:val="20"/>
          <w:color w:val="auto"/>
        </w:rPr>
      </w:pPr>
      <w:r>
        <w:rPr>
          <w:rFonts w:ascii="Arial" w:cs="Arial" w:eastAsia="Arial" w:hAnsi="Arial"/>
          <w:sz w:val="16"/>
          <w:szCs w:val="16"/>
          <w:color w:val="auto"/>
        </w:rPr>
        <w:t>The Corporate Governance Committee is responsible for evaluating the size and composition of the Board of Directors relative to the evolving needs of the Company at any given time, and actively identifying qualified individuals to become new director nominees as needed. The Corporate Governance Committee has developed criteria, including certain personal and professional qualities, it uses to evaluate whether the potential nominee would be a qualified director candidate for service on Take-Two’s Board of Directors.</w:t>
      </w:r>
    </w:p>
    <w:p>
      <w:pPr>
        <w:spacing w:after="0" w:line="202" w:lineRule="exact"/>
        <w:rPr>
          <w:sz w:val="20"/>
          <w:szCs w:val="20"/>
          <w:color w:val="auto"/>
        </w:rPr>
      </w:pPr>
    </w:p>
    <w:p>
      <w:pPr>
        <w:ind w:left="660" w:right="200"/>
        <w:spacing w:after="0" w:line="253" w:lineRule="auto"/>
        <w:rPr>
          <w:sz w:val="20"/>
          <w:szCs w:val="20"/>
          <w:color w:val="auto"/>
        </w:rPr>
      </w:pPr>
      <w:r>
        <w:rPr>
          <w:rFonts w:ascii="Arial" w:cs="Arial" w:eastAsia="Arial" w:hAnsi="Arial"/>
          <w:sz w:val="16"/>
          <w:szCs w:val="16"/>
          <w:color w:val="auto"/>
        </w:rPr>
        <w:t>Our eight nominees include seven independent, outside directors who as a group have extensive and diverse management experience, subject matter expertise, and knowledge that is critical to the Company. The average director tenure is approximately 8 years. The average age of the board members is 61. Half of the board members are women and/or minorities.</w:t>
      </w:r>
    </w:p>
    <w:p>
      <w:pPr>
        <w:spacing w:after="0" w:line="201"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At the Annual Meeting, the proxies given by shareholders will be voted individually for the election of the persons named herein as director nominees, unless a proxy card specifies that a shareholder is voting against any such nominee. If any of the nominees listed below shall be unable to serve, it is intended that the proxy will be voted for such other nominees as may be designated by the Board of Directors. Each of the persons named herein has indicated to the Board of Directors that he or she will be available to serve as a director of the Company.</w:t>
      </w:r>
    </w:p>
    <w:p>
      <w:pPr>
        <w:spacing w:after="0" w:line="394" w:lineRule="exact"/>
        <w:rPr>
          <w:sz w:val="20"/>
          <w:szCs w:val="20"/>
          <w:color w:val="auto"/>
        </w:rPr>
      </w:pPr>
    </w:p>
    <w:p>
      <w:pPr>
        <w:ind w:left="660" w:right="160"/>
        <w:spacing w:after="0" w:line="250" w:lineRule="auto"/>
        <w:rPr>
          <w:sz w:val="20"/>
          <w:szCs w:val="20"/>
          <w:color w:val="auto"/>
        </w:rPr>
      </w:pPr>
      <w:r>
        <w:rPr>
          <w:rFonts w:ascii="Arial" w:cs="Arial" w:eastAsia="Arial" w:hAnsi="Arial"/>
          <w:sz w:val="16"/>
          <w:szCs w:val="16"/>
          <w:color w:val="auto"/>
        </w:rPr>
        <w:t>In an uncontested election, a director will be elected if the number of votes that are cast “FOR” his or her election by holders of the stock present in person or represented by proxy entitled to vote on the election of directors exceed the number of votes cast “AGAINST” his or her election by such holders. The Company’s bylaws provide that any nominee for director who fails to meet this standard shall promptly tender such individual’s resignation to the Corporate Governance Committee following certification of the shareholder vote. For more information regarding this policy, see “Policy on Majority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273050</wp:posOffset>
            </wp:positionV>
            <wp:extent cx="291465"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6"/>
          <w:szCs w:val="16"/>
          <w:b w:val="1"/>
          <w:bCs w:val="1"/>
          <w:color w:val="auto"/>
        </w:rPr>
        <w:t>8</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60"/>
          </w:cols>
          <w:pgMar w:left="320" w:top="459" w:right="10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LECTION OF</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IRECTORS</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ROPOSAL ONE</w:t>
      </w:r>
      <w:r>
        <w:rPr>
          <w:rFonts w:ascii="Arial" w:cs="Arial" w:eastAsia="Arial" w:hAnsi="Arial"/>
          <w:sz w:val="14"/>
          <w:szCs w:val="14"/>
          <w:b w:val="1"/>
          <w:bCs w:val="1"/>
          <w:color w:val="005CB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283210</wp:posOffset>
            </wp:positionV>
            <wp:extent cx="6292215" cy="5829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THE BOARD OF DIRECTORS RECOMMENDS THAT SHAREHOLDERS VOTE</w:t>
      </w:r>
    </w:p>
    <w:p>
      <w:pPr>
        <w:spacing w:after="0" w:line="16"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005CB9"/>
        </w:rPr>
        <w:t xml:space="preserve">“FOR” </w:t>
      </w:r>
      <w:r>
        <w:rPr>
          <w:rFonts w:ascii="Arial" w:cs="Arial" w:eastAsia="Arial" w:hAnsi="Arial"/>
          <w:sz w:val="22"/>
          <w:szCs w:val="22"/>
          <w:b w:val="1"/>
          <w:bCs w:val="1"/>
          <w:color w:val="000000"/>
        </w:rPr>
        <w:t>THE ELECTION OF THE NOMINEES NAMED BELOW:</w:t>
      </w:r>
    </w:p>
    <w:p>
      <w:pPr>
        <w:spacing w:after="0" w:line="200" w:lineRule="exact"/>
        <w:rPr>
          <w:sz w:val="20"/>
          <w:szCs w:val="20"/>
          <w:color w:val="auto"/>
        </w:rPr>
      </w:pP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87"/>
        </w:trPr>
        <w:tc>
          <w:tcPr>
            <w:tcW w:w="47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005CB9"/>
              </w:rPr>
              <w:t>Michael Dornemann</w:t>
            </w:r>
          </w:p>
        </w:tc>
        <w:tc>
          <w:tcPr>
            <w:tcW w:w="30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005CB9"/>
              </w:rPr>
              <w:t>Roland Hernandez</w:t>
            </w:r>
          </w:p>
        </w:tc>
        <w:tc>
          <w:tcPr>
            <w:tcW w:w="0" w:type="dxa"/>
            <w:vAlign w:val="bottom"/>
          </w:tcPr>
          <w:p>
            <w:pPr>
              <w:spacing w:after="0"/>
              <w:rPr>
                <w:sz w:val="1"/>
                <w:szCs w:val="1"/>
                <w:color w:val="auto"/>
              </w:rPr>
            </w:pPr>
          </w:p>
        </w:tc>
      </w:tr>
      <w:tr>
        <w:trPr>
          <w:trHeight w:val="334"/>
        </w:trPr>
        <w:tc>
          <w:tcPr>
            <w:tcW w:w="4760" w:type="dxa"/>
            <w:vAlign w:val="bottom"/>
          </w:tcPr>
          <w:p>
            <w:pPr>
              <w:ind w:left="1680"/>
              <w:spacing w:after="0"/>
              <w:rPr>
                <w:sz w:val="20"/>
                <w:szCs w:val="20"/>
                <w:color w:val="auto"/>
              </w:rPr>
            </w:pPr>
            <w:r>
              <w:rPr>
                <w:rFonts w:ascii="Arial" w:cs="Arial" w:eastAsia="Arial" w:hAnsi="Arial"/>
                <w:sz w:val="14"/>
                <w:szCs w:val="14"/>
                <w:b w:val="1"/>
                <w:bCs w:val="1"/>
                <w:color w:val="005CB9"/>
              </w:rPr>
              <w:t>Lead Independent Director</w:t>
            </w:r>
          </w:p>
        </w:tc>
        <w:tc>
          <w:tcPr>
            <w:tcW w:w="300" w:type="dxa"/>
            <w:vAlign w:val="bottom"/>
          </w:tcPr>
          <w:p>
            <w:pPr>
              <w:spacing w:after="0"/>
              <w:rPr>
                <w:sz w:val="24"/>
                <w:szCs w:val="24"/>
                <w:color w:val="auto"/>
              </w:rPr>
            </w:pPr>
          </w:p>
        </w:tc>
        <w:tc>
          <w:tcPr>
            <w:tcW w:w="4860" w:type="dxa"/>
            <w:vAlign w:val="bottom"/>
          </w:tcPr>
          <w:p>
            <w:pPr>
              <w:ind w:left="1680"/>
              <w:spacing w:after="0"/>
              <w:rPr>
                <w:sz w:val="20"/>
                <w:szCs w:val="20"/>
                <w:color w:val="auto"/>
              </w:rPr>
            </w:pPr>
            <w:r>
              <w:rPr>
                <w:rFonts w:ascii="Arial" w:cs="Arial" w:eastAsia="Arial" w:hAnsi="Arial"/>
                <w:sz w:val="14"/>
                <w:szCs w:val="14"/>
                <w:b w:val="1"/>
                <w:bCs w:val="1"/>
                <w:color w:val="005CB9"/>
              </w:rPr>
              <w:t>Independent Director</w:t>
            </w:r>
          </w:p>
        </w:tc>
        <w:tc>
          <w:tcPr>
            <w:tcW w:w="0" w:type="dxa"/>
            <w:vAlign w:val="bottom"/>
          </w:tcPr>
          <w:p>
            <w:pPr>
              <w:spacing w:after="0"/>
              <w:rPr>
                <w:sz w:val="1"/>
                <w:szCs w:val="1"/>
                <w:color w:val="auto"/>
              </w:rPr>
            </w:pPr>
          </w:p>
        </w:tc>
      </w:tr>
      <w:tr>
        <w:trPr>
          <w:trHeight w:val="233"/>
        </w:trPr>
        <w:tc>
          <w:tcPr>
            <w:tcW w:w="4760" w:type="dxa"/>
            <w:vAlign w:val="bottom"/>
          </w:tcPr>
          <w:p>
            <w:pPr>
              <w:ind w:left="1680"/>
              <w:spacing w:after="0"/>
              <w:rPr>
                <w:sz w:val="20"/>
                <w:szCs w:val="20"/>
                <w:color w:val="auto"/>
              </w:rPr>
            </w:pPr>
            <w:r>
              <w:rPr>
                <w:rFonts w:ascii="Arial" w:cs="Arial" w:eastAsia="Arial" w:hAnsi="Arial"/>
                <w:sz w:val="14"/>
                <w:szCs w:val="14"/>
                <w:b w:val="1"/>
                <w:bCs w:val="1"/>
                <w:color w:val="005CB9"/>
              </w:rPr>
              <w:t xml:space="preserve">Chair: </w:t>
            </w:r>
            <w:r>
              <w:rPr>
                <w:rFonts w:ascii="Arial" w:cs="Arial" w:eastAsia="Arial" w:hAnsi="Arial"/>
                <w:sz w:val="14"/>
                <w:szCs w:val="14"/>
                <w:color w:val="000000"/>
              </w:rPr>
              <w:t>Executive Committee</w:t>
            </w:r>
          </w:p>
        </w:tc>
        <w:tc>
          <w:tcPr>
            <w:tcW w:w="300" w:type="dxa"/>
            <w:vAlign w:val="bottom"/>
          </w:tcPr>
          <w:p>
            <w:pPr>
              <w:spacing w:after="0"/>
              <w:rPr>
                <w:sz w:val="20"/>
                <w:szCs w:val="20"/>
                <w:color w:val="auto"/>
              </w:rPr>
            </w:pPr>
          </w:p>
        </w:tc>
        <w:tc>
          <w:tcPr>
            <w:tcW w:w="4860" w:type="dxa"/>
            <w:vAlign w:val="bottom"/>
          </w:tcPr>
          <w:p>
            <w:pPr>
              <w:ind w:left="1680"/>
              <w:spacing w:after="0"/>
              <w:rPr>
                <w:sz w:val="20"/>
                <w:szCs w:val="20"/>
                <w:color w:val="auto"/>
              </w:rPr>
            </w:pPr>
            <w:r>
              <w:rPr>
                <w:rFonts w:ascii="Arial" w:cs="Arial" w:eastAsia="Arial" w:hAnsi="Arial"/>
                <w:sz w:val="14"/>
                <w:szCs w:val="14"/>
                <w:b w:val="1"/>
                <w:bCs w:val="1"/>
                <w:color w:val="005CB9"/>
              </w:rPr>
              <w:t>Member:</w:t>
            </w:r>
          </w:p>
        </w:tc>
        <w:tc>
          <w:tcPr>
            <w:tcW w:w="0" w:type="dxa"/>
            <w:vAlign w:val="bottom"/>
          </w:tcPr>
          <w:p>
            <w:pPr>
              <w:spacing w:after="0"/>
              <w:rPr>
                <w:sz w:val="1"/>
                <w:szCs w:val="1"/>
                <w:color w:val="auto"/>
              </w:rPr>
            </w:pPr>
          </w:p>
        </w:tc>
      </w:tr>
      <w:tr>
        <w:trPr>
          <w:trHeight w:val="172"/>
        </w:trPr>
        <w:tc>
          <w:tcPr>
            <w:tcW w:w="4760" w:type="dxa"/>
            <w:vAlign w:val="bottom"/>
            <w:vMerge w:val="restart"/>
          </w:tcPr>
          <w:p>
            <w:pPr>
              <w:ind w:left="1680"/>
              <w:spacing w:after="0"/>
              <w:rPr>
                <w:sz w:val="20"/>
                <w:szCs w:val="20"/>
                <w:color w:val="auto"/>
              </w:rPr>
            </w:pPr>
            <w:r>
              <w:rPr>
                <w:rFonts w:ascii="Arial" w:cs="Arial" w:eastAsia="Arial" w:hAnsi="Arial"/>
                <w:sz w:val="14"/>
                <w:szCs w:val="14"/>
                <w:b w:val="1"/>
                <w:bCs w:val="1"/>
                <w:color w:val="005CB9"/>
              </w:rPr>
              <w:t>Member:</w:t>
            </w:r>
          </w:p>
        </w:tc>
        <w:tc>
          <w:tcPr>
            <w:tcW w:w="300" w:type="dxa"/>
            <w:vAlign w:val="bottom"/>
          </w:tcPr>
          <w:p>
            <w:pPr>
              <w:spacing w:after="0"/>
              <w:rPr>
                <w:sz w:val="14"/>
                <w:szCs w:val="14"/>
                <w:color w:val="auto"/>
              </w:rPr>
            </w:pPr>
          </w:p>
        </w:tc>
        <w:tc>
          <w:tcPr>
            <w:tcW w:w="4860" w:type="dxa"/>
            <w:vAlign w:val="bottom"/>
          </w:tcPr>
          <w:p>
            <w:pPr>
              <w:ind w:left="1680"/>
              <w:spacing w:after="0"/>
              <w:rPr>
                <w:sz w:val="20"/>
                <w:szCs w:val="20"/>
                <w:color w:val="auto"/>
              </w:rPr>
            </w:pPr>
            <w:r>
              <w:rPr>
                <w:rFonts w:ascii="Arial" w:cs="Arial" w:eastAsia="Arial" w:hAnsi="Arial"/>
                <w:sz w:val="14"/>
                <w:szCs w:val="14"/>
                <w:color w:val="005CB9"/>
              </w:rPr>
              <w:t xml:space="preserve">• </w:t>
            </w:r>
            <w:r>
              <w:rPr>
                <w:rFonts w:ascii="Arial" w:cs="Arial" w:eastAsia="Arial" w:hAnsi="Arial"/>
                <w:sz w:val="14"/>
                <w:szCs w:val="14"/>
                <w:color w:val="000000"/>
              </w:rPr>
              <w:t>Compensation Committee</w:t>
            </w:r>
          </w:p>
        </w:tc>
        <w:tc>
          <w:tcPr>
            <w:tcW w:w="0" w:type="dxa"/>
            <w:vAlign w:val="bottom"/>
          </w:tcPr>
          <w:p>
            <w:pPr>
              <w:spacing w:after="0"/>
              <w:rPr>
                <w:sz w:val="1"/>
                <w:szCs w:val="1"/>
                <w:color w:val="auto"/>
              </w:rPr>
            </w:pPr>
          </w:p>
        </w:tc>
      </w:tr>
      <w:tr>
        <w:trPr>
          <w:trHeight w:val="71"/>
        </w:trPr>
        <w:tc>
          <w:tcPr>
            <w:tcW w:w="47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860" w:type="dxa"/>
            <w:vAlign w:val="bottom"/>
            <w:vMerge w:val="restart"/>
          </w:tcPr>
          <w:p>
            <w:pPr>
              <w:ind w:left="1680"/>
              <w:spacing w:after="0"/>
              <w:rPr>
                <w:sz w:val="20"/>
                <w:szCs w:val="20"/>
                <w:color w:val="auto"/>
              </w:rPr>
            </w:pPr>
            <w:r>
              <w:rPr>
                <w:rFonts w:ascii="Arial" w:cs="Arial" w:eastAsia="Arial" w:hAnsi="Arial"/>
                <w:sz w:val="14"/>
                <w:szCs w:val="14"/>
                <w:b w:val="1"/>
                <w:bCs w:val="1"/>
                <w:color w:val="005CB9"/>
              </w:rPr>
              <w:t xml:space="preserve">Age: </w:t>
            </w:r>
            <w:r>
              <w:rPr>
                <w:rFonts w:ascii="Arial" w:cs="Arial" w:eastAsia="Arial" w:hAnsi="Arial"/>
                <w:sz w:val="14"/>
                <w:szCs w:val="14"/>
                <w:color w:val="000000"/>
              </w:rPr>
              <w:t>62</w:t>
            </w:r>
          </w:p>
        </w:tc>
        <w:tc>
          <w:tcPr>
            <w:tcW w:w="0" w:type="dxa"/>
            <w:vAlign w:val="bottom"/>
          </w:tcPr>
          <w:p>
            <w:pPr>
              <w:spacing w:after="0"/>
              <w:rPr>
                <w:sz w:val="1"/>
                <w:szCs w:val="1"/>
                <w:color w:val="auto"/>
              </w:rPr>
            </w:pPr>
          </w:p>
        </w:tc>
      </w:tr>
      <w:tr>
        <w:trPr>
          <w:trHeight w:val="162"/>
        </w:trPr>
        <w:tc>
          <w:tcPr>
            <w:tcW w:w="4760" w:type="dxa"/>
            <w:vAlign w:val="bottom"/>
          </w:tcPr>
          <w:p>
            <w:pPr>
              <w:ind w:left="1680"/>
              <w:spacing w:after="0"/>
              <w:rPr>
                <w:sz w:val="20"/>
                <w:szCs w:val="20"/>
                <w:color w:val="auto"/>
              </w:rPr>
            </w:pPr>
            <w:r>
              <w:rPr>
                <w:rFonts w:ascii="Arial" w:cs="Arial" w:eastAsia="Arial" w:hAnsi="Arial"/>
                <w:sz w:val="14"/>
                <w:szCs w:val="14"/>
                <w:color w:val="005CB9"/>
              </w:rPr>
              <w:t xml:space="preserve">• </w:t>
            </w:r>
            <w:r>
              <w:rPr>
                <w:rFonts w:ascii="Arial" w:cs="Arial" w:eastAsia="Arial" w:hAnsi="Arial"/>
                <w:sz w:val="14"/>
                <w:szCs w:val="14"/>
                <w:color w:val="000000"/>
              </w:rPr>
              <w:t>Audit, Compensation and Corporate</w:t>
            </w:r>
          </w:p>
        </w:tc>
        <w:tc>
          <w:tcPr>
            <w:tcW w:w="300" w:type="dxa"/>
            <w:vAlign w:val="bottom"/>
          </w:tcPr>
          <w:p>
            <w:pPr>
              <w:spacing w:after="0"/>
              <w:rPr>
                <w:sz w:val="14"/>
                <w:szCs w:val="14"/>
                <w:color w:val="auto"/>
              </w:rPr>
            </w:pPr>
          </w:p>
        </w:tc>
        <w:tc>
          <w:tcPr>
            <w:tcW w:w="4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tcPr>
          <w:p>
            <w:pPr>
              <w:ind w:left="1820"/>
              <w:spacing w:after="0"/>
              <w:rPr>
                <w:sz w:val="20"/>
                <w:szCs w:val="20"/>
                <w:color w:val="auto"/>
              </w:rPr>
            </w:pPr>
            <w:r>
              <w:rPr>
                <w:rFonts w:ascii="Arial" w:cs="Arial" w:eastAsia="Arial" w:hAnsi="Arial"/>
                <w:sz w:val="14"/>
                <w:szCs w:val="14"/>
                <w:color w:val="auto"/>
              </w:rPr>
              <w:t>Governance</w:t>
            </w:r>
          </w:p>
        </w:tc>
        <w:tc>
          <w:tcPr>
            <w:tcW w:w="300" w:type="dxa"/>
            <w:vAlign w:val="bottom"/>
          </w:tcPr>
          <w:p>
            <w:pPr>
              <w:spacing w:after="0"/>
              <w:rPr>
                <w:sz w:val="14"/>
                <w:szCs w:val="14"/>
                <w:color w:val="auto"/>
              </w:rPr>
            </w:pPr>
          </w:p>
        </w:tc>
        <w:tc>
          <w:tcPr>
            <w:tcW w:w="4860" w:type="dxa"/>
            <w:vAlign w:val="bottom"/>
            <w:vMerge w:val="restart"/>
          </w:tcPr>
          <w:p>
            <w:pPr>
              <w:ind w:left="1680"/>
              <w:spacing w:after="0"/>
              <w:rPr>
                <w:sz w:val="20"/>
                <w:szCs w:val="20"/>
                <w:color w:val="auto"/>
              </w:rPr>
            </w:pPr>
            <w:r>
              <w:rPr>
                <w:rFonts w:ascii="Arial" w:cs="Arial" w:eastAsia="Arial" w:hAnsi="Arial"/>
                <w:sz w:val="14"/>
                <w:szCs w:val="14"/>
                <w:b w:val="1"/>
                <w:bCs w:val="1"/>
                <w:color w:val="005CB9"/>
              </w:rPr>
              <w:t xml:space="preserve">Director since: </w:t>
            </w:r>
            <w:r>
              <w:rPr>
                <w:rFonts w:ascii="Arial" w:cs="Arial" w:eastAsia="Arial" w:hAnsi="Arial"/>
                <w:sz w:val="14"/>
                <w:szCs w:val="14"/>
                <w:color w:val="000000"/>
              </w:rPr>
              <w:t>September 2019</w:t>
            </w:r>
          </w:p>
        </w:tc>
        <w:tc>
          <w:tcPr>
            <w:tcW w:w="0" w:type="dxa"/>
            <w:vAlign w:val="bottom"/>
          </w:tcPr>
          <w:p>
            <w:pPr>
              <w:spacing w:after="0"/>
              <w:rPr>
                <w:sz w:val="1"/>
                <w:szCs w:val="1"/>
                <w:color w:val="auto"/>
              </w:rPr>
            </w:pPr>
          </w:p>
        </w:tc>
      </w:tr>
      <w:tr>
        <w:trPr>
          <w:trHeight w:val="91"/>
        </w:trPr>
        <w:tc>
          <w:tcPr>
            <w:tcW w:w="4760" w:type="dxa"/>
            <w:vAlign w:val="bottom"/>
            <w:vMerge w:val="restart"/>
          </w:tcPr>
          <w:p>
            <w:pPr>
              <w:ind w:left="1820"/>
              <w:spacing w:after="0"/>
              <w:rPr>
                <w:sz w:val="20"/>
                <w:szCs w:val="20"/>
                <w:color w:val="auto"/>
              </w:rPr>
            </w:pPr>
            <w:r>
              <w:rPr>
                <w:rFonts w:ascii="Arial" w:cs="Arial" w:eastAsia="Arial" w:hAnsi="Arial"/>
                <w:sz w:val="14"/>
                <w:szCs w:val="14"/>
                <w:color w:val="auto"/>
              </w:rPr>
              <w:t>Committees</w:t>
            </w:r>
          </w:p>
        </w:tc>
        <w:tc>
          <w:tcPr>
            <w:tcW w:w="30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7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860" w:type="dxa"/>
            <w:vAlign w:val="bottom"/>
            <w:vMerge w:val="restart"/>
          </w:tcPr>
          <w:p>
            <w:pPr>
              <w:ind w:left="1680"/>
              <w:spacing w:after="0"/>
              <w:rPr>
                <w:sz w:val="20"/>
                <w:szCs w:val="20"/>
                <w:color w:val="auto"/>
              </w:rPr>
            </w:pPr>
            <w:r>
              <w:rPr>
                <w:rFonts w:ascii="Arial" w:cs="Arial" w:eastAsia="Arial" w:hAnsi="Arial"/>
                <w:sz w:val="14"/>
                <w:szCs w:val="14"/>
                <w:color w:val="auto"/>
              </w:rPr>
              <w:t>Beneficial owner of 1,845 shares</w:t>
            </w:r>
          </w:p>
        </w:tc>
        <w:tc>
          <w:tcPr>
            <w:tcW w:w="0" w:type="dxa"/>
            <w:vAlign w:val="bottom"/>
          </w:tcPr>
          <w:p>
            <w:pPr>
              <w:spacing w:after="0"/>
              <w:rPr>
                <w:sz w:val="1"/>
                <w:szCs w:val="1"/>
                <w:color w:val="auto"/>
              </w:rPr>
            </w:pPr>
          </w:p>
        </w:tc>
      </w:tr>
      <w:tr>
        <w:trPr>
          <w:trHeight w:val="162"/>
        </w:trPr>
        <w:tc>
          <w:tcPr>
            <w:tcW w:w="4760" w:type="dxa"/>
            <w:vAlign w:val="bottom"/>
            <w:vMerge w:val="restart"/>
          </w:tcPr>
          <w:p>
            <w:pPr>
              <w:ind w:left="1680"/>
              <w:spacing w:after="0"/>
              <w:rPr>
                <w:sz w:val="20"/>
                <w:szCs w:val="20"/>
                <w:color w:val="auto"/>
              </w:rPr>
            </w:pPr>
            <w:r>
              <w:rPr>
                <w:rFonts w:ascii="Arial" w:cs="Arial" w:eastAsia="Arial" w:hAnsi="Arial"/>
                <w:sz w:val="14"/>
                <w:szCs w:val="14"/>
                <w:b w:val="1"/>
                <w:bCs w:val="1"/>
                <w:color w:val="005CB9"/>
              </w:rPr>
              <w:t xml:space="preserve">Age: </w:t>
            </w:r>
            <w:r>
              <w:rPr>
                <w:rFonts w:ascii="Arial" w:cs="Arial" w:eastAsia="Arial" w:hAnsi="Arial"/>
                <w:sz w:val="14"/>
                <w:szCs w:val="14"/>
                <w:color w:val="000000"/>
              </w:rPr>
              <w:t>74</w:t>
            </w:r>
          </w:p>
        </w:tc>
        <w:tc>
          <w:tcPr>
            <w:tcW w:w="300" w:type="dxa"/>
            <w:vAlign w:val="bottom"/>
          </w:tcPr>
          <w:p>
            <w:pPr>
              <w:spacing w:after="0"/>
              <w:rPr>
                <w:sz w:val="14"/>
                <w:szCs w:val="14"/>
                <w:color w:val="auto"/>
              </w:rPr>
            </w:pPr>
          </w:p>
        </w:tc>
        <w:tc>
          <w:tcPr>
            <w:tcW w:w="4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7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680"/>
              <w:spacing w:after="0"/>
              <w:rPr>
                <w:sz w:val="20"/>
                <w:szCs w:val="20"/>
                <w:color w:val="auto"/>
              </w:rPr>
            </w:pPr>
            <w:r>
              <w:rPr>
                <w:rFonts w:ascii="Arial" w:cs="Arial" w:eastAsia="Arial" w:hAnsi="Arial"/>
                <w:sz w:val="14"/>
                <w:szCs w:val="14"/>
                <w:b w:val="1"/>
                <w:bCs w:val="1"/>
                <w:color w:val="005CB9"/>
              </w:rPr>
              <w:t xml:space="preserve">Director since: </w:t>
            </w:r>
            <w:r>
              <w:rPr>
                <w:rFonts w:ascii="Arial" w:cs="Arial" w:eastAsia="Arial" w:hAnsi="Arial"/>
                <w:sz w:val="14"/>
                <w:szCs w:val="14"/>
                <w:color w:val="000000"/>
              </w:rPr>
              <w:t>March 2007</w:t>
            </w:r>
          </w:p>
        </w:tc>
        <w:tc>
          <w:tcPr>
            <w:tcW w:w="30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680"/>
              <w:spacing w:after="0"/>
              <w:rPr>
                <w:sz w:val="20"/>
                <w:szCs w:val="20"/>
                <w:color w:val="auto"/>
              </w:rPr>
            </w:pPr>
            <w:r>
              <w:rPr>
                <w:rFonts w:ascii="Arial" w:cs="Arial" w:eastAsia="Arial" w:hAnsi="Arial"/>
                <w:sz w:val="14"/>
                <w:szCs w:val="14"/>
                <w:color w:val="auto"/>
              </w:rPr>
              <w:t>Beneficial owner of 12,062 shares</w:t>
            </w:r>
          </w:p>
        </w:tc>
        <w:tc>
          <w:tcPr>
            <w:tcW w:w="30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-1191895</wp:posOffset>
            </wp:positionV>
            <wp:extent cx="960120" cy="11055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60120" cy="110553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-1191895</wp:posOffset>
            </wp:positionV>
            <wp:extent cx="960120" cy="11055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60120" cy="110553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228" w:lineRule="exact"/>
        <w:rPr>
          <w:sz w:val="20"/>
          <w:szCs w:val="20"/>
          <w:color w:val="auto"/>
        </w:rPr>
      </w:pPr>
    </w:p>
    <w:p>
      <w:pPr>
        <w:ind w:left="660" w:right="60"/>
        <w:spacing w:after="0" w:line="248" w:lineRule="auto"/>
        <w:rPr>
          <w:sz w:val="20"/>
          <w:szCs w:val="20"/>
          <w:color w:val="auto"/>
        </w:rPr>
      </w:pPr>
      <w:r>
        <w:rPr>
          <w:rFonts w:ascii="Arial" w:cs="Arial" w:eastAsia="Arial" w:hAnsi="Arial"/>
          <w:sz w:val="14"/>
          <w:szCs w:val="14"/>
          <w:b w:val="1"/>
          <w:bCs w:val="1"/>
          <w:color w:val="auto"/>
        </w:rPr>
        <w:t xml:space="preserve">Mr. Dornemann is an entertainment and marketing executive with more than 30 years of management consulting, corporate development, strategic advisory and media experience. </w:t>
      </w:r>
      <w:r>
        <w:rPr>
          <w:rFonts w:ascii="Arial" w:cs="Arial" w:eastAsia="Arial" w:hAnsi="Arial"/>
          <w:sz w:val="14"/>
          <w:szCs w:val="14"/>
          <w:color w:val="auto"/>
        </w:rPr>
        <w:t>Prior to 2001,</w:t>
      </w:r>
      <w:r>
        <w:rPr>
          <w:rFonts w:ascii="Arial" w:cs="Arial" w:eastAsia="Arial" w:hAnsi="Arial"/>
          <w:sz w:val="14"/>
          <w:szCs w:val="14"/>
          <w:b w:val="1"/>
          <w:bCs w:val="1"/>
          <w:color w:val="auto"/>
        </w:rPr>
        <w:t xml:space="preserve"> </w:t>
      </w:r>
      <w:r>
        <w:rPr>
          <w:rFonts w:ascii="Arial" w:cs="Arial" w:eastAsia="Arial" w:hAnsi="Arial"/>
          <w:sz w:val="14"/>
          <w:szCs w:val="14"/>
          <w:color w:val="auto"/>
        </w:rPr>
        <w:t>Mr. Dornemann was an executive board member of Bertelsmann AG for 16 years and Chairman and Chief Executive Officer of Bertelsmann Entertainment (music and television division, BMG and RTL Group). Before that, he held positions with IBM and Boston Consulting Group.</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Additional Public Directorships (current):</w:t>
      </w:r>
    </w:p>
    <w:p>
      <w:pPr>
        <w:spacing w:after="0" w:line="141" w:lineRule="exact"/>
        <w:rPr>
          <w:sz w:val="20"/>
          <w:szCs w:val="20"/>
          <w:color w:val="auto"/>
        </w:rPr>
      </w:pPr>
    </w:p>
    <w:p>
      <w:pPr>
        <w:ind w:left="1120" w:hanging="170"/>
        <w:spacing w:after="0"/>
        <w:tabs>
          <w:tab w:leader="none" w:pos="1120" w:val="left"/>
        </w:tabs>
        <w:numPr>
          <w:ilvl w:val="0"/>
          <w:numId w:val="16"/>
        </w:numPr>
        <w:rPr>
          <w:rFonts w:ascii="Arial" w:cs="Arial" w:eastAsia="Arial" w:hAnsi="Arial"/>
          <w:sz w:val="14"/>
          <w:szCs w:val="14"/>
          <w:color w:val="005CB9"/>
        </w:rPr>
      </w:pPr>
      <w:r>
        <w:rPr>
          <w:rFonts w:ascii="Arial" w:cs="Arial" w:eastAsia="Arial" w:hAnsi="Arial"/>
          <w:sz w:val="14"/>
          <w:szCs w:val="14"/>
          <w:color w:val="auto"/>
        </w:rPr>
        <w:t>None</w:t>
      </w:r>
    </w:p>
    <w:p>
      <w:pPr>
        <w:spacing w:after="0" w:line="91" w:lineRule="exact"/>
        <w:rPr>
          <w:sz w:val="20"/>
          <w:szCs w:val="20"/>
          <w:color w:val="auto"/>
        </w:rPr>
      </w:pPr>
    </w:p>
    <w:p>
      <w:pPr>
        <w:ind w:left="660"/>
        <w:spacing w:after="0" w:line="250" w:lineRule="auto"/>
        <w:rPr>
          <w:sz w:val="20"/>
          <w:szCs w:val="20"/>
          <w:color w:val="auto"/>
        </w:rPr>
      </w:pPr>
      <w:r>
        <w:rPr>
          <w:rFonts w:ascii="Arial" w:cs="Arial" w:eastAsia="Arial" w:hAnsi="Arial"/>
          <w:sz w:val="14"/>
          <w:szCs w:val="14"/>
          <w:b w:val="1"/>
          <w:bCs w:val="1"/>
          <w:color w:val="auto"/>
        </w:rPr>
        <w:t xml:space="preserve">Other board experience: </w:t>
      </w:r>
      <w:r>
        <w:rPr>
          <w:rFonts w:ascii="Arial" w:cs="Arial" w:eastAsia="Arial" w:hAnsi="Arial"/>
          <w:sz w:val="14"/>
          <w:szCs w:val="14"/>
          <w:color w:val="auto"/>
        </w:rPr>
        <w:t>Mr. Dornemann has previously served on</w:t>
      </w:r>
      <w:r>
        <w:rPr>
          <w:rFonts w:ascii="Arial" w:cs="Arial" w:eastAsia="Arial" w:hAnsi="Arial"/>
          <w:sz w:val="14"/>
          <w:szCs w:val="14"/>
          <w:b w:val="1"/>
          <w:bCs w:val="1"/>
          <w:color w:val="auto"/>
        </w:rPr>
        <w:t xml:space="preserve"> </w:t>
      </w:r>
      <w:r>
        <w:rPr>
          <w:rFonts w:ascii="Arial" w:cs="Arial" w:eastAsia="Arial" w:hAnsi="Arial"/>
          <w:sz w:val="14"/>
          <w:szCs w:val="14"/>
          <w:color w:val="auto"/>
        </w:rPr>
        <w:t>several boards, including as Chairman of Jet Set AG, a worldwide fashion company based in Switzerland, until 2009; as a director of Columbia Music Entertainment (CME) of Japan until 2010; and as vice-chairman and as an audit and compensation committee member of Access Worldwide Communications until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64135</wp:posOffset>
            </wp:positionV>
            <wp:extent cx="3017520" cy="10801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17520" cy="1080135"/>
                    </a:xfrm>
                    <a:prstGeom prst="rect">
                      <a:avLst/>
                    </a:prstGeom>
                    <a:noFill/>
                  </pic:spPr>
                </pic:pic>
              </a:graphicData>
            </a:graphic>
          </wp:anchor>
        </w:drawing>
      </w:r>
    </w:p>
    <w:p>
      <w:pPr>
        <w:spacing w:after="0" w:line="94" w:lineRule="exact"/>
        <w:rPr>
          <w:sz w:val="20"/>
          <w:szCs w:val="20"/>
          <w:color w:val="auto"/>
        </w:rPr>
      </w:pPr>
    </w:p>
    <w:p>
      <w:pPr>
        <w:ind w:left="740" w:right="220"/>
        <w:spacing w:after="0" w:line="246" w:lineRule="auto"/>
        <w:rPr>
          <w:sz w:val="20"/>
          <w:szCs w:val="20"/>
          <w:color w:val="auto"/>
        </w:rPr>
      </w:pPr>
      <w:r>
        <w:rPr>
          <w:rFonts w:ascii="Arial" w:cs="Arial" w:eastAsia="Arial" w:hAnsi="Arial"/>
          <w:sz w:val="14"/>
          <w:szCs w:val="14"/>
          <w:b w:val="1"/>
          <w:bCs w:val="1"/>
          <w:color w:val="auto"/>
        </w:rPr>
        <w:t xml:space="preserve">Key experience and qualifications: </w:t>
      </w:r>
      <w:r>
        <w:rPr>
          <w:rFonts w:ascii="Arial" w:cs="Arial" w:eastAsia="Arial" w:hAnsi="Arial"/>
          <w:sz w:val="14"/>
          <w:szCs w:val="14"/>
          <w:color w:val="auto"/>
        </w:rPr>
        <w:t>Mr. Dornemann’s highly relevant</w:t>
      </w:r>
      <w:r>
        <w:rPr>
          <w:rFonts w:ascii="Arial" w:cs="Arial" w:eastAsia="Arial" w:hAnsi="Arial"/>
          <w:sz w:val="14"/>
          <w:szCs w:val="14"/>
          <w:b w:val="1"/>
          <w:bCs w:val="1"/>
          <w:color w:val="auto"/>
        </w:rPr>
        <w:t xml:space="preserve"> </w:t>
      </w:r>
      <w:r>
        <w:rPr>
          <w:rFonts w:ascii="Arial" w:cs="Arial" w:eastAsia="Arial" w:hAnsi="Arial"/>
          <w:sz w:val="14"/>
          <w:szCs w:val="14"/>
          <w:color w:val="auto"/>
        </w:rPr>
        <w:t>leadership, management, marketing and consulting experience, including his role as Chief Executive Officer of Bertelsmann Entertainment, strongly qualifies him to provide effective leadership to the independent directors, and to contribute to all aspects of board discussion and operations, including oversight of our management agreement with ZelnickMedia Corporation (</w:t>
      </w:r>
      <w:r>
        <w:rPr>
          <w:rFonts w:ascii="Arial" w:cs="Arial" w:eastAsia="Arial" w:hAnsi="Arial"/>
          <w:sz w:val="14"/>
          <w:szCs w:val="14"/>
          <w:i w:val="1"/>
          <w:iCs w:val="1"/>
          <w:color w:val="auto"/>
        </w:rPr>
        <w:t>“ZelnickMedia”</w:t>
      </w:r>
      <w:r>
        <w:rPr>
          <w:rFonts w:ascii="Arial" w:cs="Arial" w:eastAsia="Arial" w:hAnsi="Arial"/>
          <w:sz w:val="14"/>
          <w:szCs w:val="14"/>
          <w:color w:val="auto"/>
        </w:rPr>
        <w:t>). His accomplished history of service with fashion and entertainment companies, including as an outside director, provides a unique level of insight into both our business and our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701040</wp:posOffset>
            </wp:positionV>
            <wp:extent cx="291465"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b w:val="1"/>
          <w:bCs w:val="1"/>
          <w:color w:val="auto"/>
        </w:rPr>
        <w:t xml:space="preserve">Mr. Hernandez is the Founding Principal and Chief Executive Officer of Hernandez Media Ventures, a privately held company engaged in the acquisition and management of media assets. </w:t>
      </w:r>
      <w:r>
        <w:rPr>
          <w:rFonts w:ascii="Arial" w:cs="Arial" w:eastAsia="Arial" w:hAnsi="Arial"/>
          <w:sz w:val="14"/>
          <w:szCs w:val="14"/>
          <w:color w:val="auto"/>
        </w:rPr>
        <w:t>He has served in this</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since January 2001. Before founding Hernandez Media Ventures, Mr. Hernandez served as Chairman of Telemundo Group, Inc., a Spanish-language television and entertainment company, from 1998 to 2000 and as President and Chief Executive Officer from 1995 to 2000.</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Public Directorships (current):</w:t>
      </w:r>
    </w:p>
    <w:p>
      <w:pPr>
        <w:spacing w:after="0" w:line="141" w:lineRule="exact"/>
        <w:rPr>
          <w:sz w:val="20"/>
          <w:szCs w:val="20"/>
          <w:color w:val="auto"/>
        </w:rPr>
      </w:pPr>
    </w:p>
    <w:p>
      <w:pPr>
        <w:ind w:left="460" w:hanging="174"/>
        <w:spacing w:after="0"/>
        <w:tabs>
          <w:tab w:leader="none" w:pos="460" w:val="left"/>
        </w:tabs>
        <w:numPr>
          <w:ilvl w:val="0"/>
          <w:numId w:val="17"/>
        </w:numPr>
        <w:rPr>
          <w:rFonts w:ascii="Arial" w:cs="Arial" w:eastAsia="Arial" w:hAnsi="Arial"/>
          <w:sz w:val="14"/>
          <w:szCs w:val="14"/>
          <w:color w:val="005CB9"/>
        </w:rPr>
      </w:pPr>
      <w:r>
        <w:rPr>
          <w:rFonts w:ascii="Arial" w:cs="Arial" w:eastAsia="Arial" w:hAnsi="Arial"/>
          <w:sz w:val="14"/>
          <w:szCs w:val="14"/>
          <w:color w:val="auto"/>
        </w:rPr>
        <w:t>US Bancorp</w:t>
      </w:r>
    </w:p>
    <w:p>
      <w:pPr>
        <w:spacing w:after="0" w:line="1" w:lineRule="exact"/>
        <w:rPr>
          <w:rFonts w:ascii="Arial" w:cs="Arial" w:eastAsia="Arial" w:hAnsi="Arial"/>
          <w:sz w:val="14"/>
          <w:szCs w:val="14"/>
          <w:color w:val="005CB9"/>
        </w:rPr>
      </w:pPr>
    </w:p>
    <w:p>
      <w:pPr>
        <w:ind w:left="460" w:hanging="174"/>
        <w:spacing w:after="0"/>
        <w:tabs>
          <w:tab w:leader="none" w:pos="460" w:val="left"/>
        </w:tabs>
        <w:numPr>
          <w:ilvl w:val="0"/>
          <w:numId w:val="17"/>
        </w:numPr>
        <w:rPr>
          <w:rFonts w:ascii="Arial" w:cs="Arial" w:eastAsia="Arial" w:hAnsi="Arial"/>
          <w:sz w:val="14"/>
          <w:szCs w:val="14"/>
          <w:color w:val="005CB9"/>
        </w:rPr>
      </w:pPr>
      <w:r>
        <w:rPr>
          <w:rFonts w:ascii="Arial" w:cs="Arial" w:eastAsia="Arial" w:hAnsi="Arial"/>
          <w:sz w:val="14"/>
          <w:szCs w:val="14"/>
          <w:color w:val="auto"/>
        </w:rPr>
        <w:t>Fox Corporation</w:t>
      </w:r>
    </w:p>
    <w:p>
      <w:pPr>
        <w:spacing w:after="0" w:line="1" w:lineRule="exact"/>
        <w:rPr>
          <w:rFonts w:ascii="Arial" w:cs="Arial" w:eastAsia="Arial" w:hAnsi="Arial"/>
          <w:sz w:val="14"/>
          <w:szCs w:val="14"/>
          <w:color w:val="005CB9"/>
        </w:rPr>
      </w:pPr>
    </w:p>
    <w:p>
      <w:pPr>
        <w:ind w:left="460" w:hanging="174"/>
        <w:spacing w:after="0"/>
        <w:tabs>
          <w:tab w:leader="none" w:pos="460" w:val="left"/>
        </w:tabs>
        <w:numPr>
          <w:ilvl w:val="0"/>
          <w:numId w:val="17"/>
        </w:numPr>
        <w:rPr>
          <w:rFonts w:ascii="Arial" w:cs="Arial" w:eastAsia="Arial" w:hAnsi="Arial"/>
          <w:sz w:val="14"/>
          <w:szCs w:val="14"/>
          <w:color w:val="005CB9"/>
        </w:rPr>
      </w:pPr>
      <w:r>
        <w:rPr>
          <w:rFonts w:ascii="Arial" w:cs="Arial" w:eastAsia="Arial" w:hAnsi="Arial"/>
          <w:sz w:val="14"/>
          <w:szCs w:val="14"/>
          <w:color w:val="auto"/>
        </w:rPr>
        <w:t>MGM Resorts International</w:t>
      </w:r>
    </w:p>
    <w:p>
      <w:pPr>
        <w:spacing w:after="0" w:line="91" w:lineRule="exact"/>
        <w:rPr>
          <w:sz w:val="20"/>
          <w:szCs w:val="20"/>
          <w:color w:val="auto"/>
        </w:rPr>
      </w:pPr>
    </w:p>
    <w:p>
      <w:pPr>
        <w:ind w:right="260"/>
        <w:spacing w:after="0" w:line="254" w:lineRule="auto"/>
        <w:rPr>
          <w:sz w:val="20"/>
          <w:szCs w:val="20"/>
          <w:color w:val="auto"/>
        </w:rPr>
      </w:pPr>
      <w:r>
        <w:rPr>
          <w:rFonts w:ascii="Arial" w:cs="Arial" w:eastAsia="Arial" w:hAnsi="Arial"/>
          <w:sz w:val="14"/>
          <w:szCs w:val="14"/>
          <w:b w:val="1"/>
          <w:bCs w:val="1"/>
          <w:color w:val="auto"/>
        </w:rPr>
        <w:t xml:space="preserve">Other board experience: </w:t>
      </w:r>
      <w:r>
        <w:rPr>
          <w:rFonts w:ascii="Arial" w:cs="Arial" w:eastAsia="Arial" w:hAnsi="Arial"/>
          <w:sz w:val="14"/>
          <w:szCs w:val="14"/>
          <w:color w:val="auto"/>
        </w:rPr>
        <w:t>Until April 2019, Mr. Hernandez served as the</w:t>
      </w:r>
      <w:r>
        <w:rPr>
          <w:rFonts w:ascii="Arial" w:cs="Arial" w:eastAsia="Arial" w:hAnsi="Arial"/>
          <w:sz w:val="14"/>
          <w:szCs w:val="14"/>
          <w:b w:val="1"/>
          <w:bCs w:val="1"/>
          <w:color w:val="auto"/>
        </w:rPr>
        <w:t xml:space="preserve"> </w:t>
      </w:r>
      <w:r>
        <w:rPr>
          <w:rFonts w:ascii="Arial" w:cs="Arial" w:eastAsia="Arial" w:hAnsi="Arial"/>
          <w:sz w:val="14"/>
          <w:szCs w:val="14"/>
          <w:color w:val="auto"/>
        </w:rPr>
        <w:t>Chairman of the Board of Belmond, Ltd. Until December 2019,</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Mr. Hernandez served as a member of the board of directors of Vail Resorts, Inc. Mr. Hernandez serves on the advisory board of Harvard Law School. He previously served on the board of directors of Sony Corporation and Walmart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wp:posOffset>
            </wp:positionV>
            <wp:extent cx="3086100" cy="1183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86100" cy="1183005"/>
                    </a:xfrm>
                    <a:prstGeom prst="rect">
                      <a:avLst/>
                    </a:prstGeom>
                    <a:noFill/>
                  </pic:spPr>
                </pic:pic>
              </a:graphicData>
            </a:graphic>
          </wp:anchor>
        </w:drawing>
      </w:r>
    </w:p>
    <w:p>
      <w:pPr>
        <w:spacing w:after="0" w:line="96" w:lineRule="exact"/>
        <w:rPr>
          <w:sz w:val="20"/>
          <w:szCs w:val="20"/>
          <w:color w:val="auto"/>
        </w:rPr>
      </w:pPr>
    </w:p>
    <w:p>
      <w:pPr>
        <w:ind w:left="80" w:right="100"/>
        <w:spacing w:after="0" w:line="245" w:lineRule="auto"/>
        <w:rPr>
          <w:sz w:val="20"/>
          <w:szCs w:val="20"/>
          <w:color w:val="auto"/>
        </w:rPr>
      </w:pPr>
      <w:r>
        <w:rPr>
          <w:rFonts w:ascii="Arial" w:cs="Arial" w:eastAsia="Arial" w:hAnsi="Arial"/>
          <w:sz w:val="14"/>
          <w:szCs w:val="14"/>
          <w:b w:val="1"/>
          <w:bCs w:val="1"/>
          <w:color w:val="auto"/>
        </w:rPr>
        <w:t xml:space="preserve">Key experience and qualifications: </w:t>
      </w:r>
      <w:r>
        <w:rPr>
          <w:rFonts w:ascii="Arial" w:cs="Arial" w:eastAsia="Arial" w:hAnsi="Arial"/>
          <w:sz w:val="14"/>
          <w:szCs w:val="14"/>
          <w:color w:val="auto"/>
        </w:rPr>
        <w:t>As the former President, Chief</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Officer and Chairman of a television and entertainment company, and through his experience on the Boards of Fox Corporation, MGM Resorts International, Sony Corporation, Walmart Inc. and Vail Resorts, Inc., Mr. Hernandez has gained significant experience in international business and financial matters and a broad understanding of the retail and media sectors which is particularly relevant to the Company. In addition, with his extensive experience on the boards of large public corporations, Mr. Hernandez brings broad corporate governance expertise, along with significant knowledge of board operations, to our Board of Directors.</w:t>
      </w:r>
    </w:p>
    <w:p>
      <w:pPr>
        <w:spacing w:after="0" w:line="200"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tbl>
      <w:tblPr>
        <w:tblLayout w:type="fixed"/>
        <w:tblInd w:w="64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bl>
    <w:p>
      <w:pPr>
        <w:sectPr>
          <w:pgSz w:w="11900" w:h="16838" w:orient="portrait"/>
          <w:cols w:equalWidth="0" w:num="1">
            <w:col w:w="10580"/>
          </w:cols>
          <w:pgMar w:left="320" w:top="459" w:right="9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97150" cy="145415"/>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LECTION OF</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IRECTORS</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ROPOSAL ONE</w:t>
      </w:r>
      <w:r>
        <w:rPr>
          <w:rFonts w:ascii="Arial" w:cs="Arial" w:eastAsia="Arial" w:hAnsi="Arial"/>
          <w:sz w:val="14"/>
          <w:szCs w:val="14"/>
          <w:b w:val="1"/>
          <w:bCs w:val="1"/>
          <w:color w:val="005CB9"/>
        </w:rPr>
        <w:t>)</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52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005CB9"/>
              </w:rPr>
              <w:t>J Moses</w:t>
            </w:r>
          </w:p>
        </w:tc>
        <w:tc>
          <w:tcPr>
            <w:tcW w:w="34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005CB9"/>
              </w:rPr>
              <w:t>Michael Sheresky</w:t>
            </w:r>
          </w:p>
        </w:tc>
      </w:tr>
      <w:tr>
        <w:trPr>
          <w:trHeight w:val="334"/>
        </w:trPr>
        <w:tc>
          <w:tcPr>
            <w:tcW w:w="5280" w:type="dxa"/>
            <w:vAlign w:val="bottom"/>
          </w:tcPr>
          <w:p>
            <w:pPr>
              <w:ind w:left="1680"/>
              <w:spacing w:after="0"/>
              <w:rPr>
                <w:sz w:val="20"/>
                <w:szCs w:val="20"/>
                <w:color w:val="auto"/>
              </w:rPr>
            </w:pPr>
            <w:r>
              <w:rPr>
                <w:rFonts w:ascii="Arial" w:cs="Arial" w:eastAsia="Arial" w:hAnsi="Arial"/>
                <w:sz w:val="14"/>
                <w:szCs w:val="14"/>
                <w:b w:val="1"/>
                <w:bCs w:val="1"/>
                <w:color w:val="005CB9"/>
              </w:rPr>
              <w:t>Independent Director</w:t>
            </w:r>
          </w:p>
        </w:tc>
        <w:tc>
          <w:tcPr>
            <w:tcW w:w="340" w:type="dxa"/>
            <w:vAlign w:val="bottom"/>
          </w:tcPr>
          <w:p>
            <w:pPr>
              <w:spacing w:after="0"/>
              <w:rPr>
                <w:sz w:val="24"/>
                <w:szCs w:val="24"/>
                <w:color w:val="auto"/>
              </w:rPr>
            </w:pPr>
          </w:p>
        </w:tc>
        <w:tc>
          <w:tcPr>
            <w:tcW w:w="5400" w:type="dxa"/>
            <w:vAlign w:val="bottom"/>
          </w:tcPr>
          <w:p>
            <w:pPr>
              <w:ind w:left="1780"/>
              <w:spacing w:after="0"/>
              <w:rPr>
                <w:sz w:val="20"/>
                <w:szCs w:val="20"/>
                <w:color w:val="auto"/>
              </w:rPr>
            </w:pPr>
            <w:r>
              <w:rPr>
                <w:rFonts w:ascii="Arial" w:cs="Arial" w:eastAsia="Arial" w:hAnsi="Arial"/>
                <w:sz w:val="14"/>
                <w:szCs w:val="14"/>
                <w:b w:val="1"/>
                <w:bCs w:val="1"/>
                <w:color w:val="005CB9"/>
              </w:rPr>
              <w:t>Independent Director</w:t>
            </w:r>
          </w:p>
        </w:tc>
      </w:tr>
      <w:tr>
        <w:trPr>
          <w:trHeight w:val="243"/>
        </w:trPr>
        <w:tc>
          <w:tcPr>
            <w:tcW w:w="5280" w:type="dxa"/>
            <w:vAlign w:val="bottom"/>
          </w:tcPr>
          <w:p>
            <w:pPr>
              <w:ind w:left="1680"/>
              <w:spacing w:after="0"/>
              <w:rPr>
                <w:sz w:val="20"/>
                <w:szCs w:val="20"/>
                <w:color w:val="auto"/>
              </w:rPr>
            </w:pPr>
            <w:r>
              <w:rPr>
                <w:rFonts w:ascii="Arial" w:cs="Arial" w:eastAsia="Arial" w:hAnsi="Arial"/>
                <w:sz w:val="14"/>
                <w:szCs w:val="14"/>
                <w:b w:val="1"/>
                <w:bCs w:val="1"/>
                <w:color w:val="005CB9"/>
              </w:rPr>
              <w:t xml:space="preserve">Chair: </w:t>
            </w:r>
            <w:r>
              <w:rPr>
                <w:rFonts w:ascii="Arial" w:cs="Arial" w:eastAsia="Arial" w:hAnsi="Arial"/>
                <w:sz w:val="14"/>
                <w:szCs w:val="14"/>
                <w:color w:val="000000"/>
              </w:rPr>
              <w:t>Corporate Governance Committee</w:t>
            </w:r>
          </w:p>
        </w:tc>
        <w:tc>
          <w:tcPr>
            <w:tcW w:w="340" w:type="dxa"/>
            <w:vAlign w:val="bottom"/>
          </w:tcPr>
          <w:p>
            <w:pPr>
              <w:spacing w:after="0"/>
              <w:rPr>
                <w:sz w:val="21"/>
                <w:szCs w:val="21"/>
                <w:color w:val="auto"/>
              </w:rPr>
            </w:pPr>
          </w:p>
        </w:tc>
        <w:tc>
          <w:tcPr>
            <w:tcW w:w="5400" w:type="dxa"/>
            <w:vAlign w:val="bottom"/>
          </w:tcPr>
          <w:p>
            <w:pPr>
              <w:ind w:left="1780"/>
              <w:spacing w:after="0"/>
              <w:rPr>
                <w:sz w:val="20"/>
                <w:szCs w:val="20"/>
                <w:color w:val="auto"/>
              </w:rPr>
            </w:pPr>
            <w:r>
              <w:rPr>
                <w:rFonts w:ascii="Arial" w:cs="Arial" w:eastAsia="Arial" w:hAnsi="Arial"/>
                <w:sz w:val="14"/>
                <w:szCs w:val="14"/>
                <w:b w:val="1"/>
                <w:bCs w:val="1"/>
                <w:color w:val="005CB9"/>
              </w:rPr>
              <w:t xml:space="preserve">Chair: </w:t>
            </w:r>
            <w:r>
              <w:rPr>
                <w:rFonts w:ascii="Arial" w:cs="Arial" w:eastAsia="Arial" w:hAnsi="Arial"/>
                <w:sz w:val="14"/>
                <w:szCs w:val="14"/>
                <w:color w:val="000000"/>
              </w:rPr>
              <w:t>Compensation Committee</w:t>
            </w:r>
          </w:p>
        </w:tc>
      </w:tr>
      <w:tr>
        <w:trPr>
          <w:trHeight w:val="233"/>
        </w:trPr>
        <w:tc>
          <w:tcPr>
            <w:tcW w:w="5280" w:type="dxa"/>
            <w:vAlign w:val="bottom"/>
          </w:tcPr>
          <w:p>
            <w:pPr>
              <w:ind w:left="1680"/>
              <w:spacing w:after="0"/>
              <w:rPr>
                <w:sz w:val="20"/>
                <w:szCs w:val="20"/>
                <w:color w:val="auto"/>
              </w:rPr>
            </w:pPr>
            <w:r>
              <w:rPr>
                <w:rFonts w:ascii="Arial" w:cs="Arial" w:eastAsia="Arial" w:hAnsi="Arial"/>
                <w:sz w:val="14"/>
                <w:szCs w:val="14"/>
                <w:b w:val="1"/>
                <w:bCs w:val="1"/>
                <w:color w:val="005CB9"/>
              </w:rPr>
              <w:t>Member:</w:t>
            </w:r>
          </w:p>
        </w:tc>
        <w:tc>
          <w:tcPr>
            <w:tcW w:w="340" w:type="dxa"/>
            <w:vAlign w:val="bottom"/>
          </w:tcPr>
          <w:p>
            <w:pPr>
              <w:spacing w:after="0"/>
              <w:rPr>
                <w:sz w:val="20"/>
                <w:szCs w:val="20"/>
                <w:color w:val="auto"/>
              </w:rPr>
            </w:pPr>
          </w:p>
        </w:tc>
        <w:tc>
          <w:tcPr>
            <w:tcW w:w="5400" w:type="dxa"/>
            <w:vAlign w:val="bottom"/>
          </w:tcPr>
          <w:p>
            <w:pPr>
              <w:ind w:left="1780"/>
              <w:spacing w:after="0"/>
              <w:rPr>
                <w:sz w:val="20"/>
                <w:szCs w:val="20"/>
                <w:color w:val="auto"/>
              </w:rPr>
            </w:pPr>
            <w:r>
              <w:rPr>
                <w:rFonts w:ascii="Arial" w:cs="Arial" w:eastAsia="Arial" w:hAnsi="Arial"/>
                <w:sz w:val="14"/>
                <w:szCs w:val="14"/>
                <w:b w:val="1"/>
                <w:bCs w:val="1"/>
                <w:color w:val="005CB9"/>
              </w:rPr>
              <w:t>Member:</w:t>
            </w:r>
          </w:p>
        </w:tc>
      </w:tr>
      <w:tr>
        <w:trPr>
          <w:trHeight w:val="172"/>
        </w:trPr>
        <w:tc>
          <w:tcPr>
            <w:tcW w:w="5280" w:type="dxa"/>
            <w:vAlign w:val="bottom"/>
          </w:tcPr>
          <w:p>
            <w:pPr>
              <w:ind w:left="1680"/>
              <w:spacing w:after="0"/>
              <w:rPr>
                <w:sz w:val="20"/>
                <w:szCs w:val="20"/>
                <w:color w:val="auto"/>
              </w:rPr>
            </w:pPr>
            <w:r>
              <w:rPr>
                <w:rFonts w:ascii="Arial" w:cs="Arial" w:eastAsia="Arial" w:hAnsi="Arial"/>
                <w:sz w:val="14"/>
                <w:szCs w:val="14"/>
                <w:color w:val="005CB9"/>
              </w:rPr>
              <w:t xml:space="preserve">• </w:t>
            </w:r>
            <w:r>
              <w:rPr>
                <w:rFonts w:ascii="Arial" w:cs="Arial" w:eastAsia="Arial" w:hAnsi="Arial"/>
                <w:sz w:val="14"/>
                <w:szCs w:val="14"/>
                <w:color w:val="000000"/>
              </w:rPr>
              <w:t>Audit and Compensation Committees</w:t>
            </w:r>
          </w:p>
        </w:tc>
        <w:tc>
          <w:tcPr>
            <w:tcW w:w="340" w:type="dxa"/>
            <w:vAlign w:val="bottom"/>
          </w:tcPr>
          <w:p>
            <w:pPr>
              <w:spacing w:after="0"/>
              <w:rPr>
                <w:sz w:val="14"/>
                <w:szCs w:val="14"/>
                <w:color w:val="auto"/>
              </w:rPr>
            </w:pPr>
          </w:p>
        </w:tc>
        <w:tc>
          <w:tcPr>
            <w:tcW w:w="5400" w:type="dxa"/>
            <w:vAlign w:val="bottom"/>
          </w:tcPr>
          <w:p>
            <w:pPr>
              <w:ind w:left="1780"/>
              <w:spacing w:after="0"/>
              <w:rPr>
                <w:sz w:val="20"/>
                <w:szCs w:val="20"/>
                <w:color w:val="auto"/>
              </w:rPr>
            </w:pPr>
            <w:r>
              <w:rPr>
                <w:rFonts w:ascii="Arial" w:cs="Arial" w:eastAsia="Arial" w:hAnsi="Arial"/>
                <w:sz w:val="14"/>
                <w:szCs w:val="14"/>
                <w:color w:val="005CB9"/>
              </w:rPr>
              <w:t xml:space="preserve">• </w:t>
            </w:r>
            <w:r>
              <w:rPr>
                <w:rFonts w:ascii="Arial" w:cs="Arial" w:eastAsia="Arial" w:hAnsi="Arial"/>
                <w:sz w:val="14"/>
                <w:szCs w:val="14"/>
                <w:color w:val="000000"/>
              </w:rPr>
              <w:t>Corporate Governance and Executive Committees</w:t>
            </w:r>
          </w:p>
        </w:tc>
      </w:tr>
      <w:tr>
        <w:trPr>
          <w:trHeight w:val="243"/>
        </w:trPr>
        <w:tc>
          <w:tcPr>
            <w:tcW w:w="5280" w:type="dxa"/>
            <w:vAlign w:val="bottom"/>
          </w:tcPr>
          <w:p>
            <w:pPr>
              <w:ind w:left="1680"/>
              <w:spacing w:after="0"/>
              <w:rPr>
                <w:sz w:val="20"/>
                <w:szCs w:val="20"/>
                <w:color w:val="auto"/>
              </w:rPr>
            </w:pPr>
            <w:r>
              <w:rPr>
                <w:rFonts w:ascii="Arial" w:cs="Arial" w:eastAsia="Arial" w:hAnsi="Arial"/>
                <w:sz w:val="14"/>
                <w:szCs w:val="14"/>
                <w:b w:val="1"/>
                <w:bCs w:val="1"/>
                <w:color w:val="005CB9"/>
              </w:rPr>
              <w:t xml:space="preserve">Age: </w:t>
            </w:r>
            <w:r>
              <w:rPr>
                <w:rFonts w:ascii="Arial" w:cs="Arial" w:eastAsia="Arial" w:hAnsi="Arial"/>
                <w:sz w:val="14"/>
                <w:szCs w:val="14"/>
                <w:color w:val="000000"/>
              </w:rPr>
              <w:t>61</w:t>
            </w:r>
          </w:p>
        </w:tc>
        <w:tc>
          <w:tcPr>
            <w:tcW w:w="340" w:type="dxa"/>
            <w:vAlign w:val="bottom"/>
          </w:tcPr>
          <w:p>
            <w:pPr>
              <w:spacing w:after="0"/>
              <w:rPr>
                <w:sz w:val="21"/>
                <w:szCs w:val="21"/>
                <w:color w:val="auto"/>
              </w:rPr>
            </w:pPr>
          </w:p>
        </w:tc>
        <w:tc>
          <w:tcPr>
            <w:tcW w:w="5400" w:type="dxa"/>
            <w:vAlign w:val="bottom"/>
          </w:tcPr>
          <w:p>
            <w:pPr>
              <w:ind w:left="1780"/>
              <w:spacing w:after="0"/>
              <w:rPr>
                <w:sz w:val="20"/>
                <w:szCs w:val="20"/>
                <w:color w:val="auto"/>
              </w:rPr>
            </w:pPr>
            <w:r>
              <w:rPr>
                <w:rFonts w:ascii="Arial" w:cs="Arial" w:eastAsia="Arial" w:hAnsi="Arial"/>
                <w:sz w:val="14"/>
                <w:szCs w:val="14"/>
                <w:b w:val="1"/>
                <w:bCs w:val="1"/>
                <w:color w:val="005CB9"/>
              </w:rPr>
              <w:t xml:space="preserve">Age: </w:t>
            </w:r>
            <w:r>
              <w:rPr>
                <w:rFonts w:ascii="Arial" w:cs="Arial" w:eastAsia="Arial" w:hAnsi="Arial"/>
                <w:sz w:val="14"/>
                <w:szCs w:val="14"/>
                <w:color w:val="000000"/>
              </w:rPr>
              <w:t>52</w:t>
            </w:r>
          </w:p>
        </w:tc>
      </w:tr>
      <w:tr>
        <w:trPr>
          <w:trHeight w:val="243"/>
        </w:trPr>
        <w:tc>
          <w:tcPr>
            <w:tcW w:w="5280" w:type="dxa"/>
            <w:vAlign w:val="bottom"/>
          </w:tcPr>
          <w:p>
            <w:pPr>
              <w:ind w:left="1680"/>
              <w:spacing w:after="0"/>
              <w:rPr>
                <w:sz w:val="20"/>
                <w:szCs w:val="20"/>
                <w:color w:val="auto"/>
              </w:rPr>
            </w:pPr>
            <w:r>
              <w:rPr>
                <w:rFonts w:ascii="Arial" w:cs="Arial" w:eastAsia="Arial" w:hAnsi="Arial"/>
                <w:sz w:val="14"/>
                <w:szCs w:val="14"/>
                <w:b w:val="1"/>
                <w:bCs w:val="1"/>
                <w:color w:val="005CB9"/>
              </w:rPr>
              <w:t xml:space="preserve">Director since: </w:t>
            </w:r>
            <w:r>
              <w:rPr>
                <w:rFonts w:ascii="Arial" w:cs="Arial" w:eastAsia="Arial" w:hAnsi="Arial"/>
                <w:sz w:val="14"/>
                <w:szCs w:val="14"/>
                <w:color w:val="000000"/>
              </w:rPr>
              <w:t>March 2007</w:t>
            </w:r>
          </w:p>
        </w:tc>
        <w:tc>
          <w:tcPr>
            <w:tcW w:w="340" w:type="dxa"/>
            <w:vAlign w:val="bottom"/>
          </w:tcPr>
          <w:p>
            <w:pPr>
              <w:spacing w:after="0"/>
              <w:rPr>
                <w:sz w:val="21"/>
                <w:szCs w:val="21"/>
                <w:color w:val="auto"/>
              </w:rPr>
            </w:pPr>
          </w:p>
        </w:tc>
        <w:tc>
          <w:tcPr>
            <w:tcW w:w="5400" w:type="dxa"/>
            <w:vAlign w:val="bottom"/>
          </w:tcPr>
          <w:p>
            <w:pPr>
              <w:ind w:left="1780"/>
              <w:spacing w:after="0"/>
              <w:rPr>
                <w:sz w:val="20"/>
                <w:szCs w:val="20"/>
                <w:color w:val="auto"/>
              </w:rPr>
            </w:pPr>
            <w:r>
              <w:rPr>
                <w:rFonts w:ascii="Arial" w:cs="Arial" w:eastAsia="Arial" w:hAnsi="Arial"/>
                <w:sz w:val="14"/>
                <w:szCs w:val="14"/>
                <w:b w:val="1"/>
                <w:bCs w:val="1"/>
                <w:color w:val="005CB9"/>
              </w:rPr>
              <w:t xml:space="preserve">Director since: </w:t>
            </w:r>
            <w:r>
              <w:rPr>
                <w:rFonts w:ascii="Arial" w:cs="Arial" w:eastAsia="Arial" w:hAnsi="Arial"/>
                <w:sz w:val="14"/>
                <w:szCs w:val="14"/>
                <w:color w:val="000000"/>
              </w:rPr>
              <w:t>March 2007</w:t>
            </w:r>
          </w:p>
        </w:tc>
      </w:tr>
      <w:tr>
        <w:trPr>
          <w:trHeight w:val="243"/>
        </w:trPr>
        <w:tc>
          <w:tcPr>
            <w:tcW w:w="5280" w:type="dxa"/>
            <w:vAlign w:val="bottom"/>
          </w:tcPr>
          <w:p>
            <w:pPr>
              <w:ind w:left="1680"/>
              <w:spacing w:after="0"/>
              <w:rPr>
                <w:sz w:val="20"/>
                <w:szCs w:val="20"/>
                <w:color w:val="auto"/>
              </w:rPr>
            </w:pPr>
            <w:r>
              <w:rPr>
                <w:rFonts w:ascii="Arial" w:cs="Arial" w:eastAsia="Arial" w:hAnsi="Arial"/>
                <w:sz w:val="14"/>
                <w:szCs w:val="14"/>
                <w:color w:val="auto"/>
              </w:rPr>
              <w:t>Beneficial owner of 18,924 shares</w:t>
            </w:r>
          </w:p>
        </w:tc>
        <w:tc>
          <w:tcPr>
            <w:tcW w:w="340" w:type="dxa"/>
            <w:vAlign w:val="bottom"/>
          </w:tcPr>
          <w:p>
            <w:pPr>
              <w:spacing w:after="0"/>
              <w:rPr>
                <w:sz w:val="21"/>
                <w:szCs w:val="21"/>
                <w:color w:val="auto"/>
              </w:rPr>
            </w:pPr>
          </w:p>
        </w:tc>
        <w:tc>
          <w:tcPr>
            <w:tcW w:w="5400" w:type="dxa"/>
            <w:vAlign w:val="bottom"/>
          </w:tcPr>
          <w:p>
            <w:pPr>
              <w:ind w:left="1780"/>
              <w:spacing w:after="0"/>
              <w:rPr>
                <w:sz w:val="20"/>
                <w:szCs w:val="20"/>
                <w:color w:val="auto"/>
              </w:rPr>
            </w:pPr>
            <w:r>
              <w:rPr>
                <w:rFonts w:ascii="Arial" w:cs="Arial" w:eastAsia="Arial" w:hAnsi="Arial"/>
                <w:sz w:val="14"/>
                <w:szCs w:val="14"/>
                <w:color w:val="auto"/>
              </w:rPr>
              <w:t>Beneficial owner of 60,723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-986155</wp:posOffset>
            </wp:positionV>
            <wp:extent cx="960120" cy="11055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0120" cy="110553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-986155</wp:posOffset>
            </wp:positionV>
            <wp:extent cx="960120" cy="11055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0120" cy="11055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120" w:right="240"/>
        <w:spacing w:after="0" w:line="246" w:lineRule="auto"/>
        <w:rPr>
          <w:sz w:val="20"/>
          <w:szCs w:val="20"/>
          <w:color w:val="auto"/>
        </w:rPr>
      </w:pPr>
      <w:r>
        <w:rPr>
          <w:rFonts w:ascii="Arial" w:cs="Arial" w:eastAsia="Arial" w:hAnsi="Arial"/>
          <w:sz w:val="14"/>
          <w:szCs w:val="14"/>
          <w:b w:val="1"/>
          <w:bCs w:val="1"/>
          <w:color w:val="auto"/>
        </w:rPr>
        <w:t xml:space="preserve">Mr. Moses has over 40 years of experience in video games, technology, sports, entertainment, eSports and sports betting; as a CEO, founder, investor, advisor, producer and director for public and private businesses around the world. </w:t>
      </w:r>
      <w:r>
        <w:rPr>
          <w:rFonts w:ascii="Arial" w:cs="Arial" w:eastAsia="Arial" w:hAnsi="Arial"/>
          <w:sz w:val="14"/>
          <w:szCs w:val="14"/>
          <w:color w:val="auto"/>
        </w:rPr>
        <w:t>Mr. Moses currently serves on the boards of Bet.Works, a</w:t>
      </w:r>
      <w:r>
        <w:rPr>
          <w:rFonts w:ascii="Arial" w:cs="Arial" w:eastAsia="Arial" w:hAnsi="Arial"/>
          <w:sz w:val="14"/>
          <w:szCs w:val="14"/>
          <w:b w:val="1"/>
          <w:bCs w:val="1"/>
          <w:color w:val="auto"/>
        </w:rPr>
        <w:t xml:space="preserve"> </w:t>
      </w:r>
      <w:r>
        <w:rPr>
          <w:rFonts w:ascii="Arial" w:cs="Arial" w:eastAsia="Arial" w:hAnsi="Arial"/>
          <w:sz w:val="14"/>
          <w:szCs w:val="14"/>
          <w:color w:val="auto"/>
        </w:rPr>
        <w:t>sports betting backend technology that powers operators in multiple states; ReadyUp, an eSports infrastructure business that connects gamers around the world; and Prize Payments Pro, a platform that efficiently processes prize payments for eSports competitions. Mr. Moses has served as an advisor to SimulMedia, a platform which provides advanced TV advertising, since its inception in 2008.</w:t>
      </w:r>
    </w:p>
    <w:p>
      <w:pPr>
        <w:spacing w:after="0" w:line="78" w:lineRule="exact"/>
        <w:rPr>
          <w:sz w:val="20"/>
          <w:szCs w:val="20"/>
          <w:color w:val="auto"/>
        </w:rPr>
      </w:pPr>
    </w:p>
    <w:p>
      <w:pPr>
        <w:ind w:left="120"/>
        <w:spacing w:after="0" w:line="244" w:lineRule="auto"/>
        <w:rPr>
          <w:sz w:val="20"/>
          <w:szCs w:val="20"/>
          <w:color w:val="auto"/>
        </w:rPr>
      </w:pPr>
      <w:r>
        <w:rPr>
          <w:rFonts w:ascii="Arial" w:cs="Arial" w:eastAsia="Arial" w:hAnsi="Arial"/>
          <w:sz w:val="14"/>
          <w:szCs w:val="14"/>
          <w:b w:val="1"/>
          <w:bCs w:val="1"/>
          <w:color w:val="auto"/>
        </w:rPr>
        <w:t xml:space="preserve">Prior executive roles: </w:t>
      </w:r>
      <w:r>
        <w:rPr>
          <w:rFonts w:ascii="Arial" w:cs="Arial" w:eastAsia="Arial" w:hAnsi="Arial"/>
          <w:sz w:val="14"/>
          <w:szCs w:val="14"/>
          <w:color w:val="auto"/>
        </w:rPr>
        <w:t>Mr. Moses was the founder, and from 1998 to 2007, the</w:t>
      </w:r>
      <w:r>
        <w:rPr>
          <w:rFonts w:ascii="Arial" w:cs="Arial" w:eastAsia="Arial" w:hAnsi="Arial"/>
          <w:sz w:val="14"/>
          <w:szCs w:val="14"/>
          <w:b w:val="1"/>
          <w:bCs w:val="1"/>
          <w:color w:val="auto"/>
        </w:rPr>
        <w:t xml:space="preserve"> </w:t>
      </w:r>
      <w:r>
        <w:rPr>
          <w:rFonts w:ascii="Arial" w:cs="Arial" w:eastAsia="Arial" w:hAnsi="Arial"/>
          <w:sz w:val="14"/>
          <w:szCs w:val="14"/>
          <w:color w:val="auto"/>
        </w:rPr>
        <w:t>Chief Executive Officer, of UGO Networks, Inc., an online publisher and affiliate network delivering information and entertainment to over 20 million gamers around the world. He managed the sale of the company to the Hearst Corporation in 2007. Mr. Moses previously served as the President of MTV Russia where he successfully oversaw the establishment of the Moscow based Network in 1998. Mr. Moses served as the President of BMG Interactive from 1993 to 1996, the former video game and new technology divisions of BMG Entertainment, where he “green-lighted” a portfolio of 11 video games including the original Grand Theft Auto. Mr. Moses has served as the Special Assistant to Roone Arledge, the President of ABC Sports and News; as an Executive Producer on Stolen Babies, a made for TV movie for ABC; and as Creator for New York News, a TV series for CBS. Mr. Moses is currently developing a scripted show for the CW Network on the world of eSports.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Additional Public Directorships (current):</w:t>
      </w:r>
    </w:p>
    <w:p>
      <w:pPr>
        <w:spacing w:after="0" w:line="141" w:lineRule="exact"/>
        <w:rPr>
          <w:sz w:val="20"/>
          <w:szCs w:val="20"/>
          <w:color w:val="auto"/>
        </w:rPr>
      </w:pPr>
    </w:p>
    <w:p>
      <w:pPr>
        <w:ind w:left="580" w:hanging="181"/>
        <w:spacing w:after="0"/>
        <w:tabs>
          <w:tab w:leader="none" w:pos="580" w:val="left"/>
        </w:tabs>
        <w:numPr>
          <w:ilvl w:val="0"/>
          <w:numId w:val="18"/>
        </w:numPr>
        <w:rPr>
          <w:rFonts w:ascii="Arial" w:cs="Arial" w:eastAsia="Arial" w:hAnsi="Arial"/>
          <w:sz w:val="14"/>
          <w:szCs w:val="14"/>
          <w:color w:val="005CB9"/>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3360420" cy="5746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0420" cy="574675"/>
                    </a:xfrm>
                    <a:prstGeom prst="rect">
                      <a:avLst/>
                    </a:prstGeom>
                    <a:noFill/>
                  </pic:spPr>
                </pic:pic>
              </a:graphicData>
            </a:graphic>
          </wp:anchor>
        </w:drawing>
      </w:r>
    </w:p>
    <w:p>
      <w:pPr>
        <w:spacing w:after="0" w:line="125" w:lineRule="exact"/>
        <w:rPr>
          <w:sz w:val="20"/>
          <w:szCs w:val="20"/>
          <w:color w:val="auto"/>
        </w:rPr>
      </w:pPr>
    </w:p>
    <w:p>
      <w:pPr>
        <w:ind w:left="180" w:right="160"/>
        <w:spacing w:after="0" w:line="252" w:lineRule="auto"/>
        <w:rPr>
          <w:sz w:val="20"/>
          <w:szCs w:val="20"/>
          <w:color w:val="auto"/>
        </w:rPr>
      </w:pPr>
      <w:r>
        <w:rPr>
          <w:rFonts w:ascii="Arial" w:cs="Arial" w:eastAsia="Arial" w:hAnsi="Arial"/>
          <w:sz w:val="14"/>
          <w:szCs w:val="14"/>
          <w:b w:val="1"/>
          <w:bCs w:val="1"/>
          <w:color w:val="auto"/>
        </w:rPr>
        <w:t xml:space="preserve">Key experience and qualifications: </w:t>
      </w:r>
      <w:r>
        <w:rPr>
          <w:rFonts w:ascii="Arial" w:cs="Arial" w:eastAsia="Arial" w:hAnsi="Arial"/>
          <w:sz w:val="14"/>
          <w:szCs w:val="14"/>
          <w:color w:val="auto"/>
        </w:rPr>
        <w:t>Mr. Moses provides insight based on vast</w:t>
      </w:r>
      <w:r>
        <w:rPr>
          <w:rFonts w:ascii="Arial" w:cs="Arial" w:eastAsia="Arial" w:hAnsi="Arial"/>
          <w:sz w:val="14"/>
          <w:szCs w:val="14"/>
          <w:b w:val="1"/>
          <w:bCs w:val="1"/>
          <w:color w:val="auto"/>
        </w:rPr>
        <w:t xml:space="preserve"> </w:t>
      </w:r>
      <w:r>
        <w:rPr>
          <w:rFonts w:ascii="Arial" w:cs="Arial" w:eastAsia="Arial" w:hAnsi="Arial"/>
          <w:sz w:val="14"/>
          <w:szCs w:val="14"/>
          <w:color w:val="auto"/>
        </w:rPr>
        <w:t>media experience and leadership history, including his roles as CEO of UGO Networks, President of MTV Russia and President of BMG Interactive, and his deep understanding of the interactive entertainment industry and its global opportunities.</w:t>
      </w:r>
    </w:p>
    <w:p>
      <w:pPr>
        <w:spacing w:after="0" w:line="200" w:lineRule="exact"/>
        <w:rPr>
          <w:sz w:val="20"/>
          <w:szCs w:val="20"/>
          <w:color w:val="auto"/>
        </w:rPr>
      </w:pPr>
    </w:p>
    <w:p>
      <w:pPr>
        <w:spacing w:after="0" w:line="244" w:lineRule="exact"/>
        <w:rPr>
          <w:sz w:val="20"/>
          <w:szCs w:val="20"/>
          <w:color w:val="auto"/>
        </w:rPr>
      </w:pPr>
    </w:p>
    <w:p>
      <w:pPr>
        <w:ind w:left="620" w:hanging="504"/>
        <w:spacing w:after="0"/>
        <w:tabs>
          <w:tab w:leader="none" w:pos="620" w:val="left"/>
        </w:tabs>
        <w:numPr>
          <w:ilvl w:val="0"/>
          <w:numId w:val="19"/>
        </w:numPr>
        <w:rPr>
          <w:rFonts w:ascii="Arial" w:cs="Arial" w:eastAsia="Arial" w:hAnsi="Arial"/>
          <w:sz w:val="16"/>
          <w:szCs w:val="16"/>
          <w:b w:val="1"/>
          <w:bCs w:val="1"/>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240"/>
        <w:spacing w:after="0" w:line="256" w:lineRule="auto"/>
        <w:rPr>
          <w:sz w:val="20"/>
          <w:szCs w:val="20"/>
          <w:color w:val="auto"/>
        </w:rPr>
      </w:pPr>
      <w:r>
        <w:rPr>
          <w:rFonts w:ascii="Arial" w:cs="Arial" w:eastAsia="Arial" w:hAnsi="Arial"/>
          <w:sz w:val="14"/>
          <w:szCs w:val="14"/>
          <w:b w:val="1"/>
          <w:bCs w:val="1"/>
          <w:color w:val="auto"/>
        </w:rPr>
        <w:t xml:space="preserve">Mr. Sheresky is a partner at United Talent Agency, where he has served as a motion picture talent agent since June 2009. </w:t>
      </w:r>
      <w:r>
        <w:rPr>
          <w:rFonts w:ascii="Arial" w:cs="Arial" w:eastAsia="Arial" w:hAnsi="Arial"/>
          <w:sz w:val="14"/>
          <w:szCs w:val="14"/>
          <w:color w:val="auto"/>
        </w:rPr>
        <w:t>Mr. Sheresky is responsible for</w:t>
      </w:r>
      <w:r>
        <w:rPr>
          <w:rFonts w:ascii="Arial" w:cs="Arial" w:eastAsia="Arial" w:hAnsi="Arial"/>
          <w:sz w:val="14"/>
          <w:szCs w:val="14"/>
          <w:b w:val="1"/>
          <w:bCs w:val="1"/>
          <w:color w:val="auto"/>
        </w:rPr>
        <w:t xml:space="preserve"> </w:t>
      </w:r>
      <w:r>
        <w:rPr>
          <w:rFonts w:ascii="Arial" w:cs="Arial" w:eastAsia="Arial" w:hAnsi="Arial"/>
          <w:sz w:val="14"/>
          <w:szCs w:val="14"/>
          <w:color w:val="auto"/>
        </w:rPr>
        <w:t>structuring projects and deals in the areas of motion picture and television development, production and distribution.</w:t>
      </w:r>
    </w:p>
    <w:p>
      <w:pPr>
        <w:spacing w:after="0" w:line="69"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b w:val="1"/>
          <w:bCs w:val="1"/>
          <w:color w:val="auto"/>
        </w:rPr>
        <w:t xml:space="preserve">Prior professional roles: </w:t>
      </w:r>
      <w:r>
        <w:rPr>
          <w:rFonts w:ascii="Arial" w:cs="Arial" w:eastAsia="Arial" w:hAnsi="Arial"/>
          <w:sz w:val="14"/>
          <w:szCs w:val="14"/>
          <w:color w:val="auto"/>
        </w:rPr>
        <w:t>From 1992 through 1995, and then from 1997 through</w:t>
      </w:r>
      <w:r>
        <w:rPr>
          <w:rFonts w:ascii="Arial" w:cs="Arial" w:eastAsia="Arial" w:hAnsi="Arial"/>
          <w:sz w:val="14"/>
          <w:szCs w:val="14"/>
          <w:b w:val="1"/>
          <w:bCs w:val="1"/>
          <w:color w:val="auto"/>
        </w:rPr>
        <w:t xml:space="preserve"> </w:t>
      </w:r>
      <w:r>
        <w:rPr>
          <w:rFonts w:ascii="Arial" w:cs="Arial" w:eastAsia="Arial" w:hAnsi="Arial"/>
          <w:sz w:val="14"/>
          <w:szCs w:val="14"/>
          <w:color w:val="auto"/>
        </w:rPr>
        <w:t>May 2009, Mr. Sheresky held a number of positions at the William Morris Agency, a talent agency, most recently Senior Vice President in its Motion Picture Department. During that time, he represented authors, journalists, screenwriters, directors, producers and actors in the motion picture and television businesses.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Public Directorships (current):</w:t>
      </w:r>
    </w:p>
    <w:p>
      <w:pPr>
        <w:spacing w:after="0" w:line="141" w:lineRule="exact"/>
        <w:rPr>
          <w:sz w:val="20"/>
          <w:szCs w:val="20"/>
          <w:color w:val="auto"/>
        </w:rPr>
      </w:pPr>
    </w:p>
    <w:p>
      <w:pPr>
        <w:ind w:left="460" w:hanging="183"/>
        <w:spacing w:after="0"/>
        <w:tabs>
          <w:tab w:leader="none" w:pos="460" w:val="left"/>
        </w:tabs>
        <w:numPr>
          <w:ilvl w:val="0"/>
          <w:numId w:val="20"/>
        </w:numPr>
        <w:rPr>
          <w:rFonts w:ascii="Arial" w:cs="Arial" w:eastAsia="Arial" w:hAnsi="Arial"/>
          <w:sz w:val="14"/>
          <w:szCs w:val="14"/>
          <w:color w:val="005CB9"/>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3429000" cy="4711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0" cy="471170"/>
                    </a:xfrm>
                    <a:prstGeom prst="rect">
                      <a:avLst/>
                    </a:prstGeom>
                    <a:noFill/>
                  </pic:spPr>
                </pic:pic>
              </a:graphicData>
            </a:graphic>
          </wp:anchor>
        </w:drawing>
      </w:r>
    </w:p>
    <w:p>
      <w:pPr>
        <w:spacing w:after="0" w:line="125" w:lineRule="exact"/>
        <w:rPr>
          <w:sz w:val="20"/>
          <w:szCs w:val="20"/>
          <w:color w:val="auto"/>
        </w:rPr>
      </w:pPr>
    </w:p>
    <w:p>
      <w:pPr>
        <w:ind w:left="60" w:right="140"/>
        <w:spacing w:after="0" w:line="256" w:lineRule="auto"/>
        <w:rPr>
          <w:sz w:val="20"/>
          <w:szCs w:val="20"/>
          <w:color w:val="auto"/>
        </w:rPr>
      </w:pPr>
      <w:r>
        <w:rPr>
          <w:rFonts w:ascii="Arial" w:cs="Arial" w:eastAsia="Arial" w:hAnsi="Arial"/>
          <w:sz w:val="14"/>
          <w:szCs w:val="14"/>
          <w:b w:val="1"/>
          <w:bCs w:val="1"/>
          <w:color w:val="auto"/>
        </w:rPr>
        <w:t xml:space="preserve">Key experience and qualifications: </w:t>
      </w:r>
      <w:r>
        <w:rPr>
          <w:rFonts w:ascii="Arial" w:cs="Arial" w:eastAsia="Arial" w:hAnsi="Arial"/>
          <w:sz w:val="14"/>
          <w:szCs w:val="14"/>
          <w:color w:val="auto"/>
        </w:rPr>
        <w:t>Mr. Sheresky’s entertainment experience as</w:t>
      </w:r>
      <w:r>
        <w:rPr>
          <w:rFonts w:ascii="Arial" w:cs="Arial" w:eastAsia="Arial" w:hAnsi="Arial"/>
          <w:sz w:val="14"/>
          <w:szCs w:val="14"/>
          <w:b w:val="1"/>
          <w:bCs w:val="1"/>
          <w:color w:val="auto"/>
        </w:rPr>
        <w:t xml:space="preserve"> </w:t>
      </w:r>
      <w:r>
        <w:rPr>
          <w:rFonts w:ascii="Arial" w:cs="Arial" w:eastAsia="Arial" w:hAnsi="Arial"/>
          <w:sz w:val="14"/>
          <w:szCs w:val="14"/>
          <w:color w:val="auto"/>
        </w:rPr>
        <w:t>a talent agent is an important asset to the Board of Directors, including his particularly keen insight into negotiations with, and the development and compensation of, creative talent and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1844040</wp:posOffset>
            </wp:positionV>
            <wp:extent cx="291465"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ectPr>
          <w:pgSz w:w="11900" w:h="16838" w:orient="portrait"/>
          <w:cols w:equalWidth="0" w:num="2">
            <w:col w:w="5400" w:space="340"/>
            <w:col w:w="5400"/>
          </w:cols>
          <w:pgMar w:left="32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jc w:val="right"/>
        <w:ind w:right="62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LECTION OF</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IRECTORS</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ROPOSAL ONE</w:t>
      </w:r>
      <w:r>
        <w:rPr>
          <w:rFonts w:ascii="Arial" w:cs="Arial" w:eastAsia="Arial" w:hAnsi="Arial"/>
          <w:sz w:val="14"/>
          <w:szCs w:val="14"/>
          <w:b w:val="1"/>
          <w:bCs w:val="1"/>
          <w:color w:val="005CB9"/>
        </w:rPr>
        <w:t>)</w:t>
      </w:r>
    </w:p>
    <w:p>
      <w:pPr>
        <w:sectPr>
          <w:pgSz w:w="11900" w:h="16838" w:orient="portrait"/>
          <w:cols w:equalWidth="0" w:num="1">
            <w:col w:w="10580"/>
          </w:cols>
          <w:pgMar w:left="320" w:top="459" w:right="9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LaVerne 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3077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78"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005CB9"/>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-93345</wp:posOffset>
            </wp:positionV>
            <wp:extent cx="960120" cy="11055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60120" cy="1105535"/>
                    </a:xfrm>
                    <a:prstGeom prst="rect">
                      <a:avLst/>
                    </a:prstGeom>
                    <a:noFill/>
                  </pic:spPr>
                </pic:pic>
              </a:graphicData>
            </a:graphic>
          </wp:anchor>
        </w:drawing>
      </w:r>
    </w:p>
    <w:p>
      <w:pPr>
        <w:spacing w:after="0" w:line="62"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005CB9"/>
        </w:rPr>
        <w:t>Member:</w:t>
      </w:r>
    </w:p>
    <w:p>
      <w:pPr>
        <w:spacing w:after="0" w:line="19" w:lineRule="exact"/>
        <w:rPr>
          <w:sz w:val="20"/>
          <w:szCs w:val="20"/>
          <w:color w:val="auto"/>
        </w:rPr>
      </w:pPr>
    </w:p>
    <w:p>
      <w:pPr>
        <w:ind w:left="2340" w:right="860" w:firstLine="1"/>
        <w:spacing w:after="0" w:line="348" w:lineRule="auto"/>
        <w:tabs>
          <w:tab w:leader="none" w:pos="2462" w:val="left"/>
        </w:tabs>
        <w:numPr>
          <w:ilvl w:val="0"/>
          <w:numId w:val="21"/>
        </w:numPr>
        <w:rPr>
          <w:rFonts w:ascii="Arial" w:cs="Arial" w:eastAsia="Arial" w:hAnsi="Arial"/>
          <w:sz w:val="14"/>
          <w:szCs w:val="14"/>
          <w:color w:val="005CB9"/>
        </w:rPr>
      </w:pPr>
      <w:r>
        <w:rPr>
          <w:rFonts w:ascii="Arial" w:cs="Arial" w:eastAsia="Arial" w:hAnsi="Arial"/>
          <w:sz w:val="14"/>
          <w:szCs w:val="14"/>
          <w:color w:val="auto"/>
        </w:rPr>
        <w:t xml:space="preserve">Corporate Governance Committee </w:t>
      </w:r>
      <w:r>
        <w:rPr>
          <w:rFonts w:ascii="Arial" w:cs="Arial" w:eastAsia="Arial" w:hAnsi="Arial"/>
          <w:sz w:val="14"/>
          <w:szCs w:val="14"/>
          <w:b w:val="1"/>
          <w:bCs w:val="1"/>
          <w:color w:val="005CB9"/>
        </w:rPr>
        <w:t xml:space="preserve">Age: </w:t>
      </w:r>
      <w:r>
        <w:rPr>
          <w:rFonts w:ascii="Arial" w:cs="Arial" w:eastAsia="Arial" w:hAnsi="Arial"/>
          <w:sz w:val="14"/>
          <w:szCs w:val="14"/>
          <w:color w:val="000000"/>
        </w:rPr>
        <w:t>58</w:t>
      </w:r>
    </w:p>
    <w:p>
      <w:pPr>
        <w:spacing w:after="0" w:line="1" w:lineRule="exact"/>
        <w:rPr>
          <w:rFonts w:ascii="Arial" w:cs="Arial" w:eastAsia="Arial" w:hAnsi="Arial"/>
          <w:sz w:val="14"/>
          <w:szCs w:val="14"/>
          <w:color w:val="005CB9"/>
        </w:rPr>
      </w:pPr>
    </w:p>
    <w:p>
      <w:pPr>
        <w:ind w:left="2340" w:right="1100"/>
        <w:spacing w:after="0" w:line="405" w:lineRule="auto"/>
        <w:rPr>
          <w:rFonts w:ascii="Arial" w:cs="Arial" w:eastAsia="Arial" w:hAnsi="Arial"/>
          <w:sz w:val="14"/>
          <w:szCs w:val="14"/>
          <w:color w:val="005CB9"/>
        </w:rPr>
      </w:pPr>
      <w:r>
        <w:rPr>
          <w:rFonts w:ascii="Arial" w:cs="Arial" w:eastAsia="Arial" w:hAnsi="Arial"/>
          <w:sz w:val="14"/>
          <w:szCs w:val="14"/>
          <w:b w:val="1"/>
          <w:bCs w:val="1"/>
          <w:color w:val="005CB9"/>
        </w:rPr>
        <w:t xml:space="preserve">Director since: </w:t>
      </w:r>
      <w:r>
        <w:rPr>
          <w:rFonts w:ascii="Arial" w:cs="Arial" w:eastAsia="Arial" w:hAnsi="Arial"/>
          <w:sz w:val="14"/>
          <w:szCs w:val="14"/>
          <w:color w:val="000000"/>
        </w:rPr>
        <w:t>March 2017</w:t>
      </w:r>
      <w:r>
        <w:rPr>
          <w:rFonts w:ascii="Arial" w:cs="Arial" w:eastAsia="Arial" w:hAnsi="Arial"/>
          <w:sz w:val="14"/>
          <w:szCs w:val="14"/>
          <w:b w:val="1"/>
          <w:bCs w:val="1"/>
          <w:color w:val="005CB9"/>
        </w:rPr>
        <w:t xml:space="preserve"> </w:t>
      </w:r>
      <w:r>
        <w:rPr>
          <w:rFonts w:ascii="Arial" w:cs="Arial" w:eastAsia="Arial" w:hAnsi="Arial"/>
          <w:sz w:val="14"/>
          <w:szCs w:val="14"/>
          <w:color w:val="000000"/>
        </w:rPr>
        <w:t>Beneficial owner of 6,423 shares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right="60"/>
        <w:spacing w:after="0" w:line="246" w:lineRule="auto"/>
        <w:rPr>
          <w:sz w:val="20"/>
          <w:szCs w:val="20"/>
          <w:color w:val="auto"/>
        </w:rPr>
      </w:pPr>
      <w:r>
        <w:rPr>
          <w:rFonts w:ascii="Arial" w:cs="Arial" w:eastAsia="Arial" w:hAnsi="Arial"/>
          <w:sz w:val="14"/>
          <w:szCs w:val="14"/>
          <w:b w:val="1"/>
          <w:bCs w:val="1"/>
          <w:color w:val="auto"/>
        </w:rPr>
        <w:t xml:space="preserve">Ms. Srinivasan is Vice President of the National Program and Program Director for Education at the Carnegie Corporation of New York, employing creative strategies and innovative thinking to strengthen urban education. </w:t>
      </w:r>
      <w:r>
        <w:rPr>
          <w:rFonts w:ascii="Arial" w:cs="Arial" w:eastAsia="Arial" w:hAnsi="Arial"/>
          <w:sz w:val="14"/>
          <w:szCs w:val="14"/>
          <w:color w:val="auto"/>
        </w:rPr>
        <w:t>Since 2014, she has overseen grant making and other</w:t>
      </w:r>
      <w:r>
        <w:rPr>
          <w:rFonts w:ascii="Arial" w:cs="Arial" w:eastAsia="Arial" w:hAnsi="Arial"/>
          <w:sz w:val="14"/>
          <w:szCs w:val="14"/>
          <w:b w:val="1"/>
          <w:bCs w:val="1"/>
          <w:color w:val="auto"/>
        </w:rPr>
        <w:t xml:space="preserve"> </w:t>
      </w:r>
      <w:r>
        <w:rPr>
          <w:rFonts w:ascii="Arial" w:cs="Arial" w:eastAsia="Arial" w:hAnsi="Arial"/>
          <w:sz w:val="14"/>
          <w:szCs w:val="14"/>
          <w:color w:val="auto"/>
        </w:rPr>
        <w:t>activities aimed at engaging parents and communities, improving teaching and leadership for learning, advancing innovative learning environment designs, providing K-12 pathways to college and career success, and fostering integrated approaches to innovation and learning in the field of education.</w:t>
      </w:r>
    </w:p>
    <w:p>
      <w:pPr>
        <w:spacing w:after="0" w:line="81" w:lineRule="exact"/>
        <w:rPr>
          <w:sz w:val="20"/>
          <w:szCs w:val="20"/>
          <w:color w:val="auto"/>
        </w:rPr>
      </w:pPr>
    </w:p>
    <w:p>
      <w:pPr>
        <w:ind w:left="660"/>
        <w:spacing w:after="0" w:line="246" w:lineRule="auto"/>
        <w:rPr>
          <w:sz w:val="20"/>
          <w:szCs w:val="20"/>
          <w:color w:val="auto"/>
        </w:rPr>
      </w:pPr>
      <w:r>
        <w:rPr>
          <w:rFonts w:ascii="Arial" w:cs="Arial" w:eastAsia="Arial" w:hAnsi="Arial"/>
          <w:sz w:val="14"/>
          <w:szCs w:val="14"/>
          <w:b w:val="1"/>
          <w:bCs w:val="1"/>
          <w:color w:val="auto"/>
        </w:rPr>
        <w:t xml:space="preserve">Prior professional roles: </w:t>
      </w:r>
      <w:r>
        <w:rPr>
          <w:rFonts w:ascii="Arial" w:cs="Arial" w:eastAsia="Arial" w:hAnsi="Arial"/>
          <w:sz w:val="14"/>
          <w:szCs w:val="14"/>
          <w:color w:val="auto"/>
        </w:rPr>
        <w:t>From 2012 through 2014, Ms. Srinivasan was the</w:t>
      </w:r>
      <w:r>
        <w:rPr>
          <w:rFonts w:ascii="Arial" w:cs="Arial" w:eastAsia="Arial" w:hAnsi="Arial"/>
          <w:sz w:val="14"/>
          <w:szCs w:val="14"/>
          <w:b w:val="1"/>
          <w:bCs w:val="1"/>
          <w:color w:val="auto"/>
        </w:rPr>
        <w:t xml:space="preserve"> </w:t>
      </w:r>
      <w:r>
        <w:rPr>
          <w:rFonts w:ascii="Arial" w:cs="Arial" w:eastAsia="Arial" w:hAnsi="Arial"/>
          <w:sz w:val="14"/>
          <w:szCs w:val="14"/>
          <w:color w:val="auto"/>
        </w:rPr>
        <w:t>Co-Founder of Fiero Now, an education technology company. Prior to Fiero Now, she worked at various educational technology, urban district change, and non-profit education reform companies, including Time to Know, Education Champions for All and New Leaders for New Schools. From 2003 through 2006, Ms. Srinivasan served as Deputy Chancellor for the New York City Department of Education. In addition, from 1993 through 2003, she served in various roles at BMG Entertainment, including as Senior Vice President and General Counsel.</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Additional Public Directorships (current):</w:t>
      </w:r>
    </w:p>
    <w:p>
      <w:pPr>
        <w:spacing w:after="0" w:line="141" w:lineRule="exact"/>
        <w:rPr>
          <w:sz w:val="20"/>
          <w:szCs w:val="20"/>
          <w:color w:val="auto"/>
        </w:rPr>
      </w:pPr>
    </w:p>
    <w:p>
      <w:pPr>
        <w:ind w:left="1120" w:hanging="170"/>
        <w:spacing w:after="0"/>
        <w:tabs>
          <w:tab w:leader="none" w:pos="1120" w:val="left"/>
        </w:tabs>
        <w:numPr>
          <w:ilvl w:val="0"/>
          <w:numId w:val="22"/>
        </w:numPr>
        <w:rPr>
          <w:rFonts w:ascii="Arial" w:cs="Arial" w:eastAsia="Arial" w:hAnsi="Arial"/>
          <w:sz w:val="14"/>
          <w:szCs w:val="14"/>
          <w:color w:val="005CB9"/>
        </w:rPr>
      </w:pPr>
      <w:r>
        <w:rPr>
          <w:rFonts w:ascii="Arial" w:cs="Arial" w:eastAsia="Arial" w:hAnsi="Arial"/>
          <w:sz w:val="14"/>
          <w:szCs w:val="14"/>
          <w:color w:val="auto"/>
        </w:rPr>
        <w:t>None</w:t>
      </w:r>
    </w:p>
    <w:p>
      <w:pPr>
        <w:spacing w:after="0" w:line="91" w:lineRule="exact"/>
        <w:rPr>
          <w:sz w:val="20"/>
          <w:szCs w:val="20"/>
          <w:color w:val="auto"/>
        </w:rPr>
      </w:pPr>
    </w:p>
    <w:p>
      <w:pPr>
        <w:ind w:left="660" w:right="80"/>
        <w:spacing w:after="0" w:line="250" w:lineRule="auto"/>
        <w:rPr>
          <w:sz w:val="20"/>
          <w:szCs w:val="20"/>
          <w:color w:val="auto"/>
        </w:rPr>
      </w:pPr>
      <w:r>
        <w:rPr>
          <w:rFonts w:ascii="Arial" w:cs="Arial" w:eastAsia="Arial" w:hAnsi="Arial"/>
          <w:sz w:val="14"/>
          <w:szCs w:val="14"/>
          <w:b w:val="1"/>
          <w:bCs w:val="1"/>
          <w:color w:val="auto"/>
        </w:rPr>
        <w:t xml:space="preserve">Other board experience: </w:t>
      </w:r>
      <w:r>
        <w:rPr>
          <w:rFonts w:ascii="Arial" w:cs="Arial" w:eastAsia="Arial" w:hAnsi="Arial"/>
          <w:sz w:val="14"/>
          <w:szCs w:val="14"/>
          <w:color w:val="auto"/>
        </w:rPr>
        <w:t>Ms. Srinivasan serves on the national advisory</w:t>
      </w:r>
      <w:r>
        <w:rPr>
          <w:rFonts w:ascii="Arial" w:cs="Arial" w:eastAsia="Arial" w:hAnsi="Arial"/>
          <w:sz w:val="14"/>
          <w:szCs w:val="14"/>
          <w:b w:val="1"/>
          <w:bCs w:val="1"/>
          <w:color w:val="auto"/>
        </w:rPr>
        <w:t xml:space="preserve"> </w:t>
      </w:r>
      <w:r>
        <w:rPr>
          <w:rFonts w:ascii="Arial" w:cs="Arial" w:eastAsia="Arial" w:hAnsi="Arial"/>
          <w:sz w:val="14"/>
          <w:szCs w:val="14"/>
          <w:color w:val="auto"/>
        </w:rPr>
        <w:t>board of College Promise Campaign, the advisory boards of Education Equity Lab, Jefferson Education Exchange, Reach Higher and Global Science of Learning for Education Network, and was a founding member of the Consortium for Policy Research in Education’s task force on Strategic Management of 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64135</wp:posOffset>
            </wp:positionV>
            <wp:extent cx="3077210" cy="4718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77210" cy="471805"/>
                    </a:xfrm>
                    <a:prstGeom prst="rect">
                      <a:avLst/>
                    </a:prstGeom>
                    <a:noFill/>
                  </pic:spPr>
                </pic:pic>
              </a:graphicData>
            </a:graphic>
          </wp:anchor>
        </w:drawing>
      </w:r>
    </w:p>
    <w:p>
      <w:pPr>
        <w:spacing w:after="0" w:line="108" w:lineRule="exact"/>
        <w:rPr>
          <w:sz w:val="20"/>
          <w:szCs w:val="20"/>
          <w:color w:val="auto"/>
        </w:rPr>
      </w:pPr>
    </w:p>
    <w:p>
      <w:pPr>
        <w:ind w:left="720" w:right="200"/>
        <w:spacing w:after="0" w:line="256" w:lineRule="auto"/>
        <w:rPr>
          <w:sz w:val="20"/>
          <w:szCs w:val="20"/>
          <w:color w:val="auto"/>
        </w:rPr>
      </w:pPr>
      <w:r>
        <w:rPr>
          <w:rFonts w:ascii="Arial" w:cs="Arial" w:eastAsia="Arial" w:hAnsi="Arial"/>
          <w:sz w:val="14"/>
          <w:szCs w:val="14"/>
          <w:b w:val="1"/>
          <w:bCs w:val="1"/>
          <w:color w:val="auto"/>
        </w:rPr>
        <w:t xml:space="preserve">Key experience and qualifications: </w:t>
      </w:r>
      <w:r>
        <w:rPr>
          <w:rFonts w:ascii="Arial" w:cs="Arial" w:eastAsia="Arial" w:hAnsi="Arial"/>
          <w:sz w:val="14"/>
          <w:szCs w:val="14"/>
          <w:color w:val="auto"/>
        </w:rPr>
        <w:t>Ms. Srinivasan brings to the Board</w:t>
      </w:r>
      <w:r>
        <w:rPr>
          <w:rFonts w:ascii="Arial" w:cs="Arial" w:eastAsia="Arial" w:hAnsi="Arial"/>
          <w:sz w:val="14"/>
          <w:szCs w:val="14"/>
          <w:b w:val="1"/>
          <w:bCs w:val="1"/>
          <w:color w:val="auto"/>
        </w:rPr>
        <w:t xml:space="preserve"> </w:t>
      </w:r>
      <w:r>
        <w:rPr>
          <w:rFonts w:ascii="Arial" w:cs="Arial" w:eastAsia="Arial" w:hAnsi="Arial"/>
          <w:sz w:val="14"/>
          <w:szCs w:val="14"/>
          <w:color w:val="auto"/>
        </w:rPr>
        <w:t>of Directors strong leadership skills, extensive experience leveraging technology in the education and entertainment industries, and deep marketing expertise from her previous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198120</wp:posOffset>
            </wp:positionV>
            <wp:extent cx="291465"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005CB9"/>
        </w:rPr>
        <w:t>Susan Tolson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30086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78"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005CB9"/>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-93345</wp:posOffset>
            </wp:positionV>
            <wp:extent cx="960120" cy="11055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60120" cy="1105535"/>
                    </a:xfrm>
                    <a:prstGeom prst="rect">
                      <a:avLst/>
                    </a:prstGeom>
                    <a:noFill/>
                  </pic:spPr>
                </pic:pic>
              </a:graphicData>
            </a:graphic>
          </wp:anchor>
        </w:drawing>
      </w:r>
    </w:p>
    <w:p>
      <w:pPr>
        <w:spacing w:after="0" w:line="6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005CB9"/>
        </w:rPr>
        <w:t xml:space="preserve">Chair: </w:t>
      </w:r>
      <w:r>
        <w:rPr>
          <w:rFonts w:ascii="Arial" w:cs="Arial" w:eastAsia="Arial" w:hAnsi="Arial"/>
          <w:sz w:val="14"/>
          <w:szCs w:val="14"/>
          <w:color w:val="000000"/>
        </w:rPr>
        <w:t>Audit Committee</w:t>
      </w:r>
    </w:p>
    <w:p>
      <w:pPr>
        <w:spacing w:after="0" w:line="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005CB9"/>
        </w:rPr>
        <w:t>Member:</w:t>
      </w:r>
    </w:p>
    <w:p>
      <w:pPr>
        <w:spacing w:after="0" w:line="19" w:lineRule="exact"/>
        <w:rPr>
          <w:sz w:val="20"/>
          <w:szCs w:val="20"/>
          <w:color w:val="auto"/>
        </w:rPr>
      </w:pPr>
    </w:p>
    <w:p>
      <w:pPr>
        <w:ind w:left="1680" w:right="1880" w:firstLine="4"/>
        <w:spacing w:after="0" w:line="348" w:lineRule="auto"/>
        <w:tabs>
          <w:tab w:leader="none" w:pos="1794" w:val="left"/>
        </w:tabs>
        <w:numPr>
          <w:ilvl w:val="0"/>
          <w:numId w:val="23"/>
        </w:numPr>
        <w:rPr>
          <w:rFonts w:ascii="Arial" w:cs="Arial" w:eastAsia="Arial" w:hAnsi="Arial"/>
          <w:sz w:val="14"/>
          <w:szCs w:val="14"/>
          <w:color w:val="005CB9"/>
        </w:rPr>
      </w:pPr>
      <w:r>
        <w:rPr>
          <w:rFonts w:ascii="Arial" w:cs="Arial" w:eastAsia="Arial" w:hAnsi="Arial"/>
          <w:sz w:val="14"/>
          <w:szCs w:val="14"/>
          <w:color w:val="auto"/>
        </w:rPr>
        <w:t xml:space="preserve">Audit Committee </w:t>
      </w:r>
      <w:r>
        <w:rPr>
          <w:rFonts w:ascii="Arial" w:cs="Arial" w:eastAsia="Arial" w:hAnsi="Arial"/>
          <w:sz w:val="14"/>
          <w:szCs w:val="14"/>
          <w:b w:val="1"/>
          <w:bCs w:val="1"/>
          <w:color w:val="005CB9"/>
        </w:rPr>
        <w:t xml:space="preserve">Age: </w:t>
      </w:r>
      <w:r>
        <w:rPr>
          <w:rFonts w:ascii="Arial" w:cs="Arial" w:eastAsia="Arial" w:hAnsi="Arial"/>
          <w:sz w:val="14"/>
          <w:szCs w:val="14"/>
          <w:color w:val="000000"/>
        </w:rPr>
        <w:t>58</w:t>
      </w:r>
    </w:p>
    <w:p>
      <w:pPr>
        <w:spacing w:after="0" w:line="1" w:lineRule="exact"/>
        <w:rPr>
          <w:rFonts w:ascii="Arial" w:cs="Arial" w:eastAsia="Arial" w:hAnsi="Arial"/>
          <w:sz w:val="14"/>
          <w:szCs w:val="14"/>
          <w:color w:val="005CB9"/>
        </w:rPr>
      </w:pPr>
    </w:p>
    <w:p>
      <w:pPr>
        <w:ind w:left="1680" w:right="880"/>
        <w:spacing w:after="0" w:line="405" w:lineRule="auto"/>
        <w:rPr>
          <w:rFonts w:ascii="Arial" w:cs="Arial" w:eastAsia="Arial" w:hAnsi="Arial"/>
          <w:sz w:val="14"/>
          <w:szCs w:val="14"/>
          <w:color w:val="005CB9"/>
        </w:rPr>
      </w:pPr>
      <w:r>
        <w:rPr>
          <w:rFonts w:ascii="Arial" w:cs="Arial" w:eastAsia="Arial" w:hAnsi="Arial"/>
          <w:sz w:val="14"/>
          <w:szCs w:val="14"/>
          <w:b w:val="1"/>
          <w:bCs w:val="1"/>
          <w:color w:val="005CB9"/>
        </w:rPr>
        <w:t xml:space="preserve">Director since: </w:t>
      </w:r>
      <w:r>
        <w:rPr>
          <w:rFonts w:ascii="Arial" w:cs="Arial" w:eastAsia="Arial" w:hAnsi="Arial"/>
          <w:sz w:val="14"/>
          <w:szCs w:val="14"/>
          <w:color w:val="000000"/>
        </w:rPr>
        <w:t>March 2014</w:t>
      </w:r>
      <w:r>
        <w:rPr>
          <w:rFonts w:ascii="Arial" w:cs="Arial" w:eastAsia="Arial" w:hAnsi="Arial"/>
          <w:sz w:val="14"/>
          <w:szCs w:val="14"/>
          <w:b w:val="1"/>
          <w:bCs w:val="1"/>
          <w:color w:val="005CB9"/>
        </w:rPr>
        <w:t xml:space="preserve"> </w:t>
      </w:r>
      <w:r>
        <w:rPr>
          <w:rFonts w:ascii="Arial" w:cs="Arial" w:eastAsia="Arial" w:hAnsi="Arial"/>
          <w:sz w:val="14"/>
          <w:szCs w:val="14"/>
          <w:color w:val="000000"/>
        </w:rPr>
        <w:t>Beneficial owner of 23,482 shares</w:t>
      </w:r>
    </w:p>
    <w:p>
      <w:pPr>
        <w:spacing w:after="0" w:line="200" w:lineRule="exact"/>
        <w:rPr>
          <w:sz w:val="20"/>
          <w:szCs w:val="20"/>
          <w:color w:val="auto"/>
        </w:rPr>
      </w:pPr>
    </w:p>
    <w:p>
      <w:pPr>
        <w:spacing w:after="0" w:line="229"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b w:val="1"/>
          <w:bCs w:val="1"/>
          <w:color w:val="auto"/>
        </w:rPr>
        <w:t>Ms. Tolson is a financial executive with more than 20 years of experience in the financial services industry. Ms. Tolson worked at Capital Research and Management Company and Capital Research Company</w:t>
      </w:r>
      <w:r>
        <w:rPr>
          <w:rFonts w:ascii="Arial" w:cs="Arial" w:eastAsia="Arial" w:hAnsi="Arial"/>
          <w:sz w:val="14"/>
          <w:szCs w:val="14"/>
          <w:color w:val="auto"/>
        </w:rPr>
        <w:t>, subsidiaries of The Capital Group Companies, Inc., from 1990</w:t>
      </w:r>
      <w:r>
        <w:rPr>
          <w:rFonts w:ascii="Arial" w:cs="Arial" w:eastAsia="Arial" w:hAnsi="Arial"/>
          <w:sz w:val="14"/>
          <w:szCs w:val="14"/>
          <w:b w:val="1"/>
          <w:bCs w:val="1"/>
          <w:color w:val="auto"/>
        </w:rPr>
        <w:t xml:space="preserve"> </w:t>
      </w:r>
      <w:r>
        <w:rPr>
          <w:rFonts w:ascii="Arial" w:cs="Arial" w:eastAsia="Arial" w:hAnsi="Arial"/>
          <w:sz w:val="14"/>
          <w:szCs w:val="14"/>
          <w:color w:val="auto"/>
        </w:rPr>
        <w:t>to 2010. She served in various capacities, including Senior Vice President and Portfolio Manager. Before joining Capital Research, Ms. Tolson was an Investment Officer at Aetna Investment Management Company, making private investments in media and entertainment companies.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Public Directorships (current):</w:t>
      </w:r>
    </w:p>
    <w:p>
      <w:pPr>
        <w:spacing w:after="0" w:line="141" w:lineRule="exact"/>
        <w:rPr>
          <w:sz w:val="20"/>
          <w:szCs w:val="20"/>
          <w:color w:val="auto"/>
        </w:rPr>
      </w:pPr>
    </w:p>
    <w:p>
      <w:pPr>
        <w:ind w:left="460" w:hanging="173"/>
        <w:spacing w:after="0"/>
        <w:tabs>
          <w:tab w:leader="none" w:pos="460" w:val="left"/>
        </w:tabs>
        <w:numPr>
          <w:ilvl w:val="0"/>
          <w:numId w:val="24"/>
        </w:numPr>
        <w:rPr>
          <w:rFonts w:ascii="Arial" w:cs="Arial" w:eastAsia="Arial" w:hAnsi="Arial"/>
          <w:sz w:val="14"/>
          <w:szCs w:val="14"/>
          <w:color w:val="005CB9"/>
        </w:rPr>
      </w:pPr>
      <w:r>
        <w:rPr>
          <w:rFonts w:ascii="Arial" w:cs="Arial" w:eastAsia="Arial" w:hAnsi="Arial"/>
          <w:sz w:val="14"/>
          <w:szCs w:val="14"/>
          <w:color w:val="auto"/>
        </w:rPr>
        <w:t>Groupe Lagardère</w:t>
      </w:r>
    </w:p>
    <w:p>
      <w:pPr>
        <w:spacing w:after="0" w:line="1" w:lineRule="exact"/>
        <w:rPr>
          <w:rFonts w:ascii="Arial" w:cs="Arial" w:eastAsia="Arial" w:hAnsi="Arial"/>
          <w:sz w:val="14"/>
          <w:szCs w:val="14"/>
          <w:color w:val="005CB9"/>
        </w:rPr>
      </w:pPr>
    </w:p>
    <w:p>
      <w:pPr>
        <w:ind w:left="460" w:hanging="173"/>
        <w:spacing w:after="0"/>
        <w:tabs>
          <w:tab w:leader="none" w:pos="460" w:val="left"/>
        </w:tabs>
        <w:numPr>
          <w:ilvl w:val="0"/>
          <w:numId w:val="24"/>
        </w:numPr>
        <w:rPr>
          <w:rFonts w:ascii="Arial" w:cs="Arial" w:eastAsia="Arial" w:hAnsi="Arial"/>
          <w:sz w:val="14"/>
          <w:szCs w:val="14"/>
          <w:color w:val="005CB9"/>
        </w:rPr>
      </w:pPr>
      <w:r>
        <w:rPr>
          <w:rFonts w:ascii="Arial" w:cs="Arial" w:eastAsia="Arial" w:hAnsi="Arial"/>
          <w:sz w:val="14"/>
          <w:szCs w:val="14"/>
          <w:color w:val="auto"/>
        </w:rPr>
        <w:t>Worldline E-Payments Services</w:t>
      </w:r>
    </w:p>
    <w:p>
      <w:pPr>
        <w:spacing w:after="0" w:line="1" w:lineRule="exact"/>
        <w:rPr>
          <w:rFonts w:ascii="Arial" w:cs="Arial" w:eastAsia="Arial" w:hAnsi="Arial"/>
          <w:sz w:val="14"/>
          <w:szCs w:val="14"/>
          <w:color w:val="005CB9"/>
        </w:rPr>
      </w:pPr>
    </w:p>
    <w:p>
      <w:pPr>
        <w:ind w:left="460" w:hanging="173"/>
        <w:spacing w:after="0"/>
        <w:tabs>
          <w:tab w:leader="none" w:pos="460" w:val="left"/>
        </w:tabs>
        <w:numPr>
          <w:ilvl w:val="0"/>
          <w:numId w:val="24"/>
        </w:numPr>
        <w:rPr>
          <w:rFonts w:ascii="Arial" w:cs="Arial" w:eastAsia="Arial" w:hAnsi="Arial"/>
          <w:sz w:val="14"/>
          <w:szCs w:val="14"/>
          <w:color w:val="005CB9"/>
        </w:rPr>
      </w:pPr>
      <w:r>
        <w:rPr>
          <w:rFonts w:ascii="Arial" w:cs="Arial" w:eastAsia="Arial" w:hAnsi="Arial"/>
          <w:sz w:val="14"/>
          <w:szCs w:val="14"/>
          <w:color w:val="auto"/>
        </w:rPr>
        <w:t>OUTFRONT Media Inc.</w:t>
      </w:r>
    </w:p>
    <w:p>
      <w:pPr>
        <w:spacing w:after="0" w:line="91"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b w:val="1"/>
          <w:bCs w:val="1"/>
          <w:color w:val="auto"/>
        </w:rPr>
        <w:t xml:space="preserve">Other board experience: </w:t>
      </w:r>
      <w:r>
        <w:rPr>
          <w:rFonts w:ascii="Arial" w:cs="Arial" w:eastAsia="Arial" w:hAnsi="Arial"/>
          <w:sz w:val="14"/>
          <w:szCs w:val="14"/>
          <w:color w:val="auto"/>
        </w:rPr>
        <w:t>Ms. Tolson was a member of the board and</w:t>
      </w:r>
      <w:r>
        <w:rPr>
          <w:rFonts w:ascii="Arial" w:cs="Arial" w:eastAsia="Arial" w:hAnsi="Arial"/>
          <w:sz w:val="14"/>
          <w:szCs w:val="14"/>
          <w:b w:val="1"/>
          <w:bCs w:val="1"/>
          <w:color w:val="auto"/>
        </w:rPr>
        <w:t xml:space="preserve"> </w:t>
      </w:r>
      <w:r>
        <w:rPr>
          <w:rFonts w:ascii="Arial" w:cs="Arial" w:eastAsia="Arial" w:hAnsi="Arial"/>
          <w:sz w:val="14"/>
          <w:szCs w:val="14"/>
          <w:color w:val="auto"/>
        </w:rPr>
        <w:t>audit committee of the American Cinematheque until 2018; a trustee and member of the business affairs committee of The American University of Paris until 2014; and a member of the board and audit committee of American Media until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3008630" cy="5746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08630" cy="574675"/>
                    </a:xfrm>
                    <a:prstGeom prst="rect">
                      <a:avLst/>
                    </a:prstGeom>
                    <a:noFill/>
                  </pic:spPr>
                </pic:pic>
              </a:graphicData>
            </a:graphic>
          </wp:anchor>
        </w:drawing>
      </w:r>
    </w:p>
    <w:p>
      <w:pPr>
        <w:spacing w:after="0" w:line="107" w:lineRule="exact"/>
        <w:rPr>
          <w:sz w:val="20"/>
          <w:szCs w:val="20"/>
          <w:color w:val="auto"/>
        </w:rPr>
      </w:pPr>
    </w:p>
    <w:p>
      <w:pPr>
        <w:ind w:left="60" w:right="180"/>
        <w:spacing w:after="0" w:line="252" w:lineRule="auto"/>
        <w:rPr>
          <w:sz w:val="20"/>
          <w:szCs w:val="20"/>
          <w:color w:val="auto"/>
        </w:rPr>
      </w:pPr>
      <w:r>
        <w:rPr>
          <w:rFonts w:ascii="Arial" w:cs="Arial" w:eastAsia="Arial" w:hAnsi="Arial"/>
          <w:sz w:val="14"/>
          <w:szCs w:val="14"/>
          <w:b w:val="1"/>
          <w:bCs w:val="1"/>
          <w:color w:val="auto"/>
        </w:rPr>
        <w:t xml:space="preserve">Key experience and qualifications: </w:t>
      </w:r>
      <w:r>
        <w:rPr>
          <w:rFonts w:ascii="Arial" w:cs="Arial" w:eastAsia="Arial" w:hAnsi="Arial"/>
          <w:sz w:val="14"/>
          <w:szCs w:val="14"/>
          <w:color w:val="auto"/>
        </w:rPr>
        <w:t>Ms. Tolson brings to the Board of</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Directors significant experience in entertainment and financial/investment matters from her previous positions, together with her existing current service as a director of both for profit and nonprofit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bl>
    <w:p>
      <w:pPr>
        <w:sectPr>
          <w:pgSz w:w="11900" w:h="16838" w:orient="portrait"/>
          <w:cols w:equalWidth="0" w:num="2">
            <w:col w:w="5520" w:space="320"/>
            <w:col w:w="4740"/>
          </w:cols>
          <w:pgMar w:left="320" w:top="459" w:right="9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7150" cy="145415"/>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LECTION OF</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IRECTORS</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ROPOSAL ONE</w:t>
      </w:r>
      <w:r>
        <w:rPr>
          <w:rFonts w:ascii="Arial" w:cs="Arial" w:eastAsia="Arial" w:hAnsi="Arial"/>
          <w:sz w:val="14"/>
          <w:szCs w:val="14"/>
          <w:b w:val="1"/>
          <w:bCs w:val="1"/>
          <w:color w:val="005CB9"/>
        </w:rPr>
        <w: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Paul Viera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33604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78"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005CB9"/>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960120" cy="11055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60120" cy="1105535"/>
                    </a:xfrm>
                    <a:prstGeom prst="rect">
                      <a:avLst/>
                    </a:prstGeom>
                    <a:noFill/>
                  </pic:spPr>
                </pic:pic>
              </a:graphicData>
            </a:graphic>
          </wp:anchor>
        </w:drawing>
      </w:r>
    </w:p>
    <w:p>
      <w:pPr>
        <w:spacing w:after="0" w:line="62"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005CB9"/>
        </w:rPr>
        <w:t>Member:</w:t>
      </w:r>
    </w:p>
    <w:p>
      <w:pPr>
        <w:spacing w:after="0" w:line="19" w:lineRule="exact"/>
        <w:rPr>
          <w:sz w:val="20"/>
          <w:szCs w:val="20"/>
          <w:color w:val="auto"/>
        </w:rPr>
      </w:pPr>
    </w:p>
    <w:p>
      <w:pPr>
        <w:ind w:left="1800" w:right="2420" w:firstLine="8"/>
        <w:spacing w:after="0" w:line="348" w:lineRule="auto"/>
        <w:tabs>
          <w:tab w:leader="none" w:pos="1914" w:val="left"/>
        </w:tabs>
        <w:numPr>
          <w:ilvl w:val="0"/>
          <w:numId w:val="25"/>
        </w:numPr>
        <w:rPr>
          <w:rFonts w:ascii="Arial" w:cs="Arial" w:eastAsia="Arial" w:hAnsi="Arial"/>
          <w:sz w:val="14"/>
          <w:szCs w:val="14"/>
          <w:color w:val="005CB9"/>
        </w:rPr>
      </w:pPr>
      <w:r>
        <w:rPr>
          <w:rFonts w:ascii="Arial" w:cs="Arial" w:eastAsia="Arial" w:hAnsi="Arial"/>
          <w:sz w:val="14"/>
          <w:szCs w:val="14"/>
          <w:color w:val="auto"/>
        </w:rPr>
        <w:t xml:space="preserve">Audit Committee </w:t>
      </w:r>
      <w:r>
        <w:rPr>
          <w:rFonts w:ascii="Arial" w:cs="Arial" w:eastAsia="Arial" w:hAnsi="Arial"/>
          <w:sz w:val="14"/>
          <w:szCs w:val="14"/>
          <w:b w:val="1"/>
          <w:bCs w:val="1"/>
          <w:color w:val="005CB9"/>
        </w:rPr>
        <w:t xml:space="preserve">Age: </w:t>
      </w:r>
      <w:r>
        <w:rPr>
          <w:rFonts w:ascii="Arial" w:cs="Arial" w:eastAsia="Arial" w:hAnsi="Arial"/>
          <w:sz w:val="14"/>
          <w:szCs w:val="14"/>
          <w:color w:val="000000"/>
        </w:rPr>
        <w:t>61</w:t>
      </w:r>
    </w:p>
    <w:p>
      <w:pPr>
        <w:spacing w:after="0" w:line="1" w:lineRule="exact"/>
        <w:rPr>
          <w:rFonts w:ascii="Arial" w:cs="Arial" w:eastAsia="Arial" w:hAnsi="Arial"/>
          <w:sz w:val="14"/>
          <w:szCs w:val="14"/>
          <w:color w:val="005CB9"/>
        </w:rPr>
      </w:pPr>
    </w:p>
    <w:p>
      <w:pPr>
        <w:ind w:left="1800" w:right="1420"/>
        <w:spacing w:after="0" w:line="405" w:lineRule="auto"/>
        <w:rPr>
          <w:rFonts w:ascii="Arial" w:cs="Arial" w:eastAsia="Arial" w:hAnsi="Arial"/>
          <w:sz w:val="14"/>
          <w:szCs w:val="14"/>
          <w:color w:val="005CB9"/>
        </w:rPr>
      </w:pPr>
      <w:r>
        <w:rPr>
          <w:rFonts w:ascii="Arial" w:cs="Arial" w:eastAsia="Arial" w:hAnsi="Arial"/>
          <w:sz w:val="14"/>
          <w:szCs w:val="14"/>
          <w:b w:val="1"/>
          <w:bCs w:val="1"/>
          <w:color w:val="005CB9"/>
        </w:rPr>
        <w:t xml:space="preserve">Director since: </w:t>
      </w:r>
      <w:r>
        <w:rPr>
          <w:rFonts w:ascii="Arial" w:cs="Arial" w:eastAsia="Arial" w:hAnsi="Arial"/>
          <w:sz w:val="14"/>
          <w:szCs w:val="14"/>
          <w:color w:val="000000"/>
        </w:rPr>
        <w:t>May 2018</w:t>
      </w:r>
      <w:r>
        <w:rPr>
          <w:rFonts w:ascii="Arial" w:cs="Arial" w:eastAsia="Arial" w:hAnsi="Arial"/>
          <w:sz w:val="14"/>
          <w:szCs w:val="14"/>
          <w:b w:val="1"/>
          <w:bCs w:val="1"/>
          <w:color w:val="005CB9"/>
        </w:rPr>
        <w:t xml:space="preserve"> </w:t>
      </w:r>
      <w:r>
        <w:rPr>
          <w:rFonts w:ascii="Arial" w:cs="Arial" w:eastAsia="Arial" w:hAnsi="Arial"/>
          <w:sz w:val="14"/>
          <w:szCs w:val="14"/>
          <w:color w:val="000000"/>
        </w:rPr>
        <w:t>Beneficial owner of 80,452 shares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right="140"/>
        <w:spacing w:after="0" w:line="250" w:lineRule="auto"/>
        <w:rPr>
          <w:sz w:val="20"/>
          <w:szCs w:val="20"/>
          <w:color w:val="auto"/>
        </w:rPr>
      </w:pPr>
      <w:r>
        <w:rPr>
          <w:rFonts w:ascii="Arial" w:cs="Arial" w:eastAsia="Arial" w:hAnsi="Arial"/>
          <w:sz w:val="14"/>
          <w:szCs w:val="14"/>
          <w:b w:val="1"/>
          <w:bCs w:val="1"/>
          <w:color w:val="auto"/>
        </w:rPr>
        <w:t xml:space="preserve">Mr. Viera is the Founder and Chief Executive Officer of Earnest Partners, a global investment firm responsible for overseeing over $20 billion for municipalities, states, corporations, endowments, and universities. </w:t>
      </w:r>
      <w:r>
        <w:rPr>
          <w:rFonts w:ascii="Arial" w:cs="Arial" w:eastAsia="Arial" w:hAnsi="Arial"/>
          <w:sz w:val="14"/>
          <w:szCs w:val="14"/>
          <w:color w:val="auto"/>
        </w:rPr>
        <w:t>Prior to</w:t>
      </w:r>
      <w:r>
        <w:rPr>
          <w:rFonts w:ascii="Arial" w:cs="Arial" w:eastAsia="Arial" w:hAnsi="Arial"/>
          <w:sz w:val="14"/>
          <w:szCs w:val="14"/>
          <w:b w:val="1"/>
          <w:bCs w:val="1"/>
          <w:color w:val="auto"/>
        </w:rPr>
        <w:t xml:space="preserve"> </w:t>
      </w:r>
      <w:r>
        <w:rPr>
          <w:rFonts w:ascii="Arial" w:cs="Arial" w:eastAsia="Arial" w:hAnsi="Arial"/>
          <w:sz w:val="14"/>
          <w:szCs w:val="14"/>
          <w:color w:val="auto"/>
        </w:rPr>
        <w:t>founding Earnest Partners in 1998, Mr. Viera was a Vice President at Bankers Trust in both New York and London and later joined Invesco, where he became a global partner and senior member of its investment team.</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Additional Public Directorships (current):</w:t>
      </w:r>
    </w:p>
    <w:p>
      <w:pPr>
        <w:spacing w:after="0" w:line="141" w:lineRule="exact"/>
        <w:rPr>
          <w:sz w:val="20"/>
          <w:szCs w:val="20"/>
          <w:color w:val="auto"/>
        </w:rPr>
      </w:pPr>
    </w:p>
    <w:p>
      <w:pPr>
        <w:ind w:left="580" w:hanging="181"/>
        <w:spacing w:after="0"/>
        <w:tabs>
          <w:tab w:leader="none" w:pos="580" w:val="left"/>
        </w:tabs>
        <w:numPr>
          <w:ilvl w:val="0"/>
          <w:numId w:val="26"/>
        </w:numPr>
        <w:rPr>
          <w:rFonts w:ascii="Arial" w:cs="Arial" w:eastAsia="Arial" w:hAnsi="Arial"/>
          <w:sz w:val="14"/>
          <w:szCs w:val="14"/>
          <w:color w:val="005CB9"/>
        </w:rPr>
      </w:pPr>
      <w:r>
        <w:rPr>
          <w:rFonts w:ascii="Arial" w:cs="Arial" w:eastAsia="Arial" w:hAnsi="Arial"/>
          <w:sz w:val="14"/>
          <w:szCs w:val="14"/>
          <w:color w:val="auto"/>
        </w:rPr>
        <w:t>None</w:t>
      </w:r>
    </w:p>
    <w:p>
      <w:pPr>
        <w:spacing w:after="0" w:line="91" w:lineRule="exact"/>
        <w:rPr>
          <w:sz w:val="20"/>
          <w:szCs w:val="20"/>
          <w:color w:val="auto"/>
        </w:rPr>
      </w:pPr>
    </w:p>
    <w:p>
      <w:pPr>
        <w:ind w:left="120"/>
        <w:spacing w:after="0" w:line="247" w:lineRule="auto"/>
        <w:rPr>
          <w:sz w:val="20"/>
          <w:szCs w:val="20"/>
          <w:color w:val="auto"/>
        </w:rPr>
      </w:pPr>
      <w:r>
        <w:rPr>
          <w:rFonts w:ascii="Arial" w:cs="Arial" w:eastAsia="Arial" w:hAnsi="Arial"/>
          <w:sz w:val="14"/>
          <w:szCs w:val="14"/>
          <w:b w:val="1"/>
          <w:bCs w:val="1"/>
          <w:color w:val="auto"/>
        </w:rPr>
        <w:t xml:space="preserve">Other board experience: </w:t>
      </w:r>
      <w:r>
        <w:rPr>
          <w:rFonts w:ascii="Arial" w:cs="Arial" w:eastAsia="Arial" w:hAnsi="Arial"/>
          <w:sz w:val="14"/>
          <w:szCs w:val="14"/>
          <w:color w:val="auto"/>
        </w:rPr>
        <w:t>Mr. Viera serves as a Trustee of the Woodruff Arts</w:t>
      </w:r>
      <w:r>
        <w:rPr>
          <w:rFonts w:ascii="Arial" w:cs="Arial" w:eastAsia="Arial" w:hAnsi="Arial"/>
          <w:sz w:val="14"/>
          <w:szCs w:val="14"/>
          <w:b w:val="1"/>
          <w:bCs w:val="1"/>
          <w:color w:val="auto"/>
        </w:rPr>
        <w:t xml:space="preserve"> </w:t>
      </w:r>
      <w:r>
        <w:rPr>
          <w:rFonts w:ascii="Arial" w:cs="Arial" w:eastAsia="Arial" w:hAnsi="Arial"/>
          <w:sz w:val="14"/>
          <w:szCs w:val="14"/>
          <w:color w:val="auto"/>
        </w:rPr>
        <w:t>Center in Atlanta, Georgia and as a member of its investment committee. He is also a member of the board of managers of Direct Scripts LLC, the Board of Dean’s Advisors for Harvard Business School, the Council on Foreign Relations, the Carter Center Board of Councilors, the National Center for Human &amp; Civil Rights, the University of Michigan School of Information External Advisory Board, the Cristo Rey Atlanta Jesuit High School Board and the Emory University Board of Visitors.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172085</wp:posOffset>
            </wp:positionV>
            <wp:extent cx="3360420" cy="266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0420" cy="266065"/>
                    </a:xfrm>
                    <a:prstGeom prst="rect">
                      <a:avLst/>
                    </a:prstGeom>
                    <a:noFill/>
                  </pic:spPr>
                </pic:pic>
              </a:graphicData>
            </a:graphic>
          </wp:anchor>
        </w:drawing>
      </w:r>
    </w:p>
    <w:p>
      <w:pPr>
        <w:spacing w:after="0" w:line="278" w:lineRule="exact"/>
        <w:rPr>
          <w:sz w:val="20"/>
          <w:szCs w:val="20"/>
          <w:color w:val="auto"/>
        </w:rPr>
      </w:pPr>
    </w:p>
    <w:p>
      <w:pPr>
        <w:ind w:left="180" w:right="200"/>
        <w:spacing w:after="0" w:line="285" w:lineRule="auto"/>
        <w:rPr>
          <w:sz w:val="20"/>
          <w:szCs w:val="20"/>
          <w:color w:val="auto"/>
        </w:rPr>
      </w:pPr>
      <w:r>
        <w:rPr>
          <w:rFonts w:ascii="Arial" w:cs="Arial" w:eastAsia="Arial" w:hAnsi="Arial"/>
          <w:sz w:val="14"/>
          <w:szCs w:val="14"/>
          <w:b w:val="1"/>
          <w:bCs w:val="1"/>
          <w:color w:val="auto"/>
        </w:rPr>
        <w:t xml:space="preserve">Key experience and qualifications: </w:t>
      </w:r>
      <w:r>
        <w:rPr>
          <w:rFonts w:ascii="Arial" w:cs="Arial" w:eastAsia="Arial" w:hAnsi="Arial"/>
          <w:sz w:val="14"/>
          <w:szCs w:val="14"/>
          <w:color w:val="auto"/>
        </w:rPr>
        <w:t>Mr. Viera brings to the Board of Directors</w:t>
      </w:r>
      <w:r>
        <w:rPr>
          <w:rFonts w:ascii="Arial" w:cs="Arial" w:eastAsia="Arial" w:hAnsi="Arial"/>
          <w:sz w:val="14"/>
          <w:szCs w:val="14"/>
          <w:b w:val="1"/>
          <w:bCs w:val="1"/>
          <w:color w:val="auto"/>
        </w:rPr>
        <w:t xml:space="preserve"> </w:t>
      </w:r>
      <w:r>
        <w:rPr>
          <w:rFonts w:ascii="Arial" w:cs="Arial" w:eastAsia="Arial" w:hAnsi="Arial"/>
          <w:sz w:val="14"/>
          <w:szCs w:val="14"/>
          <w:color w:val="auto"/>
        </w:rPr>
        <w:t>proven leadership skills, vast business experience and financial acumen.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0" w:hanging="504"/>
        <w:spacing w:after="0"/>
        <w:tabs>
          <w:tab w:leader="none" w:pos="620" w:val="left"/>
        </w:tabs>
        <w:numPr>
          <w:ilvl w:val="0"/>
          <w:numId w:val="27"/>
        </w:numPr>
        <w:rPr>
          <w:rFonts w:ascii="Arial" w:cs="Arial" w:eastAsia="Arial" w:hAnsi="Arial"/>
          <w:sz w:val="16"/>
          <w:szCs w:val="16"/>
          <w:b w:val="1"/>
          <w:bCs w:val="1"/>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005CB9"/>
        </w:rPr>
        <w:t>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-953770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22860</wp:posOffset>
            </wp:positionV>
            <wp:extent cx="34290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78"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005CB9"/>
        </w:rPr>
        <w:t>Chairman and CEO</w:t>
      </w:r>
    </w:p>
    <w:p>
      <w:pPr>
        <w:spacing w:after="0" w:line="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005CB9"/>
        </w:rPr>
        <w:t>Member:</w:t>
      </w:r>
    </w:p>
    <w:p>
      <w:pPr>
        <w:spacing w:after="0" w:line="19" w:lineRule="exact"/>
        <w:rPr>
          <w:sz w:val="20"/>
          <w:szCs w:val="20"/>
          <w:color w:val="auto"/>
        </w:rPr>
      </w:pPr>
    </w:p>
    <w:p>
      <w:pPr>
        <w:ind w:left="1680" w:right="2200" w:firstLine="7"/>
        <w:spacing w:after="0" w:line="348" w:lineRule="auto"/>
        <w:tabs>
          <w:tab w:leader="none" w:pos="1802" w:val="left"/>
        </w:tabs>
        <w:numPr>
          <w:ilvl w:val="0"/>
          <w:numId w:val="28"/>
        </w:numPr>
        <w:rPr>
          <w:rFonts w:ascii="Arial" w:cs="Arial" w:eastAsia="Arial" w:hAnsi="Arial"/>
          <w:sz w:val="14"/>
          <w:szCs w:val="14"/>
          <w:color w:val="005CB9"/>
        </w:rPr>
      </w:pPr>
      <w:r>
        <w:rPr>
          <w:rFonts w:ascii="Arial" w:cs="Arial" w:eastAsia="Arial" w:hAnsi="Arial"/>
          <w:sz w:val="14"/>
          <w:szCs w:val="14"/>
          <w:color w:val="auto"/>
        </w:rPr>
        <w:t xml:space="preserve">Executive Committee </w:t>
      </w:r>
      <w:r>
        <w:rPr>
          <w:rFonts w:ascii="Arial" w:cs="Arial" w:eastAsia="Arial" w:hAnsi="Arial"/>
          <w:sz w:val="14"/>
          <w:szCs w:val="14"/>
          <w:b w:val="1"/>
          <w:bCs w:val="1"/>
          <w:color w:val="005CB9"/>
        </w:rPr>
        <w:t xml:space="preserve">Age: </w:t>
      </w:r>
      <w:r>
        <w:rPr>
          <w:rFonts w:ascii="Arial" w:cs="Arial" w:eastAsia="Arial" w:hAnsi="Arial"/>
          <w:sz w:val="14"/>
          <w:szCs w:val="14"/>
          <w:color w:val="000000"/>
        </w:rPr>
        <w:t>63</w:t>
      </w:r>
    </w:p>
    <w:p>
      <w:pPr>
        <w:spacing w:after="0" w:line="1" w:lineRule="exact"/>
        <w:rPr>
          <w:rFonts w:ascii="Arial" w:cs="Arial" w:eastAsia="Arial" w:hAnsi="Arial"/>
          <w:sz w:val="14"/>
          <w:szCs w:val="14"/>
          <w:color w:val="005CB9"/>
        </w:rPr>
      </w:pPr>
    </w:p>
    <w:p>
      <w:pPr>
        <w:ind w:left="1680" w:right="1420"/>
        <w:spacing w:after="0" w:line="405" w:lineRule="auto"/>
        <w:rPr>
          <w:rFonts w:ascii="Arial" w:cs="Arial" w:eastAsia="Arial" w:hAnsi="Arial"/>
          <w:sz w:val="14"/>
          <w:szCs w:val="14"/>
          <w:color w:val="005CB9"/>
        </w:rPr>
      </w:pPr>
      <w:r>
        <w:rPr>
          <w:rFonts w:ascii="Arial" w:cs="Arial" w:eastAsia="Arial" w:hAnsi="Arial"/>
          <w:sz w:val="14"/>
          <w:szCs w:val="14"/>
          <w:b w:val="1"/>
          <w:bCs w:val="1"/>
          <w:color w:val="005CB9"/>
        </w:rPr>
        <w:t xml:space="preserve">Director since: </w:t>
      </w:r>
      <w:r>
        <w:rPr>
          <w:rFonts w:ascii="Arial" w:cs="Arial" w:eastAsia="Arial" w:hAnsi="Arial"/>
          <w:sz w:val="14"/>
          <w:szCs w:val="14"/>
          <w:color w:val="000000"/>
        </w:rPr>
        <w:t>March 2007</w:t>
      </w:r>
      <w:r>
        <w:rPr>
          <w:rFonts w:ascii="Arial" w:cs="Arial" w:eastAsia="Arial" w:hAnsi="Arial"/>
          <w:sz w:val="14"/>
          <w:szCs w:val="14"/>
          <w:b w:val="1"/>
          <w:bCs w:val="1"/>
          <w:color w:val="005CB9"/>
        </w:rPr>
        <w:t xml:space="preserve"> </w:t>
      </w:r>
      <w:r>
        <w:rPr>
          <w:rFonts w:ascii="Arial" w:cs="Arial" w:eastAsia="Arial" w:hAnsi="Arial"/>
          <w:sz w:val="14"/>
          <w:szCs w:val="14"/>
          <w:color w:val="000000"/>
        </w:rPr>
        <w:t>Beneficial owner of 795,987 shares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100"/>
        <w:spacing w:after="0" w:line="248" w:lineRule="auto"/>
        <w:rPr>
          <w:sz w:val="20"/>
          <w:szCs w:val="20"/>
          <w:color w:val="auto"/>
        </w:rPr>
      </w:pPr>
      <w:r>
        <w:rPr>
          <w:rFonts w:ascii="Arial" w:cs="Arial" w:eastAsia="Arial" w:hAnsi="Arial"/>
          <w:sz w:val="14"/>
          <w:szCs w:val="14"/>
          <w:b w:val="1"/>
          <w:bCs w:val="1"/>
          <w:color w:val="auto"/>
        </w:rPr>
        <w:t xml:space="preserve">Mr. Zelnick has been Chairman of the Company since March 2007, Executive Chairman of the Board of Directors since February 2008 and Chief Executive Officer of the Company since January 2011. </w:t>
      </w:r>
      <w:r>
        <w:rPr>
          <w:rFonts w:ascii="Arial" w:cs="Arial" w:eastAsia="Arial" w:hAnsi="Arial"/>
          <w:sz w:val="14"/>
          <w:szCs w:val="14"/>
          <w:color w:val="auto"/>
        </w:rPr>
        <w:t>Mr. Zelnick also is founder of and a</w:t>
      </w:r>
      <w:r>
        <w:rPr>
          <w:rFonts w:ascii="Arial" w:cs="Arial" w:eastAsia="Arial" w:hAnsi="Arial"/>
          <w:sz w:val="14"/>
          <w:szCs w:val="14"/>
          <w:b w:val="1"/>
          <w:bCs w:val="1"/>
          <w:color w:val="auto"/>
        </w:rPr>
        <w:t xml:space="preserve"> </w:t>
      </w:r>
      <w:r>
        <w:rPr>
          <w:rFonts w:ascii="Arial" w:cs="Arial" w:eastAsia="Arial" w:hAnsi="Arial"/>
          <w:sz w:val="14"/>
          <w:szCs w:val="14"/>
          <w:color w:val="auto"/>
        </w:rPr>
        <w:t>partner in Zelnick Media Capital, a leading media focused private equity firm.</w:t>
      </w:r>
    </w:p>
    <w:p>
      <w:pPr>
        <w:spacing w:after="0" w:line="1"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Mr. Zelnick serves as Executive Chairman of the Board of Directors and Chief Executive Officer of the Company pursuant to the terms of the 2017 Management Agreement between the Company and ZelnickMedia. See “Certain Relationships and Related Transactions—Management Agreement.”</w:t>
      </w:r>
    </w:p>
    <w:p>
      <w:pPr>
        <w:spacing w:after="0" w:line="75" w:lineRule="exact"/>
        <w:rPr>
          <w:sz w:val="20"/>
          <w:szCs w:val="20"/>
          <w:color w:val="auto"/>
        </w:rPr>
      </w:pPr>
    </w:p>
    <w:p>
      <w:pPr>
        <w:spacing w:after="0" w:line="244" w:lineRule="auto"/>
        <w:rPr>
          <w:sz w:val="20"/>
          <w:szCs w:val="20"/>
          <w:color w:val="auto"/>
        </w:rPr>
      </w:pPr>
      <w:r>
        <w:rPr>
          <w:rFonts w:ascii="Arial" w:cs="Arial" w:eastAsia="Arial" w:hAnsi="Arial"/>
          <w:sz w:val="14"/>
          <w:szCs w:val="14"/>
          <w:b w:val="1"/>
          <w:bCs w:val="1"/>
          <w:color w:val="auto"/>
        </w:rPr>
        <w:t xml:space="preserve">Prior executive roles: </w:t>
      </w:r>
      <w:r>
        <w:rPr>
          <w:rFonts w:ascii="Arial" w:cs="Arial" w:eastAsia="Arial" w:hAnsi="Arial"/>
          <w:sz w:val="14"/>
          <w:szCs w:val="14"/>
          <w:color w:val="auto"/>
        </w:rPr>
        <w:t>Mr. Zelnick served as Executive Chairman of Direct Holdings</w:t>
      </w:r>
      <w:r>
        <w:rPr>
          <w:rFonts w:ascii="Arial" w:cs="Arial" w:eastAsia="Arial" w:hAnsi="Arial"/>
          <w:sz w:val="14"/>
          <w:szCs w:val="14"/>
          <w:b w:val="1"/>
          <w:bCs w:val="1"/>
          <w:color w:val="auto"/>
        </w:rPr>
        <w:t xml:space="preserve"> </w:t>
      </w:r>
      <w:r>
        <w:rPr>
          <w:rFonts w:ascii="Arial" w:cs="Arial" w:eastAsia="Arial" w:hAnsi="Arial"/>
          <w:sz w:val="14"/>
          <w:szCs w:val="14"/>
          <w:color w:val="auto"/>
        </w:rPr>
        <w:t>Worldwide, Inc., the parent company of Time Life and Lillian Vernon, until the company was sold to Reader’s Digest on March 2, 2007. Prior to forming Zelnick Media Capital, Mr. Zelnick was President and Chief Executive Officer of BMG Entertainment, a $4.7 billion music and entertainment company with more than 200 record labels and operations in 54 countries. Mr. Zelnick’s appointment as President and Chief Executive Officer of BMG Entertainment followed his tenure as President and Chief Executive Officer of BMG’s North American business unit from 1994 through 1998. Before joining BMG Entertainment, Mr. Zelnick was President and Chief Executive Officer of Crystal Dynamics, a leading producer and distributor of interactive game software. Prior to that, he spent four years as President and Chief Operating Officer of 20th Century Fox, where he managed all aspects of its worldwide motion picture and distribution business. Previously, he spent three years at Vestron Inc. as a senior executive, and rose to become President and Chief Operating Officer. Mr. Zelnick also served as Vice President, International Sales, Television for Columbia Pictures.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Public Directorships (current):</w:t>
      </w:r>
    </w:p>
    <w:p>
      <w:pPr>
        <w:spacing w:after="0" w:line="141" w:lineRule="exact"/>
        <w:rPr>
          <w:sz w:val="20"/>
          <w:szCs w:val="20"/>
          <w:color w:val="auto"/>
        </w:rPr>
      </w:pPr>
    </w:p>
    <w:p>
      <w:pPr>
        <w:ind w:left="460" w:hanging="183"/>
        <w:spacing w:after="0"/>
        <w:tabs>
          <w:tab w:leader="none" w:pos="460" w:val="left"/>
        </w:tabs>
        <w:numPr>
          <w:ilvl w:val="0"/>
          <w:numId w:val="29"/>
        </w:numPr>
        <w:rPr>
          <w:rFonts w:ascii="Arial" w:cs="Arial" w:eastAsia="Arial" w:hAnsi="Arial"/>
          <w:sz w:val="14"/>
          <w:szCs w:val="14"/>
          <w:color w:val="005CB9"/>
        </w:rPr>
      </w:pPr>
      <w:r>
        <w:rPr>
          <w:rFonts w:ascii="Arial" w:cs="Arial" w:eastAsia="Arial" w:hAnsi="Arial"/>
          <w:sz w:val="14"/>
          <w:szCs w:val="14"/>
          <w:color w:val="auto"/>
        </w:rPr>
        <w:t>Starwood Property Trust, Inc.</w:t>
      </w:r>
    </w:p>
    <w:p>
      <w:pPr>
        <w:spacing w:after="0" w:line="91" w:lineRule="exact"/>
        <w:rPr>
          <w:sz w:val="20"/>
          <w:szCs w:val="20"/>
          <w:color w:val="auto"/>
        </w:rPr>
      </w:pPr>
    </w:p>
    <w:p>
      <w:pPr>
        <w:spacing w:after="0" w:line="245" w:lineRule="auto"/>
        <w:rPr>
          <w:sz w:val="20"/>
          <w:szCs w:val="20"/>
          <w:color w:val="auto"/>
        </w:rPr>
      </w:pPr>
      <w:r>
        <w:rPr>
          <w:rFonts w:ascii="Arial" w:cs="Arial" w:eastAsia="Arial" w:hAnsi="Arial"/>
          <w:sz w:val="14"/>
          <w:szCs w:val="14"/>
          <w:b w:val="1"/>
          <w:bCs w:val="1"/>
          <w:color w:val="auto"/>
        </w:rPr>
        <w:t xml:space="preserve">Other board experience: </w:t>
      </w:r>
      <w:r>
        <w:rPr>
          <w:rFonts w:ascii="Arial" w:cs="Arial" w:eastAsia="Arial" w:hAnsi="Arial"/>
          <w:sz w:val="14"/>
          <w:szCs w:val="14"/>
          <w:color w:val="auto"/>
        </w:rPr>
        <w:t>Mr. Zelnick serves as a member of the boards of directors</w:t>
      </w:r>
      <w:r>
        <w:rPr>
          <w:rFonts w:ascii="Arial" w:cs="Arial" w:eastAsia="Arial" w:hAnsi="Arial"/>
          <w:sz w:val="14"/>
          <w:szCs w:val="14"/>
          <w:b w:val="1"/>
          <w:bCs w:val="1"/>
          <w:color w:val="auto"/>
        </w:rPr>
        <w:t xml:space="preserve"> </w:t>
      </w:r>
      <w:r>
        <w:rPr>
          <w:rFonts w:ascii="Arial" w:cs="Arial" w:eastAsia="Arial" w:hAnsi="Arial"/>
          <w:sz w:val="14"/>
          <w:szCs w:val="14"/>
          <w:color w:val="auto"/>
        </w:rPr>
        <w:t>of Education Networks of America, a privately-held company; CommentSold, Inc., a privately-held company; and of the Entertainment Software Association, for which he served as Chairman from July 2014 to July 2017. From September 2018 to December 2019, Mr. Zelnick served on the board of ViacomCBS Inc. (formerly known as CBS Corporation), a public company, and as a member of its compensation committee and nominating and governance committee. He also served as the non-executive interim chairman of the CBS board from October 2018 until December 2019. Mr. Zelnick is also an associate member of the National Academy of Recording Arts and Sciences and served on the board of directors of the Recording Industry Association of America and the Motion Picture Association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3429000" cy="4718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00" cy="471805"/>
                    </a:xfrm>
                    <a:prstGeom prst="rect">
                      <a:avLst/>
                    </a:prstGeom>
                    <a:noFill/>
                  </pic:spPr>
                </pic:pic>
              </a:graphicData>
            </a:graphic>
          </wp:anchor>
        </w:drawing>
      </w:r>
    </w:p>
    <w:p>
      <w:pPr>
        <w:spacing w:after="0" w:line="278" w:lineRule="exact"/>
        <w:rPr>
          <w:sz w:val="20"/>
          <w:szCs w:val="20"/>
          <w:color w:val="auto"/>
        </w:rPr>
      </w:pPr>
    </w:p>
    <w:p>
      <w:pPr>
        <w:ind w:left="60" w:right="180"/>
        <w:spacing w:after="0" w:line="256" w:lineRule="auto"/>
        <w:rPr>
          <w:sz w:val="20"/>
          <w:szCs w:val="20"/>
          <w:color w:val="auto"/>
        </w:rPr>
      </w:pPr>
      <w:r>
        <w:rPr>
          <w:rFonts w:ascii="Arial" w:cs="Arial" w:eastAsia="Arial" w:hAnsi="Arial"/>
          <w:sz w:val="14"/>
          <w:szCs w:val="14"/>
          <w:b w:val="1"/>
          <w:bCs w:val="1"/>
          <w:color w:val="auto"/>
        </w:rPr>
        <w:t xml:space="preserve">Key experience and qualifications: </w:t>
      </w:r>
      <w:r>
        <w:rPr>
          <w:rFonts w:ascii="Arial" w:cs="Arial" w:eastAsia="Arial" w:hAnsi="Arial"/>
          <w:sz w:val="14"/>
          <w:szCs w:val="14"/>
          <w:color w:val="auto"/>
        </w:rPr>
        <w:t>Mr. Zelnick provides the Company’s Board</w:t>
      </w:r>
      <w:r>
        <w:rPr>
          <w:rFonts w:ascii="Arial" w:cs="Arial" w:eastAsia="Arial" w:hAnsi="Arial"/>
          <w:sz w:val="14"/>
          <w:szCs w:val="14"/>
          <w:b w:val="1"/>
          <w:bCs w:val="1"/>
          <w:color w:val="auto"/>
        </w:rPr>
        <w:t xml:space="preserve"> </w:t>
      </w:r>
      <w:r>
        <w:rPr>
          <w:rFonts w:ascii="Arial" w:cs="Arial" w:eastAsia="Arial" w:hAnsi="Arial"/>
          <w:sz w:val="14"/>
          <w:szCs w:val="14"/>
          <w:color w:val="auto"/>
        </w:rPr>
        <w:t>of Directors with valuable insight in organization and management obtained from his experiences, including acting as Executive Chairman and CEO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198120</wp:posOffset>
            </wp:positionV>
            <wp:extent cx="291465"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ectPr>
          <w:pgSz w:w="11900" w:h="16838" w:orient="portrait"/>
          <w:cols w:equalWidth="0" w:num="2">
            <w:col w:w="5400" w:space="340"/>
            <w:col w:w="536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LECTION OF</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IRECTORS</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ROPOSAL ONE</w:t>
      </w:r>
      <w:r>
        <w:rPr>
          <w:rFonts w:ascii="Arial" w:cs="Arial" w:eastAsia="Arial" w:hAnsi="Arial"/>
          <w:sz w:val="14"/>
          <w:szCs w:val="14"/>
          <w:b w:val="1"/>
          <w:bCs w:val="1"/>
          <w:color w:val="005CB9"/>
        </w:rPr>
        <w:t>)</w:t>
      </w:r>
    </w:p>
    <w:p>
      <w:pPr>
        <w:spacing w:after="0" w:line="200" w:lineRule="exact"/>
        <w:rPr>
          <w:sz w:val="20"/>
          <w:szCs w:val="20"/>
          <w:color w:val="auto"/>
        </w:rPr>
      </w:pPr>
    </w:p>
    <w:p>
      <w:pPr>
        <w:spacing w:after="0" w:line="248" w:lineRule="exact"/>
        <w:rPr>
          <w:sz w:val="20"/>
          <w:szCs w:val="20"/>
          <w:color w:val="auto"/>
        </w:rPr>
      </w:pPr>
    </w:p>
    <w:p>
      <w:pPr>
        <w:ind w:left="660" w:right="440"/>
        <w:spacing w:after="0" w:line="253" w:lineRule="auto"/>
        <w:rPr>
          <w:sz w:val="20"/>
          <w:szCs w:val="20"/>
          <w:color w:val="auto"/>
        </w:rPr>
      </w:pPr>
      <w:r>
        <w:rPr>
          <w:rFonts w:ascii="Arial" w:cs="Arial" w:eastAsia="Arial" w:hAnsi="Arial"/>
          <w:sz w:val="16"/>
          <w:szCs w:val="16"/>
          <w:color w:val="auto"/>
        </w:rPr>
        <w:t>Each director nominee for our Board of Directors is highly qualified and brings a diversity of skills and experiences to our boardroom. These skills are relevant to our business and enable the Board of Directors to provide strong oversight and effectively oversee management’s execution of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143510</wp:posOffset>
            </wp:positionV>
            <wp:extent cx="6292215" cy="265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5430"/>
                    </a:xfrm>
                    <a:prstGeom prst="rect">
                      <a:avLst/>
                    </a:prstGeom>
                    <a:noFill/>
                  </pic:spPr>
                </pic:pic>
              </a:graphicData>
            </a:graphic>
          </wp:anchor>
        </w:drawing>
      </w:r>
    </w:p>
    <w:p>
      <w:pPr>
        <w:spacing w:after="0" w:line="255"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FFFFFF"/>
        </w:rPr>
        <w:t>Director Backgrounds &amp;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194310</wp:posOffset>
            </wp:positionV>
            <wp:extent cx="3034665" cy="2228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34665" cy="2228850"/>
                    </a:xfrm>
                    <a:prstGeom prst="rect">
                      <a:avLst/>
                    </a:prstGeom>
                    <a:noFill/>
                  </pic:spPr>
                </pic:pic>
              </a:graphicData>
            </a:graphic>
          </wp:anchor>
        </w:drawing>
      </w:r>
    </w:p>
    <w:p>
      <w:pPr>
        <w:spacing w:after="0" w:line="286" w:lineRule="exact"/>
        <w:rPr>
          <w:sz w:val="20"/>
          <w:szCs w:val="20"/>
          <w:color w:val="auto"/>
        </w:rPr>
      </w:pPr>
    </w:p>
    <w:p>
      <w:pPr>
        <w:ind w:left="3040" w:firstLine="291"/>
        <w:spacing w:after="0" w:line="273" w:lineRule="auto"/>
        <w:rPr>
          <w:sz w:val="20"/>
          <w:szCs w:val="20"/>
          <w:color w:val="auto"/>
        </w:rPr>
      </w:pPr>
      <w:r>
        <w:rPr>
          <w:rFonts w:ascii="Arial" w:cs="Arial" w:eastAsia="Arial" w:hAnsi="Arial"/>
          <w:sz w:val="16"/>
          <w:szCs w:val="16"/>
          <w:b w:val="1"/>
          <w:bCs w:val="1"/>
          <w:color w:val="auto"/>
        </w:rPr>
        <w:t xml:space="preserve">Management of Creative Talent </w:t>
      </w:r>
      <w:r>
        <w:rPr>
          <w:sz w:val="1"/>
          <w:szCs w:val="1"/>
          <w:color w:val="auto"/>
        </w:rPr>
        <w:drawing>
          <wp:inline distT="0" distB="0" distL="0" distR="0">
            <wp:extent cx="3034665" cy="1714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34665" cy="171450"/>
                    </a:xfrm>
                    <a:prstGeom prst="rect">
                      <a:avLst/>
                    </a:prstGeom>
                    <a:noFill/>
                    <a:ln>
                      <a:noFill/>
                    </a:ln>
                  </pic:spPr>
                </pic:pic>
              </a:graphicData>
            </a:graphic>
          </wp:inline>
        </w:drawing>
      </w:r>
      <w:r>
        <w:rPr>
          <w:rFonts w:ascii="Arial" w:cs="Arial" w:eastAsia="Arial" w:hAnsi="Arial"/>
          <w:sz w:val="16"/>
          <w:szCs w:val="16"/>
          <w:b w:val="1"/>
          <w:bCs w:val="1"/>
          <w:color w:val="auto"/>
        </w:rPr>
        <w:t xml:space="preserve"> Financial &amp; Investment Experience</w:t>
      </w:r>
    </w:p>
    <w:p>
      <w:pPr>
        <w:spacing w:after="0" w:line="24" w:lineRule="exact"/>
        <w:rPr>
          <w:sz w:val="20"/>
          <w:szCs w:val="20"/>
          <w:color w:val="auto"/>
        </w:rPr>
      </w:pPr>
    </w:p>
    <w:p>
      <w:pPr>
        <w:jc w:val="right"/>
        <w:ind w:right="4880"/>
        <w:spacing w:after="0"/>
        <w:rPr>
          <w:sz w:val="20"/>
          <w:szCs w:val="20"/>
          <w:color w:val="auto"/>
        </w:rPr>
      </w:pPr>
      <w:r>
        <w:rPr>
          <w:rFonts w:ascii="Arial" w:cs="Arial" w:eastAsia="Arial" w:hAnsi="Arial"/>
          <w:sz w:val="16"/>
          <w:szCs w:val="16"/>
          <w:b w:val="1"/>
          <w:bCs w:val="1"/>
          <w:color w:val="auto"/>
        </w:rPr>
        <w:t>Governance</w:t>
      </w:r>
    </w:p>
    <w:p>
      <w:pPr>
        <w:spacing w:after="0" w:line="86" w:lineRule="exact"/>
        <w:rPr>
          <w:sz w:val="20"/>
          <w:szCs w:val="20"/>
          <w:color w:val="auto"/>
        </w:rPr>
      </w:pPr>
    </w:p>
    <w:p>
      <w:pPr>
        <w:jc w:val="right"/>
        <w:ind w:right="4880"/>
        <w:spacing w:after="0"/>
        <w:rPr>
          <w:sz w:val="20"/>
          <w:szCs w:val="20"/>
          <w:color w:val="auto"/>
        </w:rPr>
      </w:pPr>
      <w:r>
        <w:rPr>
          <w:rFonts w:ascii="Arial" w:cs="Arial" w:eastAsia="Arial" w:hAnsi="Arial"/>
          <w:sz w:val="16"/>
          <w:szCs w:val="16"/>
          <w:b w:val="1"/>
          <w:bCs w:val="1"/>
          <w:color w:val="auto"/>
        </w:rPr>
        <w:t>Marketing Insight</w:t>
      </w:r>
    </w:p>
    <w:p>
      <w:pPr>
        <w:spacing w:after="0" w:line="86" w:lineRule="exact"/>
        <w:rPr>
          <w:sz w:val="20"/>
          <w:szCs w:val="20"/>
          <w:color w:val="auto"/>
        </w:rPr>
      </w:pPr>
    </w:p>
    <w:p>
      <w:pPr>
        <w:jc w:val="right"/>
        <w:ind w:right="4880"/>
        <w:spacing w:after="0"/>
        <w:rPr>
          <w:sz w:val="20"/>
          <w:szCs w:val="20"/>
          <w:color w:val="auto"/>
        </w:rPr>
      </w:pPr>
      <w:r>
        <w:rPr>
          <w:rFonts w:ascii="Arial" w:cs="Arial" w:eastAsia="Arial" w:hAnsi="Arial"/>
          <w:sz w:val="16"/>
          <w:szCs w:val="16"/>
          <w:b w:val="1"/>
          <w:bCs w:val="1"/>
          <w:color w:val="auto"/>
        </w:rPr>
        <w:t>Strategic Advisory</w:t>
      </w:r>
    </w:p>
    <w:p>
      <w:pPr>
        <w:spacing w:after="0" w:line="86" w:lineRule="exact"/>
        <w:rPr>
          <w:sz w:val="20"/>
          <w:szCs w:val="20"/>
          <w:color w:val="auto"/>
        </w:rPr>
      </w:pPr>
    </w:p>
    <w:p>
      <w:pPr>
        <w:jc w:val="right"/>
        <w:ind w:right="4880"/>
        <w:spacing w:after="0"/>
        <w:rPr>
          <w:sz w:val="20"/>
          <w:szCs w:val="20"/>
          <w:color w:val="auto"/>
        </w:rPr>
      </w:pPr>
      <w:r>
        <w:rPr>
          <w:rFonts w:ascii="Arial" w:cs="Arial" w:eastAsia="Arial" w:hAnsi="Arial"/>
          <w:sz w:val="16"/>
          <w:szCs w:val="16"/>
          <w:b w:val="1"/>
          <w:bCs w:val="1"/>
          <w:color w:val="auto"/>
        </w:rPr>
        <w:t>Education Experience</w:t>
      </w:r>
    </w:p>
    <w:p>
      <w:pPr>
        <w:spacing w:after="0" w:line="86" w:lineRule="exact"/>
        <w:rPr>
          <w:sz w:val="20"/>
          <w:szCs w:val="20"/>
          <w:color w:val="auto"/>
        </w:rPr>
      </w:pPr>
    </w:p>
    <w:p>
      <w:pPr>
        <w:jc w:val="right"/>
        <w:ind w:right="4880"/>
        <w:spacing w:after="0"/>
        <w:rPr>
          <w:sz w:val="20"/>
          <w:szCs w:val="20"/>
          <w:color w:val="auto"/>
        </w:rPr>
      </w:pPr>
      <w:r>
        <w:rPr>
          <w:rFonts w:ascii="Arial" w:cs="Arial" w:eastAsia="Arial" w:hAnsi="Arial"/>
          <w:sz w:val="16"/>
          <w:szCs w:val="16"/>
          <w:b w:val="1"/>
          <w:bCs w:val="1"/>
          <w:color w:val="auto"/>
        </w:rPr>
        <w:t>Global Business Operations</w:t>
      </w:r>
    </w:p>
    <w:p>
      <w:pPr>
        <w:spacing w:after="0" w:line="86" w:lineRule="exact"/>
        <w:rPr>
          <w:sz w:val="20"/>
          <w:szCs w:val="20"/>
          <w:color w:val="auto"/>
        </w:rPr>
      </w:pPr>
    </w:p>
    <w:p>
      <w:pPr>
        <w:jc w:val="right"/>
        <w:ind w:right="4880"/>
        <w:spacing w:after="0"/>
        <w:rPr>
          <w:sz w:val="20"/>
          <w:szCs w:val="20"/>
          <w:color w:val="auto"/>
        </w:rPr>
      </w:pPr>
      <w:r>
        <w:rPr>
          <w:rFonts w:ascii="Arial" w:cs="Arial" w:eastAsia="Arial" w:hAnsi="Arial"/>
          <w:sz w:val="16"/>
          <w:szCs w:val="16"/>
          <w:b w:val="1"/>
          <w:bCs w:val="1"/>
          <w:color w:val="auto"/>
        </w:rPr>
        <w:t>Leadership</w:t>
      </w:r>
    </w:p>
    <w:p>
      <w:pPr>
        <w:spacing w:after="0" w:line="86" w:lineRule="exact"/>
        <w:rPr>
          <w:sz w:val="20"/>
          <w:szCs w:val="20"/>
          <w:color w:val="auto"/>
        </w:rPr>
      </w:pPr>
    </w:p>
    <w:p>
      <w:pPr>
        <w:jc w:val="right"/>
        <w:ind w:right="4880"/>
        <w:spacing w:after="0"/>
        <w:rPr>
          <w:sz w:val="20"/>
          <w:szCs w:val="20"/>
          <w:color w:val="auto"/>
        </w:rPr>
      </w:pPr>
      <w:r>
        <w:rPr>
          <w:rFonts w:ascii="Arial" w:cs="Arial" w:eastAsia="Arial" w:hAnsi="Arial"/>
          <w:sz w:val="16"/>
          <w:szCs w:val="16"/>
          <w:b w:val="1"/>
          <w:bCs w:val="1"/>
          <w:color w:val="auto"/>
        </w:rPr>
        <w:t>Consulting Experience</w:t>
      </w:r>
    </w:p>
    <w:p>
      <w:pPr>
        <w:spacing w:after="0" w:line="86" w:lineRule="exact"/>
        <w:rPr>
          <w:sz w:val="20"/>
          <w:szCs w:val="20"/>
          <w:color w:val="auto"/>
        </w:rPr>
      </w:pPr>
    </w:p>
    <w:p>
      <w:pPr>
        <w:jc w:val="right"/>
        <w:ind w:right="4880"/>
        <w:spacing w:after="0"/>
        <w:rPr>
          <w:sz w:val="20"/>
          <w:szCs w:val="20"/>
          <w:color w:val="auto"/>
        </w:rPr>
      </w:pPr>
      <w:r>
        <w:rPr>
          <w:rFonts w:ascii="Arial" w:cs="Arial" w:eastAsia="Arial" w:hAnsi="Arial"/>
          <w:sz w:val="16"/>
          <w:szCs w:val="16"/>
          <w:b w:val="1"/>
          <w:bCs w:val="1"/>
          <w:color w:val="auto"/>
        </w:rPr>
        <w:t>Entertainment &amp; Media Expertise</w:t>
      </w:r>
    </w:p>
    <w:p>
      <w:pPr>
        <w:spacing w:after="0" w:line="86" w:lineRule="exact"/>
        <w:rPr>
          <w:sz w:val="20"/>
          <w:szCs w:val="20"/>
          <w:color w:val="auto"/>
        </w:rPr>
      </w:pPr>
    </w:p>
    <w:p>
      <w:pPr>
        <w:jc w:val="right"/>
        <w:ind w:right="4880"/>
        <w:spacing w:after="0"/>
        <w:rPr>
          <w:sz w:val="20"/>
          <w:szCs w:val="20"/>
          <w:color w:val="auto"/>
        </w:rPr>
      </w:pPr>
      <w:r>
        <w:rPr>
          <w:rFonts w:ascii="Arial" w:cs="Arial" w:eastAsia="Arial" w:hAnsi="Arial"/>
          <w:sz w:val="16"/>
          <w:szCs w:val="16"/>
          <w:b w:val="1"/>
          <w:bCs w:val="1"/>
          <w:color w:val="auto"/>
        </w:rPr>
        <w:t>Governmental Experience</w:t>
      </w:r>
    </w:p>
    <w:p>
      <w:pPr>
        <w:spacing w:after="0" w:line="86" w:lineRule="exact"/>
        <w:rPr>
          <w:sz w:val="20"/>
          <w:szCs w:val="20"/>
          <w:color w:val="auto"/>
        </w:rPr>
      </w:pPr>
    </w:p>
    <w:p>
      <w:pPr>
        <w:jc w:val="right"/>
        <w:ind w:right="4880"/>
        <w:spacing w:after="0"/>
        <w:rPr>
          <w:sz w:val="20"/>
          <w:szCs w:val="20"/>
          <w:color w:val="auto"/>
        </w:rPr>
      </w:pPr>
      <w:r>
        <w:rPr>
          <w:rFonts w:ascii="Arial" w:cs="Arial" w:eastAsia="Arial" w:hAnsi="Arial"/>
          <w:sz w:val="16"/>
          <w:szCs w:val="16"/>
          <w:b w:val="1"/>
          <w:bCs w:val="1"/>
          <w:color w:val="auto"/>
        </w:rPr>
        <w:t>Technology</w:t>
      </w:r>
    </w:p>
    <w:p>
      <w:pPr>
        <w:spacing w:after="0" w:line="86" w:lineRule="exact"/>
        <w:rPr>
          <w:sz w:val="20"/>
          <w:szCs w:val="20"/>
          <w:color w:val="auto"/>
        </w:rPr>
      </w:pPr>
    </w:p>
    <w:p>
      <w:pPr>
        <w:jc w:val="right"/>
        <w:ind w:right="4880"/>
        <w:spacing w:after="0"/>
        <w:rPr>
          <w:sz w:val="20"/>
          <w:szCs w:val="20"/>
          <w:color w:val="auto"/>
        </w:rPr>
      </w:pPr>
      <w:r>
        <w:rPr>
          <w:rFonts w:ascii="Arial" w:cs="Arial" w:eastAsia="Arial" w:hAnsi="Arial"/>
          <w:sz w:val="16"/>
          <w:szCs w:val="16"/>
          <w:b w:val="1"/>
          <w:bCs w:val="1"/>
          <w:color w:val="auto"/>
        </w:rPr>
        <w:t>Corporate Sustainability</w:t>
      </w:r>
    </w:p>
    <w:p>
      <w:pPr>
        <w:spacing w:after="0" w:line="3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Corporate Governance and Board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19" w:lineRule="exact"/>
        <w:rPr>
          <w:sz w:val="20"/>
          <w:szCs w:val="20"/>
          <w:color w:val="auto"/>
        </w:rPr>
      </w:pPr>
    </w:p>
    <w:p>
      <w:pPr>
        <w:ind w:left="660" w:right="20"/>
        <w:spacing w:after="0" w:line="266" w:lineRule="auto"/>
        <w:rPr>
          <w:sz w:val="20"/>
          <w:szCs w:val="20"/>
          <w:color w:val="auto"/>
        </w:rPr>
      </w:pPr>
      <w:r>
        <w:rPr>
          <w:rFonts w:ascii="Arial" w:cs="Arial" w:eastAsia="Arial" w:hAnsi="Arial"/>
          <w:sz w:val="16"/>
          <w:szCs w:val="16"/>
          <w:b w:val="1"/>
          <w:bCs w:val="1"/>
          <w:i w:val="1"/>
          <w:iCs w:val="1"/>
          <w:color w:val="auto"/>
        </w:rPr>
        <w:t xml:space="preserve">Shareholder Engagement. </w:t>
      </w:r>
      <w:r>
        <w:rPr>
          <w:rFonts w:ascii="Arial" w:cs="Arial" w:eastAsia="Arial" w:hAnsi="Arial"/>
          <w:sz w:val="16"/>
          <w:szCs w:val="16"/>
          <w:color w:val="auto"/>
        </w:rPr>
        <w:t>The Board of Directors places a premium on, oversees and, together with management, regularly participates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an extensive, year-round shareholder engagement practice. For more information regarding the Company’s shareholder engagement, see “Compensation Discussion and Analysis-Shareholder Outreach.”</w:t>
      </w:r>
    </w:p>
    <w:p>
      <w:pPr>
        <w:spacing w:after="0" w:line="171" w:lineRule="exact"/>
        <w:rPr>
          <w:sz w:val="20"/>
          <w:szCs w:val="20"/>
          <w:color w:val="auto"/>
        </w:rPr>
      </w:pPr>
    </w:p>
    <w:p>
      <w:pPr>
        <w:ind w:left="660" w:right="20"/>
        <w:spacing w:after="0" w:line="266" w:lineRule="auto"/>
        <w:rPr>
          <w:sz w:val="20"/>
          <w:szCs w:val="20"/>
          <w:color w:val="auto"/>
        </w:rPr>
      </w:pPr>
      <w:r>
        <w:rPr>
          <w:rFonts w:ascii="Arial" w:cs="Arial" w:eastAsia="Arial" w:hAnsi="Arial"/>
          <w:sz w:val="16"/>
          <w:szCs w:val="16"/>
          <w:b w:val="1"/>
          <w:bCs w:val="1"/>
          <w:i w:val="1"/>
          <w:iCs w:val="1"/>
          <w:color w:val="auto"/>
        </w:rPr>
        <w:t>Independent Directors</w:t>
      </w:r>
      <w:r>
        <w:rPr>
          <w:rFonts w:ascii="Arial" w:cs="Arial" w:eastAsia="Arial" w:hAnsi="Arial"/>
          <w:sz w:val="16"/>
          <w:szCs w:val="16"/>
          <w:color w:val="auto"/>
        </w:rPr>
        <w:t>. The Board of Directors has determined that Messrs. Dornemann, Hernandez, Moses, Sheresky and Viera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Mses. Srinivasan and Tolson are “independent” directors as defined under the rules of The NASDAQ Stock Market. During fiscal 2020, the independent directors met in executive session (outside the presence of management) on eight (8) occasions.</w:t>
      </w:r>
    </w:p>
    <w:p>
      <w:pPr>
        <w:spacing w:after="0" w:line="171" w:lineRule="exact"/>
        <w:rPr>
          <w:sz w:val="20"/>
          <w:szCs w:val="20"/>
          <w:color w:val="auto"/>
        </w:rPr>
      </w:pPr>
    </w:p>
    <w:p>
      <w:pPr>
        <w:ind w:left="660" w:right="220"/>
        <w:spacing w:after="0" w:line="256" w:lineRule="auto"/>
        <w:rPr>
          <w:sz w:val="20"/>
          <w:szCs w:val="20"/>
          <w:color w:val="auto"/>
        </w:rPr>
      </w:pPr>
      <w:r>
        <w:rPr>
          <w:rFonts w:ascii="Arial" w:cs="Arial" w:eastAsia="Arial" w:hAnsi="Arial"/>
          <w:sz w:val="16"/>
          <w:szCs w:val="16"/>
          <w:b w:val="1"/>
          <w:bCs w:val="1"/>
          <w:i w:val="1"/>
          <w:iCs w:val="1"/>
          <w:color w:val="auto"/>
        </w:rPr>
        <w:t>Board Structure</w:t>
      </w:r>
      <w:r>
        <w:rPr>
          <w:rFonts w:ascii="Arial" w:cs="Arial" w:eastAsia="Arial" w:hAnsi="Arial"/>
          <w:sz w:val="16"/>
          <w:szCs w:val="16"/>
          <w:color w:val="auto"/>
        </w:rPr>
        <w:t>. The Board of Directors is led by Mr. Zelnick in his role as Executive Chairman. Mr. Zelnick is also the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The Board of Directors also has designated Mr. Dornemann as Lead Independent Director (as described below), a position that complements the Executive Chairman’s role, and serves as the principal liaison between the independent directors and the Executive Chairman and Company management. Mr. Dornemann was also designated by the Board of Directors as the Chair of the Executive Committee.</w:t>
      </w:r>
    </w:p>
    <w:p>
      <w:pPr>
        <w:spacing w:after="0" w:line="200" w:lineRule="exact"/>
        <w:rPr>
          <w:sz w:val="20"/>
          <w:szCs w:val="20"/>
          <w:color w:val="auto"/>
        </w:rPr>
      </w:pPr>
    </w:p>
    <w:p>
      <w:pPr>
        <w:ind w:left="660" w:right="60"/>
        <w:spacing w:after="0" w:line="248" w:lineRule="auto"/>
        <w:rPr>
          <w:sz w:val="20"/>
          <w:szCs w:val="20"/>
          <w:color w:val="auto"/>
        </w:rPr>
      </w:pPr>
      <w:r>
        <w:rPr>
          <w:rFonts w:ascii="Arial" w:cs="Arial" w:eastAsia="Arial" w:hAnsi="Arial"/>
          <w:sz w:val="16"/>
          <w:szCs w:val="16"/>
          <w:color w:val="auto"/>
        </w:rPr>
        <w:t>The Board of Directors reviews its leadership structure annually. The Board of Directors has determined that in light of the Company’s clear strategy and the strength of its overall governance practices, at this time a combined Chairman/CEO role more effectively unifies the Board of Directors and management around the specific initiatives necessary to support the Company’s strategy. The Board of Directors continues to evaluate Mr. Zelnick annually in each of his roles and has retained the discretion to separate the Chairman/CEO roles at any time if the Board of Directors believes it would better serve the interests of the Company and its shareholders. The Board of Directors has also concluded that its Lead Independent Director position effectively balances any potential risk of concentration of authority that may exist with a combined Chairman/CEO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276860</wp:posOffset>
            </wp:positionV>
            <wp:extent cx="291465"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bl>
    <w:p>
      <w:pPr>
        <w:sectPr>
          <w:pgSz w:w="11900" w:h="16838" w:orient="portrait"/>
          <w:cols w:equalWidth="0" w:num="1">
            <w:col w:w="10580"/>
          </w:cols>
          <w:pgMar w:left="320" w:top="459" w:right="9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LECTION OF</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IRECTORS</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ROPOSAL ONE</w:t>
      </w:r>
      <w:r>
        <w:rPr>
          <w:rFonts w:ascii="Arial" w:cs="Arial" w:eastAsia="Arial" w:hAnsi="Arial"/>
          <w:sz w:val="14"/>
          <w:szCs w:val="14"/>
          <w:b w:val="1"/>
          <w:bCs w:val="1"/>
          <w:color w:val="005CB9"/>
        </w:rPr>
        <w:t>)</w:t>
      </w:r>
    </w:p>
    <w:p>
      <w:pPr>
        <w:spacing w:after="0" w:line="200" w:lineRule="exact"/>
        <w:rPr>
          <w:sz w:val="20"/>
          <w:szCs w:val="20"/>
          <w:color w:val="auto"/>
        </w:rPr>
      </w:pPr>
    </w:p>
    <w:p>
      <w:pPr>
        <w:spacing w:after="0" w:line="228" w:lineRule="exact"/>
        <w:rPr>
          <w:sz w:val="20"/>
          <w:szCs w:val="20"/>
          <w:color w:val="auto"/>
        </w:rPr>
      </w:pPr>
    </w:p>
    <w:p>
      <w:pPr>
        <w:ind w:left="660" w:right="400"/>
        <w:spacing w:after="0" w:line="286" w:lineRule="auto"/>
        <w:rPr>
          <w:sz w:val="20"/>
          <w:szCs w:val="20"/>
          <w:color w:val="auto"/>
        </w:rPr>
      </w:pPr>
      <w:r>
        <w:rPr>
          <w:rFonts w:ascii="Arial" w:cs="Arial" w:eastAsia="Arial" w:hAnsi="Arial"/>
          <w:sz w:val="16"/>
          <w:szCs w:val="16"/>
          <w:b w:val="1"/>
          <w:bCs w:val="1"/>
          <w:i w:val="1"/>
          <w:iCs w:val="1"/>
          <w:color w:val="auto"/>
        </w:rPr>
        <w:t xml:space="preserve">Lead Independent Director. </w:t>
      </w:r>
      <w:r>
        <w:rPr>
          <w:rFonts w:ascii="Arial" w:cs="Arial" w:eastAsia="Arial" w:hAnsi="Arial"/>
          <w:sz w:val="16"/>
          <w:szCs w:val="16"/>
          <w:color w:val="auto"/>
        </w:rPr>
        <w:t>As Lead Independent Director, Mr. Dornemann serves as the principal liaison between the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and the Executive Chairman.</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Lead Independent Director is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79375</wp:posOffset>
            </wp:positionV>
            <wp:extent cx="6292215" cy="1817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817370"/>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343" w:lineRule="exact"/>
        <w:rPr>
          <w:sz w:val="20"/>
          <w:szCs w:val="20"/>
          <w:color w:val="auto"/>
        </w:rPr>
      </w:pPr>
    </w:p>
    <w:p>
      <w:pPr>
        <w:ind w:left="1040" w:right="240" w:hanging="292"/>
        <w:spacing w:after="0" w:line="260" w:lineRule="auto"/>
        <w:tabs>
          <w:tab w:leader="none" w:pos="1040" w:val="left"/>
        </w:tabs>
        <w:numPr>
          <w:ilvl w:val="0"/>
          <w:numId w:val="30"/>
        </w:numPr>
        <w:rPr>
          <w:rFonts w:ascii="Arial" w:cs="Arial" w:eastAsia="Arial" w:hAnsi="Arial"/>
          <w:sz w:val="16"/>
          <w:szCs w:val="16"/>
          <w:color w:val="005CB9"/>
        </w:rPr>
      </w:pPr>
      <w:r>
        <w:rPr>
          <w:rFonts w:ascii="Arial" w:cs="Arial" w:eastAsia="Arial" w:hAnsi="Arial"/>
          <w:sz w:val="16"/>
          <w:szCs w:val="16"/>
          <w:color w:val="auto"/>
        </w:rPr>
        <w:t>presiding at all Board of Directors meetings at which the Chairman of the Board is not present;</w:t>
      </w:r>
    </w:p>
    <w:p>
      <w:pPr>
        <w:spacing w:after="0" w:line="60" w:lineRule="exact"/>
        <w:rPr>
          <w:rFonts w:ascii="Arial" w:cs="Arial" w:eastAsia="Arial" w:hAnsi="Arial"/>
          <w:sz w:val="16"/>
          <w:szCs w:val="16"/>
          <w:color w:val="005CB9"/>
        </w:rPr>
      </w:pPr>
    </w:p>
    <w:p>
      <w:pPr>
        <w:ind w:left="1040" w:hanging="292"/>
        <w:spacing w:after="0" w:line="260" w:lineRule="auto"/>
        <w:tabs>
          <w:tab w:leader="none" w:pos="1040" w:val="left"/>
        </w:tabs>
        <w:numPr>
          <w:ilvl w:val="0"/>
          <w:numId w:val="30"/>
        </w:numPr>
        <w:rPr>
          <w:rFonts w:ascii="Arial" w:cs="Arial" w:eastAsia="Arial" w:hAnsi="Arial"/>
          <w:sz w:val="16"/>
          <w:szCs w:val="16"/>
          <w:color w:val="005CB9"/>
        </w:rPr>
      </w:pPr>
      <w:r>
        <w:rPr>
          <w:rFonts w:ascii="Arial" w:cs="Arial" w:eastAsia="Arial" w:hAnsi="Arial"/>
          <w:sz w:val="16"/>
          <w:szCs w:val="16"/>
          <w:color w:val="auto"/>
        </w:rPr>
        <w:t>convening regular and special meetings of the independent directors;</w:t>
      </w:r>
    </w:p>
    <w:p>
      <w:pPr>
        <w:spacing w:after="0" w:line="60" w:lineRule="exact"/>
        <w:rPr>
          <w:rFonts w:ascii="Arial" w:cs="Arial" w:eastAsia="Arial" w:hAnsi="Arial"/>
          <w:sz w:val="16"/>
          <w:szCs w:val="16"/>
          <w:color w:val="005CB9"/>
        </w:rPr>
      </w:pPr>
    </w:p>
    <w:p>
      <w:pPr>
        <w:ind w:left="1040" w:right="100" w:hanging="292"/>
        <w:spacing w:after="0" w:line="250" w:lineRule="auto"/>
        <w:tabs>
          <w:tab w:leader="none" w:pos="1040" w:val="left"/>
        </w:tabs>
        <w:numPr>
          <w:ilvl w:val="0"/>
          <w:numId w:val="30"/>
        </w:numPr>
        <w:rPr>
          <w:rFonts w:ascii="Arial" w:cs="Arial" w:eastAsia="Arial" w:hAnsi="Arial"/>
          <w:sz w:val="16"/>
          <w:szCs w:val="16"/>
          <w:color w:val="005CB9"/>
        </w:rPr>
      </w:pPr>
      <w:r>
        <w:rPr>
          <w:rFonts w:ascii="Arial" w:cs="Arial" w:eastAsia="Arial" w:hAnsi="Arial"/>
          <w:sz w:val="16"/>
          <w:szCs w:val="16"/>
          <w:color w:val="auto"/>
        </w:rPr>
        <w:t>developing the agenda for executive sessions of the independent directors and working with the Chairman to develop and approve the agenda for meetings of the full Board of Directors, including scheduling to ensure there is sufficient time for discussion;</w:t>
      </w:r>
    </w:p>
    <w:p>
      <w:pPr>
        <w:spacing w:after="0" w:line="67" w:lineRule="exact"/>
        <w:rPr>
          <w:rFonts w:ascii="Arial" w:cs="Arial" w:eastAsia="Arial" w:hAnsi="Arial"/>
          <w:sz w:val="16"/>
          <w:szCs w:val="16"/>
          <w:color w:val="005CB9"/>
        </w:rPr>
      </w:pPr>
    </w:p>
    <w:p>
      <w:pPr>
        <w:ind w:left="1040" w:right="300" w:hanging="292"/>
        <w:spacing w:after="0" w:line="260" w:lineRule="auto"/>
        <w:tabs>
          <w:tab w:leader="none" w:pos="1040" w:val="left"/>
        </w:tabs>
        <w:numPr>
          <w:ilvl w:val="0"/>
          <w:numId w:val="30"/>
        </w:numPr>
        <w:rPr>
          <w:rFonts w:ascii="Arial" w:cs="Arial" w:eastAsia="Arial" w:hAnsi="Arial"/>
          <w:sz w:val="16"/>
          <w:szCs w:val="16"/>
          <w:color w:val="005CB9"/>
        </w:rPr>
      </w:pPr>
      <w:r>
        <w:rPr>
          <w:rFonts w:ascii="Arial" w:cs="Arial" w:eastAsia="Arial" w:hAnsi="Arial"/>
          <w:sz w:val="16"/>
          <w:szCs w:val="16"/>
          <w:color w:val="auto"/>
        </w:rPr>
        <w:t>coordinating feedback to the Chairman on behalf of the independent directors;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276" w:right="600" w:hanging="276"/>
        <w:spacing w:after="0" w:line="253" w:lineRule="auto"/>
        <w:tabs>
          <w:tab w:leader="none" w:pos="276" w:val="left"/>
        </w:tabs>
        <w:numPr>
          <w:ilvl w:val="0"/>
          <w:numId w:val="31"/>
        </w:numPr>
        <w:rPr>
          <w:rFonts w:ascii="Arial" w:cs="Arial" w:eastAsia="Arial" w:hAnsi="Arial"/>
          <w:sz w:val="16"/>
          <w:szCs w:val="16"/>
          <w:color w:val="005CB9"/>
        </w:rPr>
      </w:pPr>
      <w:r>
        <w:rPr>
          <w:rFonts w:ascii="Arial" w:cs="Arial" w:eastAsia="Arial" w:hAnsi="Arial"/>
          <w:sz w:val="16"/>
          <w:szCs w:val="16"/>
          <w:color w:val="auto"/>
        </w:rPr>
        <w:t>coordinating with the Company’s Chief Legal Officer to respond to shareholders who have addressed a communication to the independent directors;</w:t>
      </w:r>
    </w:p>
    <w:p>
      <w:pPr>
        <w:spacing w:after="0" w:line="66" w:lineRule="exact"/>
        <w:rPr>
          <w:rFonts w:ascii="Arial" w:cs="Arial" w:eastAsia="Arial" w:hAnsi="Arial"/>
          <w:sz w:val="16"/>
          <w:szCs w:val="16"/>
          <w:color w:val="005CB9"/>
        </w:rPr>
      </w:pPr>
    </w:p>
    <w:p>
      <w:pPr>
        <w:ind w:left="276" w:right="120" w:hanging="276"/>
        <w:spacing w:after="0" w:line="253" w:lineRule="auto"/>
        <w:tabs>
          <w:tab w:leader="none" w:pos="276" w:val="left"/>
        </w:tabs>
        <w:numPr>
          <w:ilvl w:val="0"/>
          <w:numId w:val="31"/>
        </w:numPr>
        <w:rPr>
          <w:rFonts w:ascii="Arial" w:cs="Arial" w:eastAsia="Arial" w:hAnsi="Arial"/>
          <w:sz w:val="16"/>
          <w:szCs w:val="16"/>
          <w:color w:val="005CB9"/>
        </w:rPr>
      </w:pPr>
      <w:r>
        <w:rPr>
          <w:rFonts w:ascii="Arial" w:cs="Arial" w:eastAsia="Arial" w:hAnsi="Arial"/>
          <w:sz w:val="16"/>
          <w:szCs w:val="16"/>
          <w:color w:val="auto"/>
        </w:rPr>
        <w:t>making himself available for shareholder communication, as appropriate (other independent directors may also participate in such communication at times); and</w:t>
      </w:r>
    </w:p>
    <w:p>
      <w:pPr>
        <w:spacing w:after="0" w:line="66" w:lineRule="exact"/>
        <w:rPr>
          <w:rFonts w:ascii="Arial" w:cs="Arial" w:eastAsia="Arial" w:hAnsi="Arial"/>
          <w:sz w:val="16"/>
          <w:szCs w:val="16"/>
          <w:color w:val="005CB9"/>
        </w:rPr>
      </w:pPr>
    </w:p>
    <w:p>
      <w:pPr>
        <w:ind w:left="276" w:right="60" w:hanging="276"/>
        <w:spacing w:after="0" w:line="260" w:lineRule="auto"/>
        <w:tabs>
          <w:tab w:leader="none" w:pos="276" w:val="left"/>
        </w:tabs>
        <w:numPr>
          <w:ilvl w:val="0"/>
          <w:numId w:val="31"/>
        </w:numPr>
        <w:rPr>
          <w:rFonts w:ascii="Arial" w:cs="Arial" w:eastAsia="Arial" w:hAnsi="Arial"/>
          <w:sz w:val="16"/>
          <w:szCs w:val="16"/>
          <w:color w:val="005CB9"/>
        </w:rPr>
      </w:pPr>
      <w:r>
        <w:rPr>
          <w:rFonts w:ascii="Arial" w:cs="Arial" w:eastAsia="Arial" w:hAnsi="Arial"/>
          <w:sz w:val="16"/>
          <w:szCs w:val="16"/>
          <w:color w:val="auto"/>
        </w:rPr>
        <w:t>handling any matters concerning an actual or potential conflict of interest involving any other director.</w:t>
      </w:r>
    </w:p>
    <w:p>
      <w:pPr>
        <w:spacing w:after="0" w:line="847" w:lineRule="exact"/>
        <w:rPr>
          <w:sz w:val="20"/>
          <w:szCs w:val="20"/>
          <w:color w:val="auto"/>
        </w:rPr>
      </w:pPr>
    </w:p>
    <w:p>
      <w:pPr>
        <w:sectPr>
          <w:pgSz w:w="11900" w:h="16838" w:orient="portrait"/>
          <w:cols w:equalWidth="0" w:num="2">
            <w:col w:w="5280" w:space="524"/>
            <w:col w:w="4776"/>
          </w:cols>
          <w:pgMar w:left="320" w:top="459" w:right="999" w:bottom="1440" w:gutter="0" w:footer="0" w:header="0"/>
          <w:type w:val="continuous"/>
        </w:sectPr>
      </w:pPr>
    </w:p>
    <w:p>
      <w:pPr>
        <w:spacing w:after="0" w:line="319"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Lead Independent Director regularly engages separately with one or more of the Chief Executive Officer, the President, the Chief Financial Officer and the Chief Legal Officer to discuss the business strategy of the Company in greater detail and provide additional guidance to such members of management. These meetings enable the Lead Independent Director to gain a deeper understanding of any matters being handled by management which should be brought to the attention of the entire Board of Directors or a committee thereof, as well as an opportunity to obtain additional information on any matters which the Lead Independent Director believes may otherwise be of interest to the other directors and to provide advice to the other directors regarding such matters. The Lead Independent Director is a member of each committee of the Board of Directors.</w:t>
      </w:r>
    </w:p>
    <w:p>
      <w:pPr>
        <w:spacing w:after="0" w:line="188" w:lineRule="exact"/>
        <w:rPr>
          <w:sz w:val="20"/>
          <w:szCs w:val="20"/>
          <w:color w:val="auto"/>
        </w:rPr>
      </w:pPr>
    </w:p>
    <w:p>
      <w:pPr>
        <w:ind w:left="660" w:right="140"/>
        <w:spacing w:after="0" w:line="253" w:lineRule="auto"/>
        <w:rPr>
          <w:sz w:val="20"/>
          <w:szCs w:val="20"/>
          <w:color w:val="auto"/>
        </w:rPr>
      </w:pPr>
      <w:r>
        <w:rPr>
          <w:rFonts w:ascii="Arial" w:cs="Arial" w:eastAsia="Arial" w:hAnsi="Arial"/>
          <w:sz w:val="16"/>
          <w:szCs w:val="16"/>
          <w:b w:val="1"/>
          <w:bCs w:val="1"/>
          <w:i w:val="1"/>
          <w:iCs w:val="1"/>
          <w:color w:val="auto"/>
        </w:rPr>
        <w:t xml:space="preserve">Annual Evaluations. </w:t>
      </w:r>
      <w:r>
        <w:rPr>
          <w:rFonts w:ascii="Arial" w:cs="Arial" w:eastAsia="Arial" w:hAnsi="Arial"/>
          <w:sz w:val="16"/>
          <w:szCs w:val="16"/>
          <w:color w:val="auto"/>
        </w:rPr>
        <w:t>The Board of Directors and its committees conduct annual self-evaluations that include both the completion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questionnaire as well as biennial individual interviews of each director by an outside third party. These evaluations are utilized by the Board and each committee to improve communication, strategy and effectiveness, and to identify possible improvements that can be made to the performance and composition of the Board and each of its committees. The Corporate Governance Committee assists the Board of Directors in its review and reports to the full Board regarding its findings and recommendations, which are considered and implemented as appropriate. Furthermore, the Compensation Committee performs an annual performance review of the Chairman, CEO and other named executive officers and reports its findings to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263525</wp:posOffset>
            </wp:positionV>
            <wp:extent cx="291465"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LECTION OF</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IRECTORS</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ROPOSAL ONE</w:t>
      </w:r>
      <w:r>
        <w:rPr>
          <w:rFonts w:ascii="Arial" w:cs="Arial" w:eastAsia="Arial" w:hAnsi="Arial"/>
          <w:sz w:val="14"/>
          <w:szCs w:val="14"/>
          <w:b w:val="1"/>
          <w:bCs w:val="1"/>
          <w:color w:val="005CB9"/>
        </w:rPr>
        <w:t>)</w:t>
      </w:r>
    </w:p>
    <w:p>
      <w:pPr>
        <w:spacing w:after="0" w:line="200" w:lineRule="exact"/>
        <w:rPr>
          <w:sz w:val="20"/>
          <w:szCs w:val="20"/>
          <w:color w:val="auto"/>
        </w:rPr>
      </w:pPr>
    </w:p>
    <w:p>
      <w:pPr>
        <w:spacing w:after="0" w:line="228"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b w:val="1"/>
          <w:bCs w:val="1"/>
          <w:i w:val="1"/>
          <w:iCs w:val="1"/>
          <w:color w:val="auto"/>
        </w:rPr>
        <w:t xml:space="preserve">Risk Oversight. </w:t>
      </w:r>
      <w:r>
        <w:rPr>
          <w:rFonts w:ascii="Arial" w:cs="Arial" w:eastAsia="Arial" w:hAnsi="Arial"/>
          <w:sz w:val="16"/>
          <w:szCs w:val="16"/>
          <w:color w:val="auto"/>
        </w:rPr>
        <w:t>The Board of Directors exercises direct oversight of strategic risks to the Company. The Audit Committee reviews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policies for risk assessment and risk management relating to financial reporting and internal controls, as well as operational risk relating to business continuity planning, cyber, digital and physical security, including security controls over customer data, and assesses steps management has taken to control such risks and exposures. The Compensation Committee oversees risks relating to compensation programs and policies. See “Risk Assessment of Overall Compensation Program.” The Governance Committee oversees operational risk relating to insurance and also oversees a management committee that was formed to address environmental, social and governance matters. In each case, management periodically reports to our Board of Directors or to the relevant committee, which provides guidance on risk appetite, assessment, and mitigation. Each committee charged with risk oversight reports to our Board of Directors on those matters. In addition to its committees addressing COVID-19 risks specific to their delegated duties, the Board of Directors has reviewed, overseen and continues to monitor the identification of COVID-19 risks and mitigation strategies related to the Company’s return-to-work procedures, business strategy, business continuity, and the impact on the Company’s financial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224155</wp:posOffset>
            </wp:positionV>
            <wp:extent cx="5212080" cy="2134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208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80"/>
        <w:spacing w:after="0" w:line="266" w:lineRule="auto"/>
        <w:rPr>
          <w:sz w:val="20"/>
          <w:szCs w:val="20"/>
          <w:color w:val="auto"/>
        </w:rPr>
      </w:pPr>
      <w:r>
        <w:rPr>
          <w:rFonts w:ascii="Arial" w:cs="Arial" w:eastAsia="Arial" w:hAnsi="Arial"/>
          <w:sz w:val="16"/>
          <w:szCs w:val="16"/>
          <w:b w:val="1"/>
          <w:bCs w:val="1"/>
          <w:i w:val="1"/>
          <w:iCs w:val="1"/>
          <w:color w:val="auto"/>
        </w:rPr>
        <w:t>Meetings of Directors</w:t>
      </w:r>
      <w:r>
        <w:rPr>
          <w:rFonts w:ascii="Arial" w:cs="Arial" w:eastAsia="Arial" w:hAnsi="Arial"/>
          <w:sz w:val="16"/>
          <w:szCs w:val="16"/>
          <w:color w:val="auto"/>
        </w:rPr>
        <w:t>. The Board of Directors held ten (10) meetings during fiscal 2020. Each of the incumbent directors attended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least 75% in the aggregate of all meetings of the Board of Directors and committees on which the individual served for the period of his or her service in the fiscal year.</w:t>
      </w:r>
    </w:p>
    <w:p>
      <w:pPr>
        <w:spacing w:after="0" w:line="171" w:lineRule="exact"/>
        <w:rPr>
          <w:sz w:val="20"/>
          <w:szCs w:val="20"/>
          <w:color w:val="auto"/>
        </w:rPr>
      </w:pPr>
    </w:p>
    <w:p>
      <w:pPr>
        <w:ind w:left="660" w:right="120"/>
        <w:spacing w:after="0" w:line="259" w:lineRule="auto"/>
        <w:rPr>
          <w:sz w:val="20"/>
          <w:szCs w:val="20"/>
          <w:color w:val="auto"/>
        </w:rPr>
      </w:pPr>
      <w:r>
        <w:rPr>
          <w:rFonts w:ascii="Arial" w:cs="Arial" w:eastAsia="Arial" w:hAnsi="Arial"/>
          <w:sz w:val="16"/>
          <w:szCs w:val="16"/>
          <w:b w:val="1"/>
          <w:bCs w:val="1"/>
          <w:i w:val="1"/>
          <w:iCs w:val="1"/>
          <w:color w:val="auto"/>
        </w:rPr>
        <w:t>Board Strategic Off-site</w:t>
      </w:r>
      <w:r>
        <w:rPr>
          <w:rFonts w:ascii="Arial" w:cs="Arial" w:eastAsia="Arial" w:hAnsi="Arial"/>
          <w:sz w:val="16"/>
          <w:szCs w:val="16"/>
          <w:color w:val="auto"/>
        </w:rPr>
        <w:t>. Periodically (approximately every 18 months), the Board of Directors convenes at an off-site strategic planning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session, which includes presentations and discussions with senior management, to review the Company’s strategic, competitive and financial performance goals as well as to discuss the Company’s long-term strategic plan. The most recent off-site strategic planning session took place in May 2019.</w:t>
      </w:r>
    </w:p>
    <w:p>
      <w:pPr>
        <w:spacing w:after="0" w:line="178"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b w:val="1"/>
          <w:bCs w:val="1"/>
          <w:i w:val="1"/>
          <w:iCs w:val="1"/>
          <w:color w:val="auto"/>
        </w:rPr>
        <w:t>Attendance at Shareholder Meetings</w:t>
      </w:r>
      <w:r>
        <w:rPr>
          <w:rFonts w:ascii="Arial" w:cs="Arial" w:eastAsia="Arial" w:hAnsi="Arial"/>
          <w:sz w:val="16"/>
          <w:szCs w:val="16"/>
          <w:color w:val="auto"/>
        </w:rPr>
        <w:t>. The Board of Directors has adopted a policy whereby director nominees are encouraged to attend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annual meeting of shareholders. All of our then incumbent director nominees attended the last annual meeting of the Company’s shareholders in September 2019.</w:t>
      </w:r>
    </w:p>
    <w:p>
      <w:pPr>
        <w:spacing w:after="0" w:line="171" w:lineRule="exact"/>
        <w:rPr>
          <w:sz w:val="20"/>
          <w:szCs w:val="20"/>
          <w:color w:val="auto"/>
        </w:rPr>
      </w:pPr>
    </w:p>
    <w:p>
      <w:pPr>
        <w:ind w:left="660" w:right="80"/>
        <w:spacing w:after="0" w:line="252" w:lineRule="auto"/>
        <w:rPr>
          <w:sz w:val="20"/>
          <w:szCs w:val="20"/>
          <w:color w:val="auto"/>
        </w:rPr>
      </w:pPr>
      <w:r>
        <w:rPr>
          <w:rFonts w:ascii="Arial" w:cs="Arial" w:eastAsia="Arial" w:hAnsi="Arial"/>
          <w:sz w:val="16"/>
          <w:szCs w:val="16"/>
          <w:b w:val="1"/>
          <w:bCs w:val="1"/>
          <w:i w:val="1"/>
          <w:iCs w:val="1"/>
          <w:color w:val="auto"/>
        </w:rPr>
        <w:t xml:space="preserve">Policy on Majority Voting for Directors. </w:t>
      </w:r>
      <w:r>
        <w:rPr>
          <w:rFonts w:ascii="Arial" w:cs="Arial" w:eastAsia="Arial" w:hAnsi="Arial"/>
          <w:sz w:val="16"/>
          <w:szCs w:val="16"/>
          <w:color w:val="auto"/>
        </w:rPr>
        <w:t>In response to feedback from our shareholders, on June 20, 2019, based on the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Governance Committee’s recommendation, the Board of Directors approved an amendment to the Company’s bylaws to change the standard for uncontested director elections from a plurality voting standard to a majority vote standard. In an uncontested election, a director shall be elected if the number of votes that are cast “for” his or her election by holders of the stock present in person or represented by proxy entitled to vote on the election of directors exceeds the number of votes cast “against” his or her election by such holders. If a nominee who currently serves as a director is not re-elected, Delaware law provides that the director will continue to serve on our Board as a “holdover director” (i.e., until his or her successor has been duly elected and qualified, or until the earliest of his or her death, resignation or removal). In an uncontested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273050</wp:posOffset>
            </wp:positionV>
            <wp:extent cx="291465"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bl>
    <w:p>
      <w:pPr>
        <w:sectPr>
          <w:pgSz w:w="11900" w:h="16838" w:orient="portrait"/>
          <w:cols w:equalWidth="0" w:num="1">
            <w:col w:w="10580"/>
          </w:cols>
          <w:pgMar w:left="320" w:top="459" w:right="9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LECTION OF</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IRECTORS</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ROPOSAL ONE</w:t>
      </w:r>
      <w:r>
        <w:rPr>
          <w:rFonts w:ascii="Arial" w:cs="Arial" w:eastAsia="Arial" w:hAnsi="Arial"/>
          <w:sz w:val="14"/>
          <w:szCs w:val="14"/>
          <w:b w:val="1"/>
          <w:bCs w:val="1"/>
          <w:color w:val="005CB9"/>
        </w:rPr>
        <w:t>)</w:t>
      </w:r>
    </w:p>
    <w:p>
      <w:pPr>
        <w:spacing w:after="0" w:line="200" w:lineRule="exact"/>
        <w:rPr>
          <w:sz w:val="20"/>
          <w:szCs w:val="20"/>
          <w:color w:val="auto"/>
        </w:rPr>
      </w:pPr>
    </w:p>
    <w:p>
      <w:pPr>
        <w:spacing w:after="0" w:line="248"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any nominee for director who fails to receive a greater number of votes cast “for” such individual’s election than votes cast “against” such election promptly shall tender the individual’s resignation to the Corporate Governance Committee following certification of the shareholder vote. The Corporate Governance Committee promptly will consider the resignation offer and recommend to the Board of Directors the action to be taken with respect to such offered resignation. The Board of Directors will act on the Corporate Governance Committee’s recommendation within 90 days following the date of the Annual Meeting. Thereafter, the Board of Directors will disclose promptly its decision whether to accept the director’s resignation offer (and the reasons for rejecting the resignation offer, if applicable) in a Current Report on Form 8-K filed with the SEC. Any director tendering a resignation pursuant to this provision shall not participate in the Corporate Governance Committee recommendation or action of the Board of Directors regarding whether to accept the resignation offer.</w:t>
      </w:r>
    </w:p>
    <w:p>
      <w:pPr>
        <w:spacing w:after="0" w:line="187" w:lineRule="exact"/>
        <w:rPr>
          <w:sz w:val="20"/>
          <w:szCs w:val="20"/>
          <w:color w:val="auto"/>
        </w:rPr>
      </w:pPr>
    </w:p>
    <w:p>
      <w:pPr>
        <w:ind w:left="660" w:right="160"/>
        <w:spacing w:after="0" w:line="256" w:lineRule="auto"/>
        <w:rPr>
          <w:sz w:val="20"/>
          <w:szCs w:val="20"/>
          <w:color w:val="auto"/>
        </w:rPr>
      </w:pPr>
      <w:r>
        <w:rPr>
          <w:rFonts w:ascii="Arial" w:cs="Arial" w:eastAsia="Arial" w:hAnsi="Arial"/>
          <w:sz w:val="16"/>
          <w:szCs w:val="16"/>
          <w:b w:val="1"/>
          <w:bCs w:val="1"/>
          <w:i w:val="1"/>
          <w:iCs w:val="1"/>
          <w:color w:val="auto"/>
        </w:rPr>
        <w:t xml:space="preserve">Code of Business Conduct and Ethics. </w:t>
      </w:r>
      <w:r>
        <w:rPr>
          <w:rFonts w:ascii="Arial" w:cs="Arial" w:eastAsia="Arial" w:hAnsi="Arial"/>
          <w:sz w:val="16"/>
          <w:szCs w:val="16"/>
          <w:color w:val="auto"/>
        </w:rPr>
        <w:t>The Company has adopted a written Code of Business Conduct and Ethics that applies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officers and employees of the Company, including the Company’s principal executive officer, principal financial officer, principal accounting officer and controller and any person performing similar functions. A copy of the Code of Business Conduct and Ethics is posted on the Company’s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and can be accessed by clicking on “Investors,” then “Corporate Governance,” then “Highlights.”</w:t>
      </w:r>
    </w:p>
    <w:p>
      <w:pPr>
        <w:spacing w:after="0" w:line="180" w:lineRule="exact"/>
        <w:rPr>
          <w:sz w:val="20"/>
          <w:szCs w:val="20"/>
          <w:color w:val="auto"/>
        </w:rPr>
      </w:pPr>
    </w:p>
    <w:p>
      <w:pPr>
        <w:ind w:left="660" w:right="180"/>
        <w:spacing w:after="0" w:line="259" w:lineRule="auto"/>
        <w:rPr>
          <w:sz w:val="20"/>
          <w:szCs w:val="20"/>
          <w:color w:val="auto"/>
        </w:rPr>
      </w:pPr>
      <w:r>
        <w:rPr>
          <w:rFonts w:ascii="Arial" w:cs="Arial" w:eastAsia="Arial" w:hAnsi="Arial"/>
          <w:sz w:val="16"/>
          <w:szCs w:val="16"/>
          <w:b w:val="1"/>
          <w:bCs w:val="1"/>
          <w:i w:val="1"/>
          <w:iCs w:val="1"/>
          <w:color w:val="auto"/>
        </w:rPr>
        <w:t>Supplier Code of Conduct</w:t>
      </w:r>
      <w:r>
        <w:rPr>
          <w:rFonts w:ascii="Arial" w:cs="Arial" w:eastAsia="Arial" w:hAnsi="Arial"/>
          <w:sz w:val="16"/>
          <w:szCs w:val="16"/>
          <w:color w:val="auto"/>
        </w:rPr>
        <w:t>. The Company has also adopted a Supplier Code of Conduct that applies to vendors, suppliers, consultants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other third parties we engage, which makes clear that we expect all of our business partners to operate fairly and ethically, comply with domestic and international laws, and promote a work environment that values honesty, openness, integrity, and respect for fundamental human rights, wherever in the world we do business.</w:t>
      </w:r>
    </w:p>
    <w:p>
      <w:pPr>
        <w:spacing w:after="0" w:line="178" w:lineRule="exact"/>
        <w:rPr>
          <w:sz w:val="20"/>
          <w:szCs w:val="20"/>
          <w:color w:val="auto"/>
        </w:rPr>
      </w:pPr>
    </w:p>
    <w:p>
      <w:pPr>
        <w:ind w:left="660" w:right="40"/>
        <w:spacing w:after="0" w:line="259" w:lineRule="auto"/>
        <w:rPr>
          <w:sz w:val="20"/>
          <w:szCs w:val="20"/>
          <w:color w:val="auto"/>
        </w:rPr>
      </w:pPr>
      <w:r>
        <w:rPr>
          <w:rFonts w:ascii="Arial" w:cs="Arial" w:eastAsia="Arial" w:hAnsi="Arial"/>
          <w:sz w:val="16"/>
          <w:szCs w:val="16"/>
          <w:b w:val="1"/>
          <w:bCs w:val="1"/>
          <w:i w:val="1"/>
          <w:iCs w:val="1"/>
          <w:color w:val="auto"/>
        </w:rPr>
        <w:t xml:space="preserve">Conflict of Interest Guidelines for Directors / Directors’ Code of Conduct. </w:t>
      </w:r>
      <w:r>
        <w:rPr>
          <w:rFonts w:ascii="Arial" w:cs="Arial" w:eastAsia="Arial" w:hAnsi="Arial"/>
          <w:sz w:val="16"/>
          <w:szCs w:val="16"/>
          <w:color w:val="auto"/>
        </w:rPr>
        <w:t>The Company has adopted a written Conflict of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Guidelines for Directors / Directors’ Code of Conduct that applies to directors of the Company. A copy of the Conflict of Interest Guidelines for Directors / Directors’ Code of Conduct is posted on the Company’s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and can be accessed by clicking on “Investors,” then “Corporate Governance,” then “Highlights.”</w:t>
      </w:r>
    </w:p>
    <w:p>
      <w:pPr>
        <w:spacing w:after="0" w:line="178" w:lineRule="exact"/>
        <w:rPr>
          <w:sz w:val="20"/>
          <w:szCs w:val="20"/>
          <w:color w:val="auto"/>
        </w:rPr>
      </w:pPr>
    </w:p>
    <w:p>
      <w:pPr>
        <w:ind w:left="660" w:right="60"/>
        <w:spacing w:after="0" w:line="250" w:lineRule="auto"/>
        <w:rPr>
          <w:sz w:val="20"/>
          <w:szCs w:val="20"/>
          <w:color w:val="auto"/>
        </w:rPr>
      </w:pPr>
      <w:r>
        <w:rPr>
          <w:rFonts w:ascii="Arial" w:cs="Arial" w:eastAsia="Arial" w:hAnsi="Arial"/>
          <w:sz w:val="16"/>
          <w:szCs w:val="16"/>
          <w:b w:val="1"/>
          <w:bCs w:val="1"/>
          <w:i w:val="1"/>
          <w:iCs w:val="1"/>
          <w:color w:val="auto"/>
        </w:rPr>
        <w:t>Environmental, Social and Governance Matters</w:t>
      </w:r>
      <w:r>
        <w:rPr>
          <w:rFonts w:ascii="Arial" w:cs="Arial" w:eastAsia="Arial" w:hAnsi="Arial"/>
          <w:sz w:val="16"/>
          <w:szCs w:val="16"/>
          <w:color w:val="auto"/>
        </w:rPr>
        <w:t>. The Company believes that focusing on corporate governance and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responsibility creates value for the Company, our employees, our shareholders, our consumers and other stakeholders while also helping mitigate risks, reduce costs, protect brand value, and identify market opportunities. Our management committee overseeing environmental, social and governance matters is comprised of delegates representing a cross-section of our organization, including members of our global human resources, legal, IT, investor relations, facilities and financial teams, and is overseen by the Corporate Governance Committee. The goal of this committee is to ensure that corporate responsibility and sustainability considerations are incorporated into our corporate strategy, disclosure, and long-term goals to maintain and advance sustainable shareholder value. The committee recently retained a consultant to conduct a materiality assessment to assist in identifying the most significant ESG-related risks and opportunities for the Company. Areas on which this committee continues to focus include board diversity and refreshment, human capital management, cybersecurity, sustainability and community.</w:t>
      </w:r>
    </w:p>
    <w:p>
      <w:pPr>
        <w:spacing w:after="0" w:line="193" w:lineRule="exact"/>
        <w:rPr>
          <w:sz w:val="20"/>
          <w:szCs w:val="20"/>
          <w:color w:val="auto"/>
        </w:rPr>
      </w:pPr>
    </w:p>
    <w:p>
      <w:pPr>
        <w:ind w:left="660"/>
        <w:spacing w:after="0" w:line="258" w:lineRule="auto"/>
        <w:rPr>
          <w:sz w:val="20"/>
          <w:szCs w:val="20"/>
          <w:color w:val="auto"/>
        </w:rPr>
      </w:pPr>
      <w:r>
        <w:rPr>
          <w:rFonts w:ascii="Arial" w:cs="Arial" w:eastAsia="Arial" w:hAnsi="Arial"/>
          <w:sz w:val="16"/>
          <w:szCs w:val="16"/>
          <w:i w:val="1"/>
          <w:iCs w:val="1"/>
          <w:color w:val="auto"/>
        </w:rPr>
        <w:t>Board Diversity and Refreshment</w:t>
      </w:r>
      <w:r>
        <w:rPr>
          <w:rFonts w:ascii="Arial" w:cs="Arial" w:eastAsia="Arial" w:hAnsi="Arial"/>
          <w:sz w:val="16"/>
          <w:szCs w:val="16"/>
          <w:color w:val="auto"/>
        </w:rPr>
        <w:t>. The Board of Directors routinely reviews the composition of the Board and believes that it benefits from</w:t>
      </w:r>
      <w:r>
        <w:rPr>
          <w:rFonts w:ascii="Arial" w:cs="Arial" w:eastAsia="Arial" w:hAnsi="Arial"/>
          <w:sz w:val="16"/>
          <w:szCs w:val="16"/>
          <w:i w:val="1"/>
          <w:iCs w:val="1"/>
          <w:color w:val="auto"/>
        </w:rPr>
        <w:t xml:space="preserve"> </w:t>
      </w:r>
      <w:r>
        <w:rPr>
          <w:rFonts w:ascii="Arial" w:cs="Arial" w:eastAsia="Arial" w:hAnsi="Arial"/>
          <w:sz w:val="16"/>
          <w:szCs w:val="16"/>
          <w:color w:val="auto"/>
        </w:rPr>
        <w:t>having a diverse group of directors, including based on experience, gender, ethnicity and other factors. The Board has taken a deliberate approach to refreshment, with a new director joining each of the prior three years and four of our eight director nominees having served for six years or less. All four of the recent additions to the Board are female and/or a minority.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269240</wp:posOffset>
            </wp:positionV>
            <wp:extent cx="291465"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LECTION OF</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IRECTORS</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ROPOSAL ONE</w:t>
      </w:r>
      <w:r>
        <w:rPr>
          <w:rFonts w:ascii="Arial" w:cs="Arial" w:eastAsia="Arial" w:hAnsi="Arial"/>
          <w:sz w:val="14"/>
          <w:szCs w:val="14"/>
          <w:b w:val="1"/>
          <w:bCs w:val="1"/>
          <w:color w:val="005CB9"/>
        </w:rPr>
        <w:t>)</w:t>
      </w:r>
    </w:p>
    <w:p>
      <w:pPr>
        <w:spacing w:after="0" w:line="200" w:lineRule="exact"/>
        <w:rPr>
          <w:sz w:val="20"/>
          <w:szCs w:val="20"/>
          <w:color w:val="auto"/>
        </w:rPr>
      </w:pPr>
    </w:p>
    <w:p>
      <w:pPr>
        <w:spacing w:after="0" w:line="232" w:lineRule="exact"/>
        <w:rPr>
          <w:sz w:val="20"/>
          <w:szCs w:val="20"/>
          <w:color w:val="auto"/>
        </w:rPr>
      </w:pPr>
    </w:p>
    <w:p>
      <w:pPr>
        <w:ind w:left="660" w:right="20"/>
        <w:spacing w:after="0" w:line="258" w:lineRule="auto"/>
        <w:rPr>
          <w:sz w:val="20"/>
          <w:szCs w:val="20"/>
          <w:color w:val="auto"/>
        </w:rPr>
      </w:pPr>
      <w:r>
        <w:rPr>
          <w:rFonts w:ascii="Arial" w:cs="Arial" w:eastAsia="Arial" w:hAnsi="Arial"/>
          <w:sz w:val="16"/>
          <w:szCs w:val="16"/>
          <w:i w:val="1"/>
          <w:iCs w:val="1"/>
          <w:color w:val="auto"/>
        </w:rPr>
        <w:t>Human Capital Management</w:t>
      </w:r>
      <w:r>
        <w:rPr>
          <w:rFonts w:ascii="Arial" w:cs="Arial" w:eastAsia="Arial" w:hAnsi="Arial"/>
          <w:sz w:val="16"/>
          <w:szCs w:val="16"/>
          <w:color w:val="auto"/>
        </w:rPr>
        <w:t>. Creativity and innovation remain among the core tenets of our organization, and are the lifeblood of our</w:t>
      </w:r>
      <w:r>
        <w:rPr>
          <w:rFonts w:ascii="Arial" w:cs="Arial" w:eastAsia="Arial" w:hAnsi="Arial"/>
          <w:sz w:val="16"/>
          <w:szCs w:val="16"/>
          <w:i w:val="1"/>
          <w:iCs w:val="1"/>
          <w:color w:val="auto"/>
        </w:rPr>
        <w:t xml:space="preserve"> </w:t>
      </w:r>
      <w:r>
        <w:rPr>
          <w:rFonts w:ascii="Arial" w:cs="Arial" w:eastAsia="Arial" w:hAnsi="Arial"/>
          <w:sz w:val="16"/>
          <w:szCs w:val="16"/>
          <w:color w:val="auto"/>
        </w:rPr>
        <w:t>ongoing success. The creative teams at our labels are renowned for their ability consistently to deliver games that set new benchmarks for excellence. We support our creative and corporate teams by focusing on talent retention and acquisition, including through our commitment to:</w:t>
      </w:r>
    </w:p>
    <w:p>
      <w:pPr>
        <w:spacing w:after="0" w:line="102" w:lineRule="exact"/>
        <w:rPr>
          <w:sz w:val="20"/>
          <w:szCs w:val="20"/>
          <w:color w:val="auto"/>
        </w:rPr>
      </w:pPr>
    </w:p>
    <w:p>
      <w:pPr>
        <w:jc w:val="both"/>
        <w:ind w:left="1040" w:right="620" w:hanging="292"/>
        <w:spacing w:after="0" w:line="253" w:lineRule="auto"/>
        <w:tabs>
          <w:tab w:leader="none" w:pos="1040" w:val="left"/>
        </w:tabs>
        <w:numPr>
          <w:ilvl w:val="0"/>
          <w:numId w:val="32"/>
        </w:numPr>
        <w:rPr>
          <w:rFonts w:ascii="Arial" w:cs="Arial" w:eastAsia="Arial" w:hAnsi="Arial"/>
          <w:sz w:val="16"/>
          <w:szCs w:val="16"/>
          <w:color w:val="005CB9"/>
        </w:rPr>
      </w:pPr>
      <w:r>
        <w:rPr>
          <w:rFonts w:ascii="Arial" w:cs="Arial" w:eastAsia="Arial" w:hAnsi="Arial"/>
          <w:sz w:val="16"/>
          <w:szCs w:val="16"/>
          <w:color w:val="auto"/>
        </w:rPr>
        <w:t>job development and skills training initiatives, including, but not limited to: E-Learning, live online &amp; classroom training, online performance management and goal setting, one-on-one internal coaching for leadership and skills development, customized individual development planning, and group training initiatives;</w:t>
      </w:r>
    </w:p>
    <w:p>
      <w:pPr>
        <w:spacing w:after="0" w:line="106" w:lineRule="exact"/>
        <w:rPr>
          <w:rFonts w:ascii="Arial" w:cs="Arial" w:eastAsia="Arial" w:hAnsi="Arial"/>
          <w:sz w:val="16"/>
          <w:szCs w:val="16"/>
          <w:color w:val="005CB9"/>
        </w:rPr>
      </w:pPr>
    </w:p>
    <w:p>
      <w:pPr>
        <w:ind w:left="1040" w:right="60" w:hanging="292"/>
        <w:spacing w:after="0" w:line="253" w:lineRule="auto"/>
        <w:tabs>
          <w:tab w:leader="none" w:pos="1040" w:val="left"/>
        </w:tabs>
        <w:numPr>
          <w:ilvl w:val="0"/>
          <w:numId w:val="32"/>
        </w:numPr>
        <w:rPr>
          <w:rFonts w:ascii="Arial" w:cs="Arial" w:eastAsia="Arial" w:hAnsi="Arial"/>
          <w:sz w:val="16"/>
          <w:szCs w:val="16"/>
          <w:color w:val="005CB9"/>
        </w:rPr>
      </w:pPr>
      <w:r>
        <w:rPr>
          <w:rFonts w:ascii="Arial" w:cs="Arial" w:eastAsia="Arial" w:hAnsi="Arial"/>
          <w:sz w:val="16"/>
          <w:szCs w:val="16"/>
          <w:color w:val="auto"/>
        </w:rPr>
        <w:t>offering extensive employee benefits and a global wellbeing program called Level Up, which incentivizes employees to make good choices regarding their physical, emotional, and financial wellbeing, by providing challenges, inspiring content and wearable devices, and rewarding our employees for taking small steps to maintain happy, healthy lives;</w:t>
      </w:r>
    </w:p>
    <w:p>
      <w:pPr>
        <w:spacing w:after="0" w:line="106" w:lineRule="exact"/>
        <w:rPr>
          <w:rFonts w:ascii="Arial" w:cs="Arial" w:eastAsia="Arial" w:hAnsi="Arial"/>
          <w:sz w:val="16"/>
          <w:szCs w:val="16"/>
          <w:color w:val="005CB9"/>
        </w:rPr>
      </w:pPr>
    </w:p>
    <w:p>
      <w:pPr>
        <w:ind w:left="1040" w:right="40" w:hanging="292"/>
        <w:spacing w:after="0" w:line="260" w:lineRule="auto"/>
        <w:tabs>
          <w:tab w:leader="none" w:pos="1040" w:val="left"/>
        </w:tabs>
        <w:numPr>
          <w:ilvl w:val="0"/>
          <w:numId w:val="32"/>
        </w:numPr>
        <w:rPr>
          <w:rFonts w:ascii="Arial" w:cs="Arial" w:eastAsia="Arial" w:hAnsi="Arial"/>
          <w:sz w:val="16"/>
          <w:szCs w:val="16"/>
          <w:color w:val="005CB9"/>
        </w:rPr>
      </w:pPr>
      <w:r>
        <w:rPr>
          <w:rFonts w:ascii="Arial" w:cs="Arial" w:eastAsia="Arial" w:hAnsi="Arial"/>
          <w:sz w:val="16"/>
          <w:szCs w:val="16"/>
          <w:color w:val="auto"/>
        </w:rPr>
        <w:t>promoting and maintaining a diverse and inclusive workforce that both enables us to deliver entertainment experiences that captivate and engage our diverse community of players, and makes our organization a place of which our employees are proud to be a part;</w:t>
      </w:r>
    </w:p>
    <w:p>
      <w:pPr>
        <w:spacing w:after="0" w:line="100" w:lineRule="exact"/>
        <w:rPr>
          <w:rFonts w:ascii="Arial" w:cs="Arial" w:eastAsia="Arial" w:hAnsi="Arial"/>
          <w:sz w:val="16"/>
          <w:szCs w:val="16"/>
          <w:color w:val="005CB9"/>
        </w:rPr>
      </w:pPr>
    </w:p>
    <w:p>
      <w:pPr>
        <w:ind w:left="1040" w:right="60" w:hanging="292"/>
        <w:spacing w:after="0" w:line="260" w:lineRule="auto"/>
        <w:tabs>
          <w:tab w:leader="none" w:pos="1040" w:val="left"/>
        </w:tabs>
        <w:numPr>
          <w:ilvl w:val="0"/>
          <w:numId w:val="32"/>
        </w:numPr>
        <w:rPr>
          <w:rFonts w:ascii="Arial" w:cs="Arial" w:eastAsia="Arial" w:hAnsi="Arial"/>
          <w:sz w:val="16"/>
          <w:szCs w:val="16"/>
          <w:color w:val="005CB9"/>
        </w:rPr>
      </w:pPr>
      <w:r>
        <w:rPr>
          <w:rFonts w:ascii="Arial" w:cs="Arial" w:eastAsia="Arial" w:hAnsi="Arial"/>
          <w:sz w:val="16"/>
          <w:szCs w:val="16"/>
          <w:color w:val="auto"/>
        </w:rPr>
        <w:t>equal pay for equal work. We have made efforts across our global organization to promote equal pay practices. We are committed to continuing to assess pay equity and aim for equal pay for equal work throughout our Company; and</w:t>
      </w:r>
    </w:p>
    <w:p>
      <w:pPr>
        <w:spacing w:after="0" w:line="100" w:lineRule="exact"/>
        <w:rPr>
          <w:rFonts w:ascii="Arial" w:cs="Arial" w:eastAsia="Arial" w:hAnsi="Arial"/>
          <w:sz w:val="16"/>
          <w:szCs w:val="16"/>
          <w:color w:val="005CB9"/>
        </w:rPr>
      </w:pPr>
    </w:p>
    <w:p>
      <w:pPr>
        <w:ind w:left="1040" w:right="120" w:hanging="292"/>
        <w:spacing w:after="0" w:line="250" w:lineRule="auto"/>
        <w:tabs>
          <w:tab w:leader="none" w:pos="1040" w:val="left"/>
        </w:tabs>
        <w:numPr>
          <w:ilvl w:val="0"/>
          <w:numId w:val="32"/>
        </w:numPr>
        <w:rPr>
          <w:rFonts w:ascii="Arial" w:cs="Arial" w:eastAsia="Arial" w:hAnsi="Arial"/>
          <w:sz w:val="16"/>
          <w:szCs w:val="16"/>
          <w:color w:val="005CB9"/>
        </w:rPr>
      </w:pPr>
      <w:r>
        <w:rPr>
          <w:rFonts w:ascii="Arial" w:cs="Arial" w:eastAsia="Arial" w:hAnsi="Arial"/>
          <w:sz w:val="16"/>
          <w:szCs w:val="16"/>
          <w:color w:val="auto"/>
        </w:rPr>
        <w:t>actively working to promote diversity in the industry and grow the candidate pool for game development roles through financial and other support for certain educational and community programs for underserved youth and college students, including mentoring and exposure opportunities, through organizations such as After School All-Stars, Covenant House, Fresh Air Fund, Games for Change, Girls Make Games, The Animation Project and The School of Interactive Arts, and scholarship programs with New York University and The ESA Foundation.</w:t>
      </w:r>
    </w:p>
    <w:p>
      <w:pPr>
        <w:spacing w:after="0" w:line="187" w:lineRule="exact"/>
        <w:rPr>
          <w:sz w:val="20"/>
          <w:szCs w:val="20"/>
          <w:color w:val="auto"/>
        </w:rPr>
      </w:pPr>
    </w:p>
    <w:p>
      <w:pPr>
        <w:ind w:left="660" w:right="300"/>
        <w:spacing w:after="0" w:line="258" w:lineRule="auto"/>
        <w:rPr>
          <w:sz w:val="20"/>
          <w:szCs w:val="20"/>
          <w:color w:val="auto"/>
        </w:rPr>
      </w:pPr>
      <w:r>
        <w:rPr>
          <w:rFonts w:ascii="Arial" w:cs="Arial" w:eastAsia="Arial" w:hAnsi="Arial"/>
          <w:sz w:val="16"/>
          <w:szCs w:val="16"/>
          <w:i w:val="1"/>
          <w:iCs w:val="1"/>
          <w:color w:val="auto"/>
        </w:rPr>
        <w:t>Cybersecurity</w:t>
      </w:r>
      <w:r>
        <w:rPr>
          <w:rFonts w:ascii="Arial" w:cs="Arial" w:eastAsia="Arial" w:hAnsi="Arial"/>
          <w:sz w:val="16"/>
          <w:szCs w:val="16"/>
          <w:color w:val="auto"/>
        </w:rPr>
        <w:t>. We continue to invest financial and operational resources to implement certain systems, processes and technologies to</w:t>
      </w:r>
      <w:r>
        <w:rPr>
          <w:rFonts w:ascii="Arial" w:cs="Arial" w:eastAsia="Arial" w:hAnsi="Arial"/>
          <w:sz w:val="16"/>
          <w:szCs w:val="16"/>
          <w:i w:val="1"/>
          <w:iCs w:val="1"/>
          <w:color w:val="auto"/>
        </w:rPr>
        <w:t xml:space="preserve"> </w:t>
      </w:r>
      <w:r>
        <w:rPr>
          <w:rFonts w:ascii="Arial" w:cs="Arial" w:eastAsia="Arial" w:hAnsi="Arial"/>
          <w:sz w:val="16"/>
          <w:szCs w:val="16"/>
          <w:color w:val="auto"/>
        </w:rPr>
        <w:t>guard against cyber risks and to help protect our data and systems. Our Audit Committee receives regular reports regarding key cybersecurity, cyber risks and related matters, including secure processing, storage, and transmission of personal and confidential information, such as the personally identifiable information of our users.</w:t>
      </w:r>
    </w:p>
    <w:p>
      <w:pPr>
        <w:spacing w:after="0" w:line="181" w:lineRule="exact"/>
        <w:rPr>
          <w:sz w:val="20"/>
          <w:szCs w:val="20"/>
          <w:color w:val="auto"/>
        </w:rPr>
      </w:pPr>
    </w:p>
    <w:p>
      <w:pPr>
        <w:ind w:left="660" w:right="40"/>
        <w:spacing w:after="0" w:line="258" w:lineRule="auto"/>
        <w:rPr>
          <w:sz w:val="20"/>
          <w:szCs w:val="20"/>
          <w:color w:val="auto"/>
        </w:rPr>
      </w:pPr>
      <w:r>
        <w:rPr>
          <w:rFonts w:ascii="Arial" w:cs="Arial" w:eastAsia="Arial" w:hAnsi="Arial"/>
          <w:sz w:val="16"/>
          <w:szCs w:val="16"/>
          <w:i w:val="1"/>
          <w:iCs w:val="1"/>
          <w:color w:val="auto"/>
        </w:rPr>
        <w:t>Sustainability</w:t>
      </w:r>
      <w:r>
        <w:rPr>
          <w:rFonts w:ascii="Arial" w:cs="Arial" w:eastAsia="Arial" w:hAnsi="Arial"/>
          <w:sz w:val="16"/>
          <w:szCs w:val="16"/>
          <w:color w:val="auto"/>
        </w:rPr>
        <w:t>. We aim to integrate environmental responsibility and sustainability into our operational and product strategies. We will seek</w:t>
      </w:r>
      <w:r>
        <w:rPr>
          <w:rFonts w:ascii="Arial" w:cs="Arial" w:eastAsia="Arial" w:hAnsi="Arial"/>
          <w:sz w:val="16"/>
          <w:szCs w:val="16"/>
          <w:i w:val="1"/>
          <w:iCs w:val="1"/>
          <w:color w:val="auto"/>
        </w:rPr>
        <w:t xml:space="preserve"> </w:t>
      </w:r>
      <w:r>
        <w:rPr>
          <w:rFonts w:ascii="Arial" w:cs="Arial" w:eastAsia="Arial" w:hAnsi="Arial"/>
          <w:sz w:val="16"/>
          <w:szCs w:val="16"/>
          <w:color w:val="auto"/>
        </w:rPr>
        <w:t>to reduce our carbon footprint by the manner through which we bring our games and services to players and by making environmentally-conscious choices in our offices worldwide. We have recently engaged a consultant to assist us in global real estate energy benchmarking and reporting and with finding opportunities both to reduce our carbon footprint and find opportunities for cost savings.</w:t>
      </w:r>
    </w:p>
    <w:p>
      <w:pPr>
        <w:spacing w:after="0" w:line="181" w:lineRule="exact"/>
        <w:rPr>
          <w:sz w:val="20"/>
          <w:szCs w:val="20"/>
          <w:color w:val="auto"/>
        </w:rPr>
      </w:pPr>
    </w:p>
    <w:p>
      <w:pPr>
        <w:ind w:left="660" w:right="40"/>
        <w:spacing w:after="0" w:line="249" w:lineRule="auto"/>
        <w:rPr>
          <w:sz w:val="20"/>
          <w:szCs w:val="20"/>
          <w:color w:val="auto"/>
        </w:rPr>
      </w:pPr>
      <w:r>
        <w:rPr>
          <w:rFonts w:ascii="Arial" w:cs="Arial" w:eastAsia="Arial" w:hAnsi="Arial"/>
          <w:sz w:val="16"/>
          <w:szCs w:val="16"/>
          <w:i w:val="1"/>
          <w:iCs w:val="1"/>
          <w:color w:val="auto"/>
        </w:rPr>
        <w:t>Community</w:t>
      </w:r>
      <w:r>
        <w:rPr>
          <w:rFonts w:ascii="Arial" w:cs="Arial" w:eastAsia="Arial" w:hAnsi="Arial"/>
          <w:sz w:val="16"/>
          <w:szCs w:val="16"/>
          <w:color w:val="auto"/>
        </w:rPr>
        <w:t>. We believe it is important to be part of and to support the communities in which we operate. We have established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employee charitable giving platform, Next Level, through which we match certain employee contributions and otherwise support charitable organizations of our employees’ choosing. In addition to our other volunteerism and giving initiatives, for the months of April and May 2020, our labels came together to donate 5% of Net Bookings (after platform fees) from in-game purchases from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Red Dead Online</w:t>
      </w:r>
      <w:r>
        <w:rPr>
          <w:rFonts w:ascii="Arial" w:cs="Arial" w:eastAsia="Arial" w:hAnsi="Arial"/>
          <w:sz w:val="16"/>
          <w:szCs w:val="16"/>
          <w:color w:val="auto"/>
        </w:rPr>
        <w:t xml:space="preserve"> from Rockstar Games, </w:t>
      </w:r>
      <w:r>
        <w:rPr>
          <w:rFonts w:ascii="Arial" w:cs="Arial" w:eastAsia="Arial" w:hAnsi="Arial"/>
          <w:sz w:val="16"/>
          <w:szCs w:val="16"/>
          <w:i w:val="1"/>
          <w:iCs w:val="1"/>
          <w:color w:val="auto"/>
        </w:rPr>
        <w:t>NBA 2K20</w:t>
      </w:r>
      <w:r>
        <w:rPr>
          <w:rFonts w:ascii="Arial" w:cs="Arial" w:eastAsia="Arial" w:hAnsi="Arial"/>
          <w:sz w:val="16"/>
          <w:szCs w:val="16"/>
          <w:color w:val="auto"/>
        </w:rPr>
        <w:t xml:space="preserve"> and </w:t>
      </w:r>
      <w:r>
        <w:rPr>
          <w:rFonts w:ascii="Arial" w:cs="Arial" w:eastAsia="Arial" w:hAnsi="Arial"/>
          <w:sz w:val="16"/>
          <w:szCs w:val="16"/>
          <w:i w:val="1"/>
          <w:iCs w:val="1"/>
          <w:color w:val="auto"/>
        </w:rPr>
        <w:t>NBA 2K19</w:t>
      </w:r>
      <w:r>
        <w:rPr>
          <w:rFonts w:ascii="Arial" w:cs="Arial" w:eastAsia="Arial" w:hAnsi="Arial"/>
          <w:sz w:val="16"/>
          <w:szCs w:val="16"/>
          <w:color w:val="auto"/>
        </w:rPr>
        <w:t xml:space="preserve"> from 2K Games, </w:t>
      </w:r>
      <w:r>
        <w:rPr>
          <w:rFonts w:ascii="Arial" w:cs="Arial" w:eastAsia="Arial" w:hAnsi="Arial"/>
          <w:sz w:val="16"/>
          <w:szCs w:val="16"/>
          <w:i w:val="1"/>
          <w:iCs w:val="1"/>
          <w:color w:val="auto"/>
        </w:rPr>
        <w:t>Dragon City</w:t>
      </w:r>
      <w:r>
        <w:rPr>
          <w:rFonts w:ascii="Arial" w:cs="Arial" w:eastAsia="Arial" w:hAnsi="Arial"/>
          <w:sz w:val="16"/>
          <w:szCs w:val="16"/>
          <w:color w:val="auto"/>
        </w:rPr>
        <w:t xml:space="preserve"> from Social Point, as well as from full-game digital sales of </w:t>
      </w:r>
      <w:r>
        <w:rPr>
          <w:rFonts w:ascii="Arial" w:cs="Arial" w:eastAsia="Arial" w:hAnsi="Arial"/>
          <w:sz w:val="16"/>
          <w:szCs w:val="16"/>
          <w:i w:val="1"/>
          <w:iCs w:val="1"/>
          <w:color w:val="auto"/>
        </w:rPr>
        <w:t>The Outer Worlds</w:t>
      </w:r>
      <w:r>
        <w:rPr>
          <w:rFonts w:ascii="Arial" w:cs="Arial" w:eastAsia="Arial" w:hAnsi="Arial"/>
          <w:sz w:val="16"/>
          <w:szCs w:val="16"/>
          <w:color w:val="auto"/>
        </w:rPr>
        <w:t xml:space="preserve"> from Private Division, to support an array of COVID-19 charities and local businesses in need. As a result of this effort, we raised over $10 million and provided support to more than 170 organizations throughout the world, including Covenant House, Doctors Without Borders/Médecins Sans Frontières (MSF), Feeding America, International Medical Corps, Robin Hood Foundation, Akshaya Patra Foundation, War Child, Centrepoint and Save The Children. Our efforts supported food banks, shelters and first responders; provided healthcare workers and hospitals with protective equipment; funded research for a COVID-19 vaccine; provided relief funds for small businesses in the regions where we operate; and endowed numerous industry-related organizations to deliver essential in-home STEM education and game design programs for students. We also made significant donations to organizations that are combating racial injustice, including Lawyers Committee for Civil Rights Under Law, NAACP Legal Defense and Education Fund, Inc., and Southern Poverty Law Center, and we have also matched our employees’ donations to related causes.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274955</wp:posOffset>
            </wp:positionV>
            <wp:extent cx="291465"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17</w:t>
            </w:r>
          </w:p>
        </w:tc>
      </w:tr>
    </w:tbl>
    <w:p>
      <w:pPr>
        <w:sectPr>
          <w:pgSz w:w="11900" w:h="16838" w:orient="portrait"/>
          <w:cols w:equalWidth="0" w:num="1">
            <w:col w:w="10580"/>
          </w:cols>
          <w:pgMar w:left="320" w:top="459" w:right="9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LECTION OF</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IRECTORS</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ROPOSAL ONE</w:t>
      </w:r>
      <w:r>
        <w:rPr>
          <w:rFonts w:ascii="Arial" w:cs="Arial" w:eastAsia="Arial" w:hAnsi="Arial"/>
          <w:sz w:val="14"/>
          <w:szCs w:val="14"/>
          <w:b w:val="1"/>
          <w:bCs w:val="1"/>
          <w:color w:val="005CB9"/>
        </w:rPr>
        <w:t>)</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39" w:lineRule="exact"/>
        <w:rPr>
          <w:sz w:val="20"/>
          <w:szCs w:val="20"/>
          <w:color w:val="auto"/>
        </w:rPr>
      </w:pPr>
    </w:p>
    <w:p>
      <w:pPr>
        <w:ind w:left="660" w:right="200"/>
        <w:spacing w:after="0" w:line="250" w:lineRule="auto"/>
        <w:rPr>
          <w:sz w:val="20"/>
          <w:szCs w:val="20"/>
          <w:color w:val="auto"/>
        </w:rPr>
      </w:pPr>
      <w:r>
        <w:rPr>
          <w:rFonts w:ascii="Arial" w:cs="Arial" w:eastAsia="Arial" w:hAnsi="Arial"/>
          <w:sz w:val="16"/>
          <w:szCs w:val="16"/>
          <w:color w:val="auto"/>
        </w:rPr>
        <w:t xml:space="preserve">The Board of Directors has three standing committees entirely comprised of independent directors: a Compensation Committee, a Corporate Governance Committee and an Audit Committee. The Board of Directors also has a standing Executive Committee, currently comprised of Messrs. Dornemann (Chair), Sheresky and Zelnick. These four committees are governed by written charters. The charters and the Company’s Code of Business Conduct and Ethics are posted on the Company’s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xml:space="preserve"> and can be accessed by clicking on “Investors,” then “Corporate Governance,” then “Highlights.”</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3820" w:type="dxa"/>
            <w:vAlign w:val="bottom"/>
            <w:shd w:val="clear" w:color="auto" w:fill="005CB9"/>
          </w:tcPr>
          <w:p>
            <w:pPr>
              <w:spacing w:after="0"/>
              <w:rPr>
                <w:sz w:val="15"/>
                <w:szCs w:val="15"/>
                <w:color w:val="auto"/>
              </w:rPr>
            </w:pPr>
          </w:p>
        </w:tc>
        <w:tc>
          <w:tcPr>
            <w:tcW w:w="1700" w:type="dxa"/>
            <w:vAlign w:val="bottom"/>
            <w:shd w:val="clear" w:color="auto" w:fill="005CB9"/>
          </w:tcPr>
          <w:p>
            <w:pPr>
              <w:spacing w:after="0"/>
              <w:rPr>
                <w:sz w:val="15"/>
                <w:szCs w:val="15"/>
                <w:color w:val="auto"/>
              </w:rPr>
            </w:pPr>
          </w:p>
        </w:tc>
        <w:tc>
          <w:tcPr>
            <w:tcW w:w="160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Corporate</w:t>
            </w:r>
          </w:p>
        </w:tc>
        <w:tc>
          <w:tcPr>
            <w:tcW w:w="1500" w:type="dxa"/>
            <w:vAlign w:val="bottom"/>
            <w:shd w:val="clear" w:color="auto" w:fill="005CB9"/>
          </w:tcPr>
          <w:p>
            <w:pPr>
              <w:spacing w:after="0"/>
              <w:rPr>
                <w:sz w:val="15"/>
                <w:szCs w:val="15"/>
                <w:color w:val="auto"/>
              </w:rPr>
            </w:pPr>
          </w:p>
        </w:tc>
        <w:tc>
          <w:tcPr>
            <w:tcW w:w="1300" w:type="dxa"/>
            <w:vAlign w:val="bottom"/>
            <w:shd w:val="clear" w:color="auto" w:fill="005CB9"/>
          </w:tcPr>
          <w:p>
            <w:pPr>
              <w:spacing w:after="0"/>
              <w:rPr>
                <w:sz w:val="15"/>
                <w:szCs w:val="15"/>
                <w:color w:val="auto"/>
              </w:rPr>
            </w:pPr>
          </w:p>
        </w:tc>
      </w:tr>
      <w:tr>
        <w:trPr>
          <w:trHeight w:val="162"/>
        </w:trPr>
        <w:tc>
          <w:tcPr>
            <w:tcW w:w="3820" w:type="dxa"/>
            <w:vAlign w:val="bottom"/>
            <w:shd w:val="clear" w:color="auto" w:fill="005CB9"/>
          </w:tcPr>
          <w:p>
            <w:pPr>
              <w:spacing w:after="0"/>
              <w:rPr>
                <w:sz w:val="14"/>
                <w:szCs w:val="14"/>
                <w:color w:val="auto"/>
              </w:rPr>
            </w:pPr>
          </w:p>
        </w:tc>
        <w:tc>
          <w:tcPr>
            <w:tcW w:w="170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Compensation</w:t>
            </w:r>
          </w:p>
        </w:tc>
        <w:tc>
          <w:tcPr>
            <w:tcW w:w="160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Governance</w:t>
            </w:r>
          </w:p>
        </w:tc>
        <w:tc>
          <w:tcPr>
            <w:tcW w:w="150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Audit</w:t>
            </w:r>
          </w:p>
        </w:tc>
        <w:tc>
          <w:tcPr>
            <w:tcW w:w="1300" w:type="dxa"/>
            <w:vAlign w:val="bottom"/>
            <w:shd w:val="clear" w:color="auto" w:fill="005CB9"/>
          </w:tcPr>
          <w:p>
            <w:pPr>
              <w:jc w:val="center"/>
              <w:ind w:left="162"/>
              <w:spacing w:after="0"/>
              <w:rPr>
                <w:sz w:val="20"/>
                <w:szCs w:val="20"/>
                <w:color w:val="auto"/>
              </w:rPr>
            </w:pPr>
            <w:r>
              <w:rPr>
                <w:rFonts w:ascii="Arial" w:cs="Arial" w:eastAsia="Arial" w:hAnsi="Arial"/>
                <w:sz w:val="14"/>
                <w:szCs w:val="14"/>
                <w:color w:val="FFFFFF"/>
              </w:rPr>
              <w:t>Executive</w:t>
            </w:r>
          </w:p>
        </w:tc>
      </w:tr>
      <w:tr>
        <w:trPr>
          <w:trHeight w:val="178"/>
        </w:trPr>
        <w:tc>
          <w:tcPr>
            <w:tcW w:w="3820" w:type="dxa"/>
            <w:vAlign w:val="bottom"/>
            <w:tcBorders>
              <w:bottom w:val="single" w:sz="8" w:color="005CB9"/>
            </w:tcBorders>
            <w:shd w:val="clear" w:color="auto" w:fill="005CB9"/>
          </w:tcPr>
          <w:p>
            <w:pPr>
              <w:spacing w:after="0"/>
              <w:rPr>
                <w:sz w:val="15"/>
                <w:szCs w:val="15"/>
                <w:color w:val="auto"/>
              </w:rPr>
            </w:pPr>
          </w:p>
        </w:tc>
        <w:tc>
          <w:tcPr>
            <w:tcW w:w="170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Committee</w:t>
            </w:r>
          </w:p>
        </w:tc>
        <w:tc>
          <w:tcPr>
            <w:tcW w:w="160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Committee</w:t>
            </w:r>
          </w:p>
        </w:tc>
        <w:tc>
          <w:tcPr>
            <w:tcW w:w="150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Committee</w:t>
            </w:r>
          </w:p>
        </w:tc>
        <w:tc>
          <w:tcPr>
            <w:tcW w:w="1300" w:type="dxa"/>
            <w:vAlign w:val="bottom"/>
            <w:tcBorders>
              <w:bottom w:val="single" w:sz="8" w:color="005CB9"/>
            </w:tcBorders>
            <w:shd w:val="clear" w:color="auto" w:fill="005CB9"/>
          </w:tcPr>
          <w:p>
            <w:pPr>
              <w:jc w:val="center"/>
              <w:ind w:left="162"/>
              <w:spacing w:after="0"/>
              <w:rPr>
                <w:sz w:val="20"/>
                <w:szCs w:val="20"/>
                <w:color w:val="auto"/>
              </w:rPr>
            </w:pPr>
            <w:r>
              <w:rPr>
                <w:rFonts w:ascii="Arial" w:cs="Arial" w:eastAsia="Arial" w:hAnsi="Arial"/>
                <w:sz w:val="14"/>
                <w:szCs w:val="14"/>
                <w:color w:val="FFFFFF"/>
              </w:rPr>
              <w:t>Committee</w:t>
            </w:r>
          </w:p>
        </w:tc>
      </w:tr>
      <w:tr>
        <w:trPr>
          <w:trHeight w:val="229"/>
        </w:trPr>
        <w:tc>
          <w:tcPr>
            <w:tcW w:w="3820" w:type="dxa"/>
            <w:vAlign w:val="bottom"/>
            <w:shd w:val="clear" w:color="auto" w:fill="EAEAEA"/>
          </w:tcPr>
          <w:p>
            <w:pPr>
              <w:ind w:left="80"/>
              <w:spacing w:after="0"/>
              <w:rPr>
                <w:sz w:val="20"/>
                <w:szCs w:val="20"/>
                <w:color w:val="auto"/>
              </w:rPr>
            </w:pPr>
            <w:r>
              <w:rPr>
                <w:rFonts w:ascii="Arial" w:cs="Arial" w:eastAsia="Arial" w:hAnsi="Arial"/>
                <w:sz w:val="16"/>
                <w:szCs w:val="16"/>
                <w:b w:val="1"/>
                <w:bCs w:val="1"/>
                <w:color w:val="auto"/>
              </w:rPr>
              <w:t>Michael Dornemann</w:t>
            </w:r>
          </w:p>
        </w:tc>
        <w:tc>
          <w:tcPr>
            <w:tcW w:w="170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74"/>
              </w:rPr>
              <w:t>·</w:t>
            </w:r>
          </w:p>
        </w:tc>
        <w:tc>
          <w:tcPr>
            <w:tcW w:w="160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74"/>
              </w:rPr>
              <w:t>·</w:t>
            </w:r>
          </w:p>
        </w:tc>
        <w:tc>
          <w:tcPr>
            <w:tcW w:w="150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74"/>
              </w:rPr>
              <w:t>·</w:t>
            </w:r>
          </w:p>
        </w:tc>
        <w:tc>
          <w:tcPr>
            <w:tcW w:w="1300" w:type="dxa"/>
            <w:vAlign w:val="bottom"/>
            <w:shd w:val="clear" w:color="auto" w:fill="EAEAEA"/>
          </w:tcPr>
          <w:p>
            <w:pPr>
              <w:jc w:val="center"/>
              <w:ind w:left="162"/>
              <w:spacing w:after="0"/>
              <w:rPr>
                <w:sz w:val="20"/>
                <w:szCs w:val="20"/>
                <w:color w:val="auto"/>
              </w:rPr>
            </w:pPr>
            <w:r>
              <w:rPr>
                <w:rFonts w:ascii="Arial" w:cs="Arial" w:eastAsia="Arial" w:hAnsi="Arial"/>
                <w:sz w:val="16"/>
                <w:szCs w:val="16"/>
                <w:color w:val="auto"/>
                <w:w w:val="99"/>
              </w:rPr>
              <w:t>Chair</w:t>
            </w:r>
          </w:p>
        </w:tc>
      </w:tr>
      <w:tr>
        <w:trPr>
          <w:trHeight w:val="222"/>
        </w:trPr>
        <w:tc>
          <w:tcPr>
            <w:tcW w:w="3820" w:type="dxa"/>
            <w:vAlign w:val="bottom"/>
          </w:tcPr>
          <w:p>
            <w:pPr>
              <w:ind w:left="80"/>
              <w:spacing w:after="0"/>
              <w:rPr>
                <w:sz w:val="20"/>
                <w:szCs w:val="20"/>
                <w:color w:val="auto"/>
              </w:rPr>
            </w:pPr>
            <w:r>
              <w:rPr>
                <w:rFonts w:ascii="Arial" w:cs="Arial" w:eastAsia="Arial" w:hAnsi="Arial"/>
                <w:sz w:val="16"/>
                <w:szCs w:val="16"/>
                <w:b w:val="1"/>
                <w:bCs w:val="1"/>
                <w:color w:val="auto"/>
              </w:rPr>
              <w:t>Roland Hernandez</w:t>
            </w:r>
          </w:p>
        </w:tc>
        <w:tc>
          <w:tcPr>
            <w:tcW w:w="170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1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7"/>
        </w:trPr>
        <w:tc>
          <w:tcPr>
            <w:tcW w:w="3820" w:type="dxa"/>
            <w:vAlign w:val="bottom"/>
            <w:shd w:val="clear" w:color="auto" w:fill="EAEAEA"/>
          </w:tcPr>
          <w:p>
            <w:pPr>
              <w:ind w:left="80"/>
              <w:spacing w:after="0"/>
              <w:rPr>
                <w:sz w:val="20"/>
                <w:szCs w:val="20"/>
                <w:color w:val="auto"/>
              </w:rPr>
            </w:pPr>
            <w:r>
              <w:rPr>
                <w:rFonts w:ascii="Arial" w:cs="Arial" w:eastAsia="Arial" w:hAnsi="Arial"/>
                <w:sz w:val="16"/>
                <w:szCs w:val="16"/>
                <w:b w:val="1"/>
                <w:bCs w:val="1"/>
                <w:color w:val="auto"/>
              </w:rPr>
              <w:t>J Moses</w:t>
            </w:r>
          </w:p>
        </w:tc>
        <w:tc>
          <w:tcPr>
            <w:tcW w:w="170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74"/>
              </w:rPr>
              <w:t>·</w:t>
            </w:r>
          </w:p>
        </w:tc>
        <w:tc>
          <w:tcPr>
            <w:tcW w:w="1600" w:type="dxa"/>
            <w:vAlign w:val="bottom"/>
            <w:shd w:val="clear" w:color="auto" w:fill="EAEAEA"/>
          </w:tcPr>
          <w:p>
            <w:pPr>
              <w:jc w:val="center"/>
              <w:spacing w:after="0"/>
              <w:rPr>
                <w:sz w:val="20"/>
                <w:szCs w:val="20"/>
                <w:color w:val="auto"/>
              </w:rPr>
            </w:pPr>
            <w:r>
              <w:rPr>
                <w:rFonts w:ascii="Arial" w:cs="Arial" w:eastAsia="Arial" w:hAnsi="Arial"/>
                <w:sz w:val="16"/>
                <w:szCs w:val="16"/>
                <w:color w:val="auto"/>
              </w:rPr>
              <w:t>Chair</w:t>
            </w:r>
          </w:p>
        </w:tc>
        <w:tc>
          <w:tcPr>
            <w:tcW w:w="150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74"/>
              </w:rPr>
              <w:t>·</w:t>
            </w:r>
          </w:p>
        </w:tc>
        <w:tc>
          <w:tcPr>
            <w:tcW w:w="1300" w:type="dxa"/>
            <w:vAlign w:val="bottom"/>
            <w:shd w:val="clear" w:color="auto" w:fill="EAEAEA"/>
          </w:tcPr>
          <w:p>
            <w:pPr>
              <w:spacing w:after="0"/>
              <w:rPr>
                <w:sz w:val="20"/>
                <w:szCs w:val="20"/>
                <w:color w:val="auto"/>
              </w:rPr>
            </w:pPr>
          </w:p>
        </w:tc>
      </w:tr>
      <w:tr>
        <w:trPr>
          <w:trHeight w:val="227"/>
        </w:trPr>
        <w:tc>
          <w:tcPr>
            <w:tcW w:w="3820" w:type="dxa"/>
            <w:vAlign w:val="bottom"/>
          </w:tcPr>
          <w:p>
            <w:pPr>
              <w:ind w:left="80"/>
              <w:spacing w:after="0"/>
              <w:rPr>
                <w:sz w:val="20"/>
                <w:szCs w:val="20"/>
                <w:color w:val="auto"/>
              </w:rPr>
            </w:pPr>
            <w:r>
              <w:rPr>
                <w:rFonts w:ascii="Arial" w:cs="Arial" w:eastAsia="Arial" w:hAnsi="Arial"/>
                <w:sz w:val="16"/>
                <w:szCs w:val="16"/>
                <w:b w:val="1"/>
                <w:bCs w:val="1"/>
                <w:color w:val="auto"/>
              </w:rPr>
              <w:t>Michael Sheresky</w:t>
            </w:r>
          </w:p>
        </w:tc>
        <w:tc>
          <w:tcPr>
            <w:tcW w:w="1700" w:type="dxa"/>
            <w:vAlign w:val="bottom"/>
          </w:tcPr>
          <w:p>
            <w:pPr>
              <w:jc w:val="center"/>
              <w:spacing w:after="0"/>
              <w:rPr>
                <w:sz w:val="20"/>
                <w:szCs w:val="20"/>
                <w:color w:val="auto"/>
              </w:rPr>
            </w:pPr>
            <w:r>
              <w:rPr>
                <w:rFonts w:ascii="Arial" w:cs="Arial" w:eastAsia="Arial" w:hAnsi="Arial"/>
                <w:sz w:val="16"/>
                <w:szCs w:val="16"/>
                <w:color w:val="auto"/>
              </w:rPr>
              <w:t>Chair</w:t>
            </w:r>
          </w:p>
        </w:tc>
        <w:tc>
          <w:tcPr>
            <w:tcW w:w="160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1500" w:type="dxa"/>
            <w:vAlign w:val="bottom"/>
          </w:tcPr>
          <w:p>
            <w:pPr>
              <w:spacing w:after="0"/>
              <w:rPr>
                <w:sz w:val="19"/>
                <w:szCs w:val="19"/>
                <w:color w:val="auto"/>
              </w:rPr>
            </w:pPr>
          </w:p>
        </w:tc>
        <w:tc>
          <w:tcPr>
            <w:tcW w:w="1300" w:type="dxa"/>
            <w:vAlign w:val="bottom"/>
          </w:tcPr>
          <w:p>
            <w:pPr>
              <w:jc w:val="center"/>
              <w:ind w:left="142"/>
              <w:spacing w:after="0"/>
              <w:rPr>
                <w:sz w:val="20"/>
                <w:szCs w:val="20"/>
                <w:color w:val="auto"/>
              </w:rPr>
            </w:pPr>
            <w:r>
              <w:rPr>
                <w:rFonts w:ascii="Arial" w:cs="Arial" w:eastAsia="Arial" w:hAnsi="Arial"/>
                <w:sz w:val="16"/>
                <w:szCs w:val="16"/>
                <w:color w:val="auto"/>
                <w:w w:val="74"/>
              </w:rPr>
              <w:t>·</w:t>
            </w:r>
          </w:p>
        </w:tc>
      </w:tr>
      <w:tr>
        <w:trPr>
          <w:trHeight w:val="232"/>
        </w:trPr>
        <w:tc>
          <w:tcPr>
            <w:tcW w:w="3820" w:type="dxa"/>
            <w:vAlign w:val="bottom"/>
            <w:shd w:val="clear" w:color="auto" w:fill="EAEAEA"/>
          </w:tcPr>
          <w:p>
            <w:pPr>
              <w:ind w:left="80"/>
              <w:spacing w:after="0"/>
              <w:rPr>
                <w:sz w:val="20"/>
                <w:szCs w:val="20"/>
                <w:color w:val="auto"/>
              </w:rPr>
            </w:pPr>
            <w:r>
              <w:rPr>
                <w:rFonts w:ascii="Arial" w:cs="Arial" w:eastAsia="Arial" w:hAnsi="Arial"/>
                <w:sz w:val="16"/>
                <w:szCs w:val="16"/>
                <w:b w:val="1"/>
                <w:bCs w:val="1"/>
                <w:color w:val="auto"/>
              </w:rPr>
              <w:t>LaVerne Srinivasan</w:t>
            </w:r>
          </w:p>
        </w:tc>
        <w:tc>
          <w:tcPr>
            <w:tcW w:w="1700" w:type="dxa"/>
            <w:vAlign w:val="bottom"/>
            <w:shd w:val="clear" w:color="auto" w:fill="EAEAEA"/>
          </w:tcPr>
          <w:p>
            <w:pPr>
              <w:spacing w:after="0"/>
              <w:rPr>
                <w:sz w:val="20"/>
                <w:szCs w:val="20"/>
                <w:color w:val="auto"/>
              </w:rPr>
            </w:pPr>
          </w:p>
        </w:tc>
        <w:tc>
          <w:tcPr>
            <w:tcW w:w="160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74"/>
              </w:rPr>
              <w:t>·</w:t>
            </w:r>
          </w:p>
        </w:tc>
        <w:tc>
          <w:tcPr>
            <w:tcW w:w="1500" w:type="dxa"/>
            <w:vAlign w:val="bottom"/>
            <w:shd w:val="clear" w:color="auto" w:fill="EAEAEA"/>
          </w:tcPr>
          <w:p>
            <w:pPr>
              <w:spacing w:after="0"/>
              <w:rPr>
                <w:sz w:val="20"/>
                <w:szCs w:val="20"/>
                <w:color w:val="auto"/>
              </w:rPr>
            </w:pPr>
          </w:p>
        </w:tc>
        <w:tc>
          <w:tcPr>
            <w:tcW w:w="1300" w:type="dxa"/>
            <w:vAlign w:val="bottom"/>
            <w:shd w:val="clear" w:color="auto" w:fill="EAEAEA"/>
          </w:tcPr>
          <w:p>
            <w:pPr>
              <w:spacing w:after="0"/>
              <w:rPr>
                <w:sz w:val="20"/>
                <w:szCs w:val="20"/>
                <w:color w:val="auto"/>
              </w:rPr>
            </w:pPr>
          </w:p>
        </w:tc>
      </w:tr>
      <w:tr>
        <w:trPr>
          <w:trHeight w:val="215"/>
        </w:trPr>
        <w:tc>
          <w:tcPr>
            <w:tcW w:w="3820" w:type="dxa"/>
            <w:vAlign w:val="bottom"/>
          </w:tcPr>
          <w:p>
            <w:pPr>
              <w:ind w:left="80"/>
              <w:spacing w:after="0"/>
              <w:rPr>
                <w:sz w:val="20"/>
                <w:szCs w:val="20"/>
                <w:color w:val="auto"/>
              </w:rPr>
            </w:pPr>
            <w:r>
              <w:rPr>
                <w:rFonts w:ascii="Arial" w:cs="Arial" w:eastAsia="Arial" w:hAnsi="Arial"/>
                <w:sz w:val="16"/>
                <w:szCs w:val="16"/>
                <w:b w:val="1"/>
                <w:bCs w:val="1"/>
                <w:color w:val="auto"/>
              </w:rPr>
              <w:t>Susan Tolson</w:t>
            </w:r>
          </w:p>
        </w:tc>
        <w:tc>
          <w:tcPr>
            <w:tcW w:w="1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300" w:type="dxa"/>
            <w:vAlign w:val="bottom"/>
          </w:tcPr>
          <w:p>
            <w:pPr>
              <w:spacing w:after="0"/>
              <w:rPr>
                <w:sz w:val="18"/>
                <w:szCs w:val="18"/>
                <w:color w:val="auto"/>
              </w:rPr>
            </w:pPr>
          </w:p>
        </w:tc>
      </w:tr>
      <w:tr>
        <w:trPr>
          <w:trHeight w:val="230"/>
        </w:trPr>
        <w:tc>
          <w:tcPr>
            <w:tcW w:w="3820" w:type="dxa"/>
            <w:vAlign w:val="bottom"/>
            <w:shd w:val="clear" w:color="auto" w:fill="EAEAEA"/>
          </w:tcPr>
          <w:p>
            <w:pPr>
              <w:ind w:left="80"/>
              <w:spacing w:after="0"/>
              <w:rPr>
                <w:sz w:val="20"/>
                <w:szCs w:val="20"/>
                <w:color w:val="auto"/>
              </w:rPr>
            </w:pPr>
            <w:r>
              <w:rPr>
                <w:rFonts w:ascii="Arial" w:cs="Arial" w:eastAsia="Arial" w:hAnsi="Arial"/>
                <w:sz w:val="16"/>
                <w:szCs w:val="16"/>
                <w:b w:val="1"/>
                <w:bCs w:val="1"/>
                <w:color w:val="auto"/>
              </w:rPr>
              <w:t>Paul Viera</w:t>
            </w:r>
          </w:p>
        </w:tc>
        <w:tc>
          <w:tcPr>
            <w:tcW w:w="1700" w:type="dxa"/>
            <w:vAlign w:val="bottom"/>
            <w:shd w:val="clear" w:color="auto" w:fill="EAEAEA"/>
          </w:tcPr>
          <w:p>
            <w:pPr>
              <w:spacing w:after="0"/>
              <w:rPr>
                <w:sz w:val="20"/>
                <w:szCs w:val="20"/>
                <w:color w:val="auto"/>
              </w:rPr>
            </w:pPr>
          </w:p>
        </w:tc>
        <w:tc>
          <w:tcPr>
            <w:tcW w:w="1600" w:type="dxa"/>
            <w:vAlign w:val="bottom"/>
            <w:shd w:val="clear" w:color="auto" w:fill="EAEAEA"/>
          </w:tcPr>
          <w:p>
            <w:pPr>
              <w:spacing w:after="0"/>
              <w:rPr>
                <w:sz w:val="20"/>
                <w:szCs w:val="20"/>
                <w:color w:val="auto"/>
              </w:rPr>
            </w:pPr>
          </w:p>
        </w:tc>
        <w:tc>
          <w:tcPr>
            <w:tcW w:w="150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74"/>
              </w:rPr>
              <w:t>·</w:t>
            </w:r>
          </w:p>
        </w:tc>
        <w:tc>
          <w:tcPr>
            <w:tcW w:w="1300" w:type="dxa"/>
            <w:vAlign w:val="bottom"/>
            <w:shd w:val="clear" w:color="auto" w:fill="EAEAEA"/>
          </w:tcPr>
          <w:p>
            <w:pPr>
              <w:spacing w:after="0"/>
              <w:rPr>
                <w:sz w:val="20"/>
                <w:szCs w:val="20"/>
                <w:color w:val="auto"/>
              </w:rPr>
            </w:pPr>
          </w:p>
        </w:tc>
      </w:tr>
      <w:tr>
        <w:trPr>
          <w:trHeight w:val="222"/>
        </w:trPr>
        <w:tc>
          <w:tcPr>
            <w:tcW w:w="3820" w:type="dxa"/>
            <w:vAlign w:val="bottom"/>
          </w:tcPr>
          <w:p>
            <w:pPr>
              <w:ind w:left="80"/>
              <w:spacing w:after="0"/>
              <w:rPr>
                <w:sz w:val="20"/>
                <w:szCs w:val="20"/>
                <w:color w:val="auto"/>
              </w:rPr>
            </w:pPr>
            <w:r>
              <w:rPr>
                <w:rFonts w:ascii="Arial" w:cs="Arial" w:eastAsia="Arial" w:hAnsi="Arial"/>
                <w:sz w:val="16"/>
                <w:szCs w:val="16"/>
                <w:b w:val="1"/>
                <w:bCs w:val="1"/>
                <w:color w:val="auto"/>
              </w:rPr>
              <w:t>Strauss Zelnick</w:t>
            </w:r>
          </w:p>
        </w:tc>
        <w:tc>
          <w:tcPr>
            <w:tcW w:w="1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Pr>
          <w:p>
            <w:pPr>
              <w:jc w:val="center"/>
              <w:ind w:left="142"/>
              <w:spacing w:after="0"/>
              <w:rPr>
                <w:sz w:val="20"/>
                <w:szCs w:val="20"/>
                <w:color w:val="auto"/>
              </w:rPr>
            </w:pPr>
            <w:r>
              <w:rPr>
                <w:rFonts w:ascii="Arial" w:cs="Arial" w:eastAsia="Arial" w:hAnsi="Arial"/>
                <w:sz w:val="16"/>
                <w:szCs w:val="16"/>
                <w:b w:val="1"/>
                <w:bCs w:val="1"/>
                <w:color w:val="auto"/>
                <w:w w:val="74"/>
              </w:rPr>
              <w:t>·</w:t>
            </w:r>
          </w:p>
        </w:tc>
      </w:tr>
      <w:tr>
        <w:trPr>
          <w:trHeight w:val="223"/>
        </w:trPr>
        <w:tc>
          <w:tcPr>
            <w:tcW w:w="3820" w:type="dxa"/>
            <w:vAlign w:val="bottom"/>
            <w:shd w:val="clear" w:color="auto" w:fill="EAEAEA"/>
          </w:tcPr>
          <w:p>
            <w:pPr>
              <w:ind w:left="80"/>
              <w:spacing w:after="0"/>
              <w:rPr>
                <w:sz w:val="20"/>
                <w:szCs w:val="20"/>
                <w:color w:val="auto"/>
              </w:rPr>
            </w:pPr>
            <w:r>
              <w:rPr>
                <w:rFonts w:ascii="Arial" w:cs="Arial" w:eastAsia="Arial" w:hAnsi="Arial"/>
                <w:sz w:val="16"/>
                <w:szCs w:val="16"/>
                <w:b w:val="1"/>
                <w:bCs w:val="1"/>
                <w:color w:val="auto"/>
              </w:rPr>
              <w:t>Meetings in Fiscal 2020</w:t>
            </w:r>
          </w:p>
        </w:tc>
        <w:tc>
          <w:tcPr>
            <w:tcW w:w="170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auto"/>
                <w:w w:val="89"/>
              </w:rPr>
              <w:t>6</w:t>
            </w:r>
          </w:p>
        </w:tc>
        <w:tc>
          <w:tcPr>
            <w:tcW w:w="160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auto"/>
                <w:w w:val="89"/>
              </w:rPr>
              <w:t>5</w:t>
            </w:r>
          </w:p>
        </w:tc>
        <w:tc>
          <w:tcPr>
            <w:tcW w:w="150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auto"/>
              </w:rPr>
              <w:t>4</w:t>
            </w:r>
          </w:p>
        </w:tc>
        <w:tc>
          <w:tcPr>
            <w:tcW w:w="1300" w:type="dxa"/>
            <w:vAlign w:val="bottom"/>
            <w:shd w:val="clear" w:color="auto" w:fill="EAEAEA"/>
          </w:tcPr>
          <w:p>
            <w:pPr>
              <w:jc w:val="center"/>
              <w:ind w:left="142"/>
              <w:spacing w:after="0"/>
              <w:rPr>
                <w:sz w:val="20"/>
                <w:szCs w:val="20"/>
                <w:color w:val="auto"/>
              </w:rPr>
            </w:pPr>
            <w:r>
              <w:rPr>
                <w:rFonts w:ascii="Arial" w:cs="Arial" w:eastAsia="Arial" w:hAnsi="Arial"/>
                <w:sz w:val="16"/>
                <w:szCs w:val="16"/>
                <w:b w:val="1"/>
                <w:bCs w:val="1"/>
                <w:color w:val="auto"/>
                <w:w w:val="89"/>
              </w:rPr>
              <w:t>4</w:t>
            </w:r>
          </w:p>
        </w:tc>
      </w:tr>
    </w:tbl>
    <w:p>
      <w:pPr>
        <w:spacing w:after="0" w:line="198" w:lineRule="exact"/>
        <w:rPr>
          <w:sz w:val="20"/>
          <w:szCs w:val="20"/>
          <w:color w:val="auto"/>
        </w:rPr>
      </w:pPr>
    </w:p>
    <w:p>
      <w:pPr>
        <w:ind w:left="660" w:right="200"/>
        <w:spacing w:after="0" w:line="256"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members are Messrs. Sheresky (Chair), Dornemann, Hernandez and Moses, each of whom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director under NASDAQ’s Rule 5605, a “non-employee director” as defined under the SEC rules. The Compensation Committee, among other roles, reviews the compensation policies and procedures of the Company, evaluates and approves executive officer compensation, and makes recommendations to the Board of Directors regarding executive compensation. During fiscal 2020, the Compensation Committee held six (6) meetings.</w:t>
      </w:r>
    </w:p>
    <w:p>
      <w:pPr>
        <w:spacing w:after="0" w:line="180" w:lineRule="exact"/>
        <w:rPr>
          <w:sz w:val="20"/>
          <w:szCs w:val="20"/>
          <w:color w:val="auto"/>
        </w:rPr>
      </w:pPr>
    </w:p>
    <w:p>
      <w:pPr>
        <w:ind w:left="660" w:right="20"/>
        <w:spacing w:after="0" w:line="259" w:lineRule="auto"/>
        <w:rPr>
          <w:sz w:val="20"/>
          <w:szCs w:val="20"/>
          <w:color w:val="auto"/>
        </w:rPr>
      </w:pPr>
      <w:r>
        <w:rPr>
          <w:rFonts w:ascii="Arial" w:cs="Arial" w:eastAsia="Arial" w:hAnsi="Arial"/>
          <w:sz w:val="16"/>
          <w:szCs w:val="16"/>
          <w:b w:val="1"/>
          <w:bCs w:val="1"/>
          <w:i w:val="1"/>
          <w:iCs w:val="1"/>
          <w:color w:val="auto"/>
        </w:rPr>
        <w:t xml:space="preserve">Corporate Governance Committee </w:t>
      </w:r>
      <w:r>
        <w:rPr>
          <w:rFonts w:ascii="Arial" w:cs="Arial" w:eastAsia="Arial" w:hAnsi="Arial"/>
          <w:sz w:val="16"/>
          <w:szCs w:val="16"/>
          <w:color w:val="auto"/>
        </w:rPr>
        <w:t>members are Messrs. Moses (Chair), Dornemann and Sheresky and Ms. Srinivasan. This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responsible, among other things, for creating and maintaining overall corporate governance policies for the Company, identifying, screening and recruiting director candidates for the Board of Directors and overseeing our environmental, social and governance initiatives. The Corporate Governance Committee held five (5) meetings during fiscal 2020.</w:t>
      </w:r>
    </w:p>
    <w:p>
      <w:pPr>
        <w:spacing w:after="0" w:line="198"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The Corporate Governance Committee will consider nominees recommended by shareholders, provided that the recommendation contains sufficient information for the committee to assess the suitability of the candidate and such nomination complies with the Company’s bylaws. Candidates recommended by shareholders that comply with these procedures will receive the same consideration that candidates recommended by the committee receive.</w:t>
      </w:r>
    </w:p>
    <w:p>
      <w:pPr>
        <w:spacing w:after="0" w:line="20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When selecting directors, the Board of Directors reviews and considers many factors, including experience, business understanding, achievement, available time, diversity, skills and independence. It also will consider ethical standards, integrity and any conflict of interest. It considers recommendations primarily from shareholders of the Company and from members of the Board of Directors and management. The Corporate Governance Committee conducts interviews with candidates who meet the criteria of the Board of Directors and has full discretion in considering its nominations to the Board of Directors. The Board of Directors adopted Corporate Governance Guidelines, which include criteria to assess the suitability of candidates for the Board of Directors. These Corporate Governance Guidelines are posted on the Company’s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and can be accessed by clicking on “Investors,” then “Corporate Governance,” then “Highlights.”</w:t>
      </w:r>
    </w:p>
    <w:p>
      <w:pPr>
        <w:spacing w:after="0" w:line="187" w:lineRule="exact"/>
        <w:rPr>
          <w:sz w:val="20"/>
          <w:szCs w:val="20"/>
          <w:color w:val="auto"/>
        </w:rPr>
      </w:pPr>
    </w:p>
    <w:p>
      <w:pPr>
        <w:ind w:left="660" w:right="560"/>
        <w:spacing w:after="0" w:line="286"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members are Ms. Tolson (Chair) and Messrs. Dornemann, Moses and Viera. The Audit Committee oversees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and financial reporting processes of the Company and audits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255905</wp:posOffset>
            </wp:positionV>
            <wp:extent cx="291465"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LECTION OF</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IRECTORS</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ROPOSAL ONE</w:t>
      </w:r>
      <w:r>
        <w:rPr>
          <w:rFonts w:ascii="Arial" w:cs="Arial" w:eastAsia="Arial" w:hAnsi="Arial"/>
          <w:sz w:val="14"/>
          <w:szCs w:val="14"/>
          <w:b w:val="1"/>
          <w:bCs w:val="1"/>
          <w:color w:val="005CB9"/>
        </w:rPr>
        <w:t>)</w:t>
      </w:r>
    </w:p>
    <w:p>
      <w:pPr>
        <w:spacing w:after="0" w:line="200" w:lineRule="exact"/>
        <w:rPr>
          <w:sz w:val="20"/>
          <w:szCs w:val="20"/>
          <w:color w:val="auto"/>
        </w:rPr>
      </w:pPr>
    </w:p>
    <w:p>
      <w:pPr>
        <w:spacing w:after="0" w:line="248" w:lineRule="exact"/>
        <w:rPr>
          <w:sz w:val="20"/>
          <w:szCs w:val="20"/>
          <w:color w:val="auto"/>
        </w:rPr>
      </w:pPr>
    </w:p>
    <w:p>
      <w:pPr>
        <w:ind w:left="660" w:right="200"/>
        <w:spacing w:after="0" w:line="250" w:lineRule="auto"/>
        <w:rPr>
          <w:sz w:val="20"/>
          <w:szCs w:val="20"/>
          <w:color w:val="auto"/>
        </w:rPr>
      </w:pPr>
      <w:r>
        <w:rPr>
          <w:rFonts w:ascii="Arial" w:cs="Arial" w:eastAsia="Arial" w:hAnsi="Arial"/>
          <w:sz w:val="16"/>
          <w:szCs w:val="16"/>
          <w:color w:val="auto"/>
        </w:rPr>
        <w:t>financial statements of the Company. In addition, the Audit Committee assists the Board of Directors in its review and oversight of the Company’s key investment objectives, strategies and policies, as well as the Company’s operational risk relating to business continuity planning, cyber, digital and physical security, including security controls over customer data. The Board of Directors has determined that Ms. Tolson and Mr. Viera each qualify as an “audit committee financial expert” under federal securities laws. The Audit Committee held four (4) meetings during fiscal 2020.</w:t>
      </w:r>
    </w:p>
    <w:p>
      <w:pPr>
        <w:spacing w:after="0" w:line="183" w:lineRule="exact"/>
        <w:rPr>
          <w:sz w:val="20"/>
          <w:szCs w:val="20"/>
          <w:color w:val="auto"/>
        </w:rPr>
      </w:pPr>
    </w:p>
    <w:p>
      <w:pPr>
        <w:ind w:left="660" w:right="220"/>
        <w:spacing w:after="0" w:line="259" w:lineRule="auto"/>
        <w:rPr>
          <w:sz w:val="20"/>
          <w:szCs w:val="20"/>
          <w:color w:val="auto"/>
        </w:rPr>
      </w:pPr>
      <w:r>
        <w:rPr>
          <w:rFonts w:ascii="Arial" w:cs="Arial" w:eastAsia="Arial" w:hAnsi="Arial"/>
          <w:sz w:val="16"/>
          <w:szCs w:val="16"/>
          <w:b w:val="1"/>
          <w:bCs w:val="1"/>
          <w:i w:val="1"/>
          <w:iCs w:val="1"/>
          <w:color w:val="auto"/>
        </w:rPr>
        <w:t>Special Committees</w:t>
      </w:r>
      <w:r>
        <w:rPr>
          <w:rFonts w:ascii="Arial" w:cs="Arial" w:eastAsia="Arial" w:hAnsi="Arial"/>
          <w:sz w:val="16"/>
          <w:szCs w:val="16"/>
          <w:color w:val="auto"/>
        </w:rPr>
        <w:t>. From time to time, the Board of Directors may form a special committee for a particular purpose. Most recently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fiscal year ended March 31, 2018 (“</w:t>
      </w:r>
      <w:r>
        <w:rPr>
          <w:rFonts w:ascii="Arial" w:cs="Arial" w:eastAsia="Arial" w:hAnsi="Arial"/>
          <w:sz w:val="16"/>
          <w:szCs w:val="16"/>
          <w:i w:val="1"/>
          <w:iCs w:val="1"/>
          <w:color w:val="auto"/>
        </w:rPr>
        <w:t>fiscal 2018</w:t>
      </w:r>
      <w:r>
        <w:rPr>
          <w:rFonts w:ascii="Arial" w:cs="Arial" w:eastAsia="Arial" w:hAnsi="Arial"/>
          <w:sz w:val="16"/>
          <w:szCs w:val="16"/>
          <w:color w:val="auto"/>
        </w:rPr>
        <w:t>”), the Board of Directors appointed a special committee, comprised entirely of independent directors, to lead the negotiation of a new management agreement with ZelnickMedia, which is described under “Certain Relationships and Related Transactions—Management Agreement” beginning on page 60.</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39" w:lineRule="exact"/>
        <w:rPr>
          <w:sz w:val="20"/>
          <w:szCs w:val="20"/>
          <w:color w:val="auto"/>
        </w:rPr>
      </w:pPr>
    </w:p>
    <w:p>
      <w:pPr>
        <w:ind w:left="660" w:right="920"/>
        <w:spacing w:after="0" w:line="260" w:lineRule="auto"/>
        <w:rPr>
          <w:sz w:val="20"/>
          <w:szCs w:val="20"/>
          <w:color w:val="auto"/>
        </w:rPr>
      </w:pPr>
      <w:r>
        <w:rPr>
          <w:rFonts w:ascii="Arial" w:cs="Arial" w:eastAsia="Arial" w:hAnsi="Arial"/>
          <w:sz w:val="16"/>
          <w:szCs w:val="16"/>
          <w:color w:val="auto"/>
        </w:rPr>
        <w:t>Each of the following executive officers, who are not also directors, will serve in such capacity until the next Annual Meeting of Shareholders or until earlier termination or removal from office.</w:t>
      </w:r>
    </w:p>
    <w:p>
      <w:pPr>
        <w:spacing w:after="0" w:line="175" w:lineRule="exact"/>
        <w:rPr>
          <w:sz w:val="20"/>
          <w:szCs w:val="20"/>
          <w:color w:val="auto"/>
        </w:rPr>
      </w:pPr>
    </w:p>
    <w:p>
      <w:pPr>
        <w:ind w:left="660" w:right="20"/>
        <w:spacing w:after="0" w:line="256" w:lineRule="auto"/>
        <w:rPr>
          <w:sz w:val="20"/>
          <w:szCs w:val="20"/>
          <w:color w:val="auto"/>
        </w:rPr>
      </w:pPr>
      <w:r>
        <w:rPr>
          <w:rFonts w:ascii="Arial" w:cs="Arial" w:eastAsia="Arial" w:hAnsi="Arial"/>
          <w:sz w:val="16"/>
          <w:szCs w:val="16"/>
          <w:b w:val="1"/>
          <w:bCs w:val="1"/>
          <w:color w:val="auto"/>
        </w:rPr>
        <w:t>Karl Slatoff</w:t>
      </w:r>
      <w:r>
        <w:rPr>
          <w:rFonts w:ascii="Arial" w:cs="Arial" w:eastAsia="Arial" w:hAnsi="Arial"/>
          <w:sz w:val="16"/>
          <w:szCs w:val="16"/>
          <w:color w:val="auto"/>
        </w:rPr>
        <w:t>, age 50, became President of the Company in May 2013 and served as Chief Operating Officer of the Company from October</w:t>
      </w:r>
      <w:r>
        <w:rPr>
          <w:rFonts w:ascii="Arial" w:cs="Arial" w:eastAsia="Arial" w:hAnsi="Arial"/>
          <w:sz w:val="16"/>
          <w:szCs w:val="16"/>
          <w:b w:val="1"/>
          <w:bCs w:val="1"/>
          <w:color w:val="auto"/>
        </w:rPr>
        <w:t xml:space="preserve"> </w:t>
      </w:r>
      <w:r>
        <w:rPr>
          <w:rFonts w:ascii="Arial" w:cs="Arial" w:eastAsia="Arial" w:hAnsi="Arial"/>
          <w:sz w:val="16"/>
          <w:szCs w:val="16"/>
          <w:color w:val="auto"/>
        </w:rPr>
        <w:t>2010 through April 2013. Mr. Slatoff serves as President of the Company pursuant to the terms of the 2017 Management Agreement between the Company and ZelnickMedia. See “Certain Relationships and Related Transactions—Management Agreement.” From February 2008 to October 2010, Mr. Slatoff served as an Executive Vice President of the Company. Mr. Slatoff also is a partner in ZelnickMedia and previously served as a director of Cannella Response Television, LLC.</w:t>
      </w:r>
    </w:p>
    <w:p>
      <w:pPr>
        <w:spacing w:after="0" w:line="200" w:lineRule="exact"/>
        <w:rPr>
          <w:sz w:val="20"/>
          <w:szCs w:val="20"/>
          <w:color w:val="auto"/>
        </w:rPr>
      </w:pPr>
    </w:p>
    <w:p>
      <w:pPr>
        <w:ind w:left="660" w:right="80"/>
        <w:spacing w:after="0" w:line="249" w:lineRule="auto"/>
        <w:rPr>
          <w:sz w:val="20"/>
          <w:szCs w:val="20"/>
          <w:color w:val="auto"/>
        </w:rPr>
      </w:pPr>
      <w:r>
        <w:rPr>
          <w:rFonts w:ascii="Arial" w:cs="Arial" w:eastAsia="Arial" w:hAnsi="Arial"/>
          <w:sz w:val="16"/>
          <w:szCs w:val="16"/>
          <w:color w:val="auto"/>
        </w:rPr>
        <w:t>Prior to joining ZelnickMedia in 2001, Mr. Slatoff served as Vice President, New Media for BMG Entertainment, where he was responsible for guiding BMG’s online digital strategies, including the development of commercial digital distribution initiatives and new business models for the sale and syndication of online content. From 1994 to 1996, he worked in strategic planning at the Walt Disney Company, where he focused on the consumer products, studio and broadcast divisions, as well as several initiatives in the educational, publishing and new media sectors. From 1992 to 1994, Mr. Slatoff worked in the corporate finance and mergers and acquisitions units at Lehman Brothers where he focused on the consumer products and retail/merchandising industries.</w:t>
      </w:r>
    </w:p>
    <w:p>
      <w:pPr>
        <w:spacing w:after="0" w:line="185"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b w:val="1"/>
          <w:bCs w:val="1"/>
          <w:color w:val="auto"/>
        </w:rPr>
        <w:t>Lainie Goldstein</w:t>
      </w:r>
      <w:r>
        <w:rPr>
          <w:rFonts w:ascii="Arial" w:cs="Arial" w:eastAsia="Arial" w:hAnsi="Arial"/>
          <w:sz w:val="16"/>
          <w:szCs w:val="16"/>
          <w:color w:val="auto"/>
        </w:rPr>
        <w:t>, age 52, was appointed Chief Financial Officer of the Company in June 2007, and is responsible for overseeing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 Relations and Corporate Communications. Ms. Goldstein previously served as the Company’s Senior Vice President of Finance from November 2003. Ms. Goldstein also serves as a director and member of the audit committee of Phreesia, Inc.</w:t>
      </w:r>
    </w:p>
    <w:p>
      <w:pPr>
        <w:spacing w:after="0" w:line="191" w:lineRule="exact"/>
        <w:rPr>
          <w:sz w:val="20"/>
          <w:szCs w:val="20"/>
          <w:color w:val="auto"/>
        </w:rPr>
      </w:pPr>
    </w:p>
    <w:p>
      <w:pPr>
        <w:ind w:left="660" w:right="260"/>
        <w:spacing w:after="0" w:line="251" w:lineRule="auto"/>
        <w:rPr>
          <w:sz w:val="20"/>
          <w:szCs w:val="20"/>
          <w:color w:val="auto"/>
        </w:rPr>
      </w:pPr>
      <w:r>
        <w:rPr>
          <w:rFonts w:ascii="Arial" w:cs="Arial" w:eastAsia="Arial" w:hAnsi="Arial"/>
          <w:sz w:val="16"/>
          <w:szCs w:val="16"/>
          <w:color w:val="auto"/>
        </w:rPr>
        <w:t>Ms. Goldstein is a CPA with financial and business experience in the software, entertainment, retail and apparel industries, with proven success in managing the finance function of publicly traded companies. Prior to joining the Company, she held a number of positions of increasing responsibility with Nautica Enterprises, Inc., most recently serving as Vice President, Finance and Business Development. Earlier in her career, she held positions in the audit and reorganization departments at Grant Thornton LLP.</w:t>
      </w:r>
    </w:p>
    <w:p>
      <w:pPr>
        <w:spacing w:after="0" w:line="182" w:lineRule="exact"/>
        <w:rPr>
          <w:sz w:val="20"/>
          <w:szCs w:val="20"/>
          <w:color w:val="auto"/>
        </w:rPr>
      </w:pPr>
    </w:p>
    <w:p>
      <w:pPr>
        <w:ind w:left="660" w:right="280"/>
        <w:spacing w:after="0" w:line="256" w:lineRule="auto"/>
        <w:rPr>
          <w:sz w:val="20"/>
          <w:szCs w:val="20"/>
          <w:color w:val="auto"/>
        </w:rPr>
      </w:pPr>
      <w:r>
        <w:rPr>
          <w:rFonts w:ascii="Arial" w:cs="Arial" w:eastAsia="Arial" w:hAnsi="Arial"/>
          <w:sz w:val="16"/>
          <w:szCs w:val="16"/>
          <w:b w:val="1"/>
          <w:bCs w:val="1"/>
          <w:color w:val="auto"/>
        </w:rPr>
        <w:t>Daniel Emerson</w:t>
      </w:r>
      <w:r>
        <w:rPr>
          <w:rFonts w:ascii="Arial" w:cs="Arial" w:eastAsia="Arial" w:hAnsi="Arial"/>
          <w:sz w:val="16"/>
          <w:szCs w:val="16"/>
          <w:color w:val="auto"/>
        </w:rPr>
        <w:t>, age 48, became Executive Vice President and General Counsel of the Company in October 2014 and, effective May</w:t>
      </w:r>
      <w:r>
        <w:rPr>
          <w:rFonts w:ascii="Arial" w:cs="Arial" w:eastAsia="Arial" w:hAnsi="Arial"/>
          <w:sz w:val="16"/>
          <w:szCs w:val="16"/>
          <w:b w:val="1"/>
          <w:bCs w:val="1"/>
          <w:color w:val="auto"/>
        </w:rPr>
        <w:t xml:space="preserve"> </w:t>
      </w:r>
      <w:r>
        <w:rPr>
          <w:rFonts w:ascii="Arial" w:cs="Arial" w:eastAsia="Arial" w:hAnsi="Arial"/>
          <w:sz w:val="16"/>
          <w:szCs w:val="16"/>
          <w:color w:val="auto"/>
        </w:rPr>
        <w:t>2019, Mr. Emerson was made Chief Legal Officer. Mr. Emerson joined the Company as a Vice President in June 2005 and served in various capacities of increasing responsibility within the legal department, including Senior Vice President, Corporate Secretary and Deputy General Counsel. In addition to serving as the Chief Legal Officer of the Company, Mr. Emerson oversees administrative management of Internal Audit on behalf of the Audit Committee.</w:t>
      </w:r>
    </w:p>
    <w:p>
      <w:pPr>
        <w:spacing w:after="0" w:line="200" w:lineRule="exact"/>
        <w:rPr>
          <w:sz w:val="20"/>
          <w:szCs w:val="20"/>
          <w:color w:val="auto"/>
        </w:rPr>
      </w:pPr>
    </w:p>
    <w:p>
      <w:pPr>
        <w:ind w:left="660" w:right="280"/>
        <w:spacing w:after="0" w:line="260" w:lineRule="auto"/>
        <w:rPr>
          <w:sz w:val="20"/>
          <w:szCs w:val="20"/>
          <w:color w:val="auto"/>
        </w:rPr>
      </w:pPr>
      <w:r>
        <w:rPr>
          <w:rFonts w:ascii="Arial" w:cs="Arial" w:eastAsia="Arial" w:hAnsi="Arial"/>
          <w:sz w:val="16"/>
          <w:szCs w:val="16"/>
          <w:color w:val="auto"/>
        </w:rPr>
        <w:t>Prior to joining the Company, Mr. Emerson was a partner in the New York office of the law firm Blank Rome LLP, where he represented public and private companies in mergers &amp; acquisitions, securities law, financings and general corporate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268605</wp:posOffset>
            </wp:positionV>
            <wp:extent cx="291465"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bl>
    <w:p>
      <w:pPr>
        <w:sectPr>
          <w:pgSz w:w="11900" w:h="16838" w:orient="portrait"/>
          <w:cols w:equalWidth="0" w:num="1">
            <w:col w:w="10580"/>
          </w:cols>
          <w:pgMar w:left="320" w:top="459" w:right="9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401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FFFFFF"/>
        </w:rPr>
        <w:t>Non-Binding Advisory Vote to Approve the Compensation</w:t>
      </w:r>
    </w:p>
    <w:p>
      <w:pPr>
        <w:spacing w:after="0" w:line="4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FFFFFF"/>
        </w:rPr>
        <w:t>of the Company’s Named Executive Officers</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FFFFFF"/>
        </w:rPr>
        <w:t>(Proposal 2)</w:t>
      </w:r>
    </w:p>
    <w:p>
      <w:pPr>
        <w:spacing w:after="0" w:line="160"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In accordance with the SEC’s proxy rules, we are seeking approval, on a non-binding advisory basis, of the compensation of the Company’s “named executive officers” listed in the Summary Compensation Table (the “</w:t>
      </w:r>
      <w:r>
        <w:rPr>
          <w:rFonts w:ascii="Arial" w:cs="Arial" w:eastAsia="Arial" w:hAnsi="Arial"/>
          <w:sz w:val="16"/>
          <w:szCs w:val="16"/>
          <w:i w:val="1"/>
          <w:iCs w:val="1"/>
          <w:color w:val="auto"/>
        </w:rPr>
        <w:t>NEOs</w:t>
      </w:r>
      <w:r>
        <w:rPr>
          <w:rFonts w:ascii="Arial" w:cs="Arial" w:eastAsia="Arial" w:hAnsi="Arial"/>
          <w:sz w:val="16"/>
          <w:szCs w:val="16"/>
          <w:color w:val="auto"/>
        </w:rPr>
        <w:t>”) for fiscal 2020, as disclosed in this Proxy Statement pursuant to Item 402 of Regulation S-K, including the Compensation Discussion and Analysis, the compensation tables, and the related narrative disclosures. This vote is not intended to address any specific item of compensation, but rather the overall compensation of our NEOs and the philosophy, policies and practices described in this Proxy Statement. This vote is commonly known as a “say on pay” advisory vote. Consistent with the approval by our shareholders, on an advisory basis, of an annual advisory vote on the compensation of the named executive officers, the Board of Directors has adopted a policy providing for annual “say on pay” advisory votes.</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compensation of our NEOs is described in detail in the “Compensation Discussion and Analysis” section of this Proxy Statement beginning 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page 21, which we encourage you to read for additional details on our executive compensation programs and compensation of our NEOs for fiscal 2020.</w:t>
      </w:r>
    </w:p>
    <w:p>
      <w:pPr>
        <w:spacing w:after="0" w:line="221" w:lineRule="exact"/>
        <w:rPr>
          <w:sz w:val="20"/>
          <w:szCs w:val="20"/>
          <w:color w:val="auto"/>
        </w:rPr>
      </w:pPr>
    </w:p>
    <w:p>
      <w:pPr>
        <w:ind w:left="120" w:right="460"/>
        <w:spacing w:after="0" w:line="253" w:lineRule="auto"/>
        <w:rPr>
          <w:sz w:val="20"/>
          <w:szCs w:val="20"/>
          <w:color w:val="auto"/>
        </w:rPr>
      </w:pPr>
      <w:r>
        <w:rPr>
          <w:rFonts w:ascii="Arial" w:cs="Arial" w:eastAsia="Arial" w:hAnsi="Arial"/>
          <w:sz w:val="16"/>
          <w:szCs w:val="16"/>
          <w:color w:val="auto"/>
        </w:rPr>
        <w:t>Our executive compensation programs are based on three core principles that are designed to motivate our NEOs to achieve annual financial and strategic objectives to enhance the profitability of the Company and create long-term shareholder value. The fiscal 2020 compensation of our NEOs reflected these core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8572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89" w:lineRule="exact"/>
        <w:rPr>
          <w:sz w:val="20"/>
          <w:szCs w:val="20"/>
          <w:color w:val="auto"/>
        </w:rPr>
      </w:pPr>
    </w:p>
    <w:p>
      <w:pPr>
        <w:ind w:left="400" w:hanging="203"/>
        <w:spacing w:after="0"/>
        <w:tabs>
          <w:tab w:leader="none" w:pos="400" w:val="left"/>
        </w:tabs>
        <w:numPr>
          <w:ilvl w:val="0"/>
          <w:numId w:val="33"/>
        </w:numPr>
        <w:rPr>
          <w:rFonts w:ascii="Arial" w:cs="Arial" w:eastAsia="Arial" w:hAnsi="Arial"/>
          <w:sz w:val="16"/>
          <w:szCs w:val="16"/>
          <w:color w:val="005CB9"/>
        </w:rPr>
      </w:pPr>
      <w:r>
        <w:rPr>
          <w:rFonts w:ascii="Arial" w:cs="Arial" w:eastAsia="Arial" w:hAnsi="Arial"/>
          <w:sz w:val="16"/>
          <w:szCs w:val="16"/>
          <w:color w:val="auto"/>
        </w:rPr>
        <w:t>A significant portion of our NEOs’ compensation was based on the financial performance of the Company and therefore “at risk”;</w:t>
      </w:r>
    </w:p>
    <w:p>
      <w:pPr>
        <w:spacing w:after="0" w:line="126" w:lineRule="exact"/>
        <w:rPr>
          <w:rFonts w:ascii="Arial" w:cs="Arial" w:eastAsia="Arial" w:hAnsi="Arial"/>
          <w:sz w:val="16"/>
          <w:szCs w:val="16"/>
          <w:color w:val="005CB9"/>
        </w:rPr>
      </w:pPr>
    </w:p>
    <w:p>
      <w:pPr>
        <w:ind w:left="440" w:right="600" w:hanging="243"/>
        <w:spacing w:after="0" w:line="260" w:lineRule="auto"/>
        <w:tabs>
          <w:tab w:leader="none" w:pos="413" w:val="left"/>
        </w:tabs>
        <w:numPr>
          <w:ilvl w:val="0"/>
          <w:numId w:val="33"/>
        </w:numPr>
        <w:rPr>
          <w:rFonts w:ascii="Arial" w:cs="Arial" w:eastAsia="Arial" w:hAnsi="Arial"/>
          <w:sz w:val="16"/>
          <w:szCs w:val="16"/>
          <w:color w:val="005CB9"/>
        </w:rPr>
      </w:pPr>
      <w:r>
        <w:rPr>
          <w:rFonts w:ascii="Arial" w:cs="Arial" w:eastAsia="Arial" w:hAnsi="Arial"/>
          <w:sz w:val="16"/>
          <w:szCs w:val="16"/>
          <w:color w:val="auto"/>
        </w:rPr>
        <w:t>The majority of each NEO’s total compensation was provided in the form of long-term equity, a significant portion of which was subject to total shareholder return (“</w:t>
      </w:r>
      <w:r>
        <w:rPr>
          <w:rFonts w:ascii="Arial" w:cs="Arial" w:eastAsia="Arial" w:hAnsi="Arial"/>
          <w:sz w:val="16"/>
          <w:szCs w:val="16"/>
          <w:i w:val="1"/>
          <w:iCs w:val="1"/>
          <w:color w:val="auto"/>
        </w:rPr>
        <w:t>TSR</w:t>
      </w:r>
      <w:r>
        <w:rPr>
          <w:rFonts w:ascii="Arial" w:cs="Arial" w:eastAsia="Arial" w:hAnsi="Arial"/>
          <w:sz w:val="16"/>
          <w:szCs w:val="16"/>
          <w:color w:val="auto"/>
        </w:rPr>
        <w:t>”) performance metrics, to further align the interests of our NEOs and shareholders; and</w:t>
      </w:r>
    </w:p>
    <w:p>
      <w:pPr>
        <w:spacing w:after="0" w:line="100" w:lineRule="exact"/>
        <w:rPr>
          <w:rFonts w:ascii="Arial" w:cs="Arial" w:eastAsia="Arial" w:hAnsi="Arial"/>
          <w:sz w:val="16"/>
          <w:szCs w:val="16"/>
          <w:color w:val="005CB9"/>
        </w:rPr>
      </w:pPr>
    </w:p>
    <w:p>
      <w:pPr>
        <w:ind w:left="440" w:right="420" w:hanging="243"/>
        <w:spacing w:after="0" w:line="260" w:lineRule="auto"/>
        <w:tabs>
          <w:tab w:leader="none" w:pos="413" w:val="left"/>
        </w:tabs>
        <w:numPr>
          <w:ilvl w:val="0"/>
          <w:numId w:val="33"/>
        </w:numPr>
        <w:rPr>
          <w:rFonts w:ascii="Arial" w:cs="Arial" w:eastAsia="Arial" w:hAnsi="Arial"/>
          <w:sz w:val="16"/>
          <w:szCs w:val="16"/>
          <w:color w:val="005CB9"/>
        </w:rPr>
      </w:pPr>
      <w:r>
        <w:rPr>
          <w:rFonts w:ascii="Arial" w:cs="Arial" w:eastAsia="Arial" w:hAnsi="Arial"/>
          <w:sz w:val="16"/>
          <w:szCs w:val="16"/>
          <w:color w:val="auto"/>
        </w:rPr>
        <w:t>The target total direct compensation package for each NEO was consistent with market practices for executive talent and each NEO’s individual experience, responsibilities and performance.</w:t>
      </w:r>
    </w:p>
    <w:p>
      <w:pPr>
        <w:spacing w:after="0" w:line="276" w:lineRule="exact"/>
        <w:rPr>
          <w:sz w:val="20"/>
          <w:szCs w:val="20"/>
          <w:color w:val="auto"/>
        </w:rPr>
      </w:pPr>
    </w:p>
    <w:p>
      <w:pPr>
        <w:ind w:left="120" w:right="220"/>
        <w:spacing w:after="0" w:line="251" w:lineRule="auto"/>
        <w:rPr>
          <w:sz w:val="20"/>
          <w:szCs w:val="20"/>
          <w:color w:val="auto"/>
        </w:rPr>
      </w:pPr>
      <w:r>
        <w:rPr>
          <w:rFonts w:ascii="Arial" w:cs="Arial" w:eastAsia="Arial" w:hAnsi="Arial"/>
          <w:sz w:val="16"/>
          <w:szCs w:val="16"/>
          <w:color w:val="auto"/>
        </w:rPr>
        <w:t>We believe that our compensation programs and policies for fiscal 2020 were consistent with our core compensation principles, provided an effective incentive for the achievement of positive results, aligned with shareholders’ interests, are supported by strong compensation governance practices and worthy of continued shareholder support. Accordingly, we ask for our shareholders to indicate their support for the compensation paid to our NEOs by voting “FOR” the following non-binding resolution at the Annual Meeting:</w:t>
      </w:r>
    </w:p>
    <w:p>
      <w:pPr>
        <w:spacing w:after="0" w:line="202"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“RESOLVED, that the Company’s shareholders approve the compensation of the named executive officers for the fiscal year ended March 31, 2020, including the Compensation Discussion and Analysis, the compensation tables, and the related narrative disclosures as included in this Proxy Statement.”</w:t>
      </w:r>
    </w:p>
    <w:p>
      <w:pPr>
        <w:spacing w:after="0" w:line="195"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Because your vote is advisory, the result will not be binding upon the Company. Although not binding, the Board of Directors values the opinions of our shareholders and will carefully review and consider the outcome of the vote, along with other relevant factors, in evaluating its compensation program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220980</wp:posOffset>
            </wp:positionV>
            <wp:extent cx="6995160" cy="1045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0458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THE BOARD OF DIRECTORS BELIEVES THAT APPROVAL OF THE FOREGOING</w:t>
      </w:r>
    </w:p>
    <w:p>
      <w:pPr>
        <w:spacing w:after="0" w:line="16" w:lineRule="exact"/>
        <w:rPr>
          <w:sz w:val="20"/>
          <w:szCs w:val="20"/>
          <w:color w:val="auto"/>
        </w:rPr>
      </w:pPr>
    </w:p>
    <w:p>
      <w:pPr>
        <w:jc w:val="center"/>
        <w:ind w:left="440" w:right="1280"/>
        <w:spacing w:after="0" w:line="247" w:lineRule="auto"/>
        <w:rPr>
          <w:sz w:val="20"/>
          <w:szCs w:val="20"/>
          <w:color w:val="auto"/>
        </w:rPr>
      </w:pPr>
      <w:r>
        <w:rPr>
          <w:rFonts w:ascii="Arial" w:cs="Arial" w:eastAsia="Arial" w:hAnsi="Arial"/>
          <w:sz w:val="21"/>
          <w:szCs w:val="21"/>
          <w:b w:val="1"/>
          <w:bCs w:val="1"/>
          <w:color w:val="auto"/>
        </w:rPr>
        <w:t xml:space="preserve">RESOLUTION ON THE COMPENSATION OF THE NEOS IS IN THE BEST INTERESTS OF THE COMPANY AND UNANIMOUSLY RECOMMENDS THAT SHAREHOLDERS VOTE </w:t>
      </w:r>
      <w:r>
        <w:rPr>
          <w:rFonts w:ascii="Arial" w:cs="Arial" w:eastAsia="Arial" w:hAnsi="Arial"/>
          <w:sz w:val="21"/>
          <w:szCs w:val="21"/>
          <w:b w:val="1"/>
          <w:bCs w:val="1"/>
          <w:color w:val="005CB9"/>
        </w:rPr>
        <w:t>“FOR”</w:t>
      </w:r>
      <w:r>
        <w:rPr>
          <w:rFonts w:ascii="Arial" w:cs="Arial" w:eastAsia="Arial" w:hAnsi="Arial"/>
          <w:sz w:val="21"/>
          <w:szCs w:val="21"/>
          <w:b w:val="1"/>
          <w:bCs w:val="1"/>
          <w:color w:val="auto"/>
        </w:rPr>
        <w:t xml:space="preserve"> THE APPROVAL OF THE COMPENSATION OF THE COMPANY’S NEOS, AS STATED IN THE ABOVE NON-BINDING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187325</wp:posOffset>
            </wp:positionV>
            <wp:extent cx="291465"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367" w:lineRule="exact"/>
        <w:rPr>
          <w:sz w:val="20"/>
          <w:szCs w:val="20"/>
          <w:color w:val="auto"/>
        </w:rPr>
      </w:pPr>
    </w:p>
    <w:p>
      <w:pPr>
        <w:ind w:left="120"/>
        <w:spacing w:after="0"/>
        <w:tabs>
          <w:tab w:leader="none" w:pos="60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28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60"/>
        <w:spacing w:after="0"/>
        <w:rPr>
          <w:sz w:val="20"/>
          <w:szCs w:val="20"/>
          <w:color w:val="auto"/>
        </w:rPr>
      </w:pPr>
      <w:r>
        <w:rPr>
          <w:rFonts w:ascii="Arial" w:cs="Arial" w:eastAsia="Arial" w:hAnsi="Arial"/>
          <w:sz w:val="40"/>
          <w:szCs w:val="40"/>
          <w:b w:val="1"/>
          <w:bCs w:val="1"/>
          <w:color w:val="FFFFFF"/>
        </w:rPr>
        <w:t>Compensation Discussion and Analysis</w:t>
      </w:r>
    </w:p>
    <w:p>
      <w:pPr>
        <w:spacing w:after="0" w:line="200" w:lineRule="exact"/>
        <w:rPr>
          <w:sz w:val="20"/>
          <w:szCs w:val="20"/>
          <w:color w:val="auto"/>
        </w:rPr>
      </w:pPr>
    </w:p>
    <w:p>
      <w:pPr>
        <w:spacing w:after="0" w:line="385" w:lineRule="exact"/>
        <w:rPr>
          <w:sz w:val="20"/>
          <w:szCs w:val="20"/>
          <w:color w:val="auto"/>
        </w:rPr>
      </w:pPr>
    </w:p>
    <w:p>
      <w:pPr>
        <w:ind w:left="660" w:right="320"/>
        <w:spacing w:after="0" w:line="260" w:lineRule="auto"/>
        <w:rPr>
          <w:sz w:val="20"/>
          <w:szCs w:val="20"/>
          <w:color w:val="auto"/>
        </w:rPr>
      </w:pPr>
      <w:r>
        <w:rPr>
          <w:rFonts w:ascii="Arial" w:cs="Arial" w:eastAsia="Arial" w:hAnsi="Arial"/>
          <w:sz w:val="16"/>
          <w:szCs w:val="16"/>
          <w:color w:val="auto"/>
        </w:rPr>
        <w:t>The Compensation Discussion and Analysis section describes the material elements of our executive compensation program for fiscal 2020, including the named executive officers (“</w:t>
      </w:r>
      <w:r>
        <w:rPr>
          <w:rFonts w:ascii="Arial" w:cs="Arial" w:eastAsia="Arial" w:hAnsi="Arial"/>
          <w:sz w:val="16"/>
          <w:szCs w:val="16"/>
          <w:i w:val="1"/>
          <w:iCs w:val="1"/>
          <w:color w:val="auto"/>
        </w:rPr>
        <w:t>NEOs</w:t>
      </w:r>
      <w:r>
        <w:rPr>
          <w:rFonts w:ascii="Arial" w:cs="Arial" w:eastAsia="Arial" w:hAnsi="Arial"/>
          <w:sz w:val="16"/>
          <w:szCs w:val="16"/>
          <w:color w:val="auto"/>
        </w:rPr>
        <w:t>”) as identified in the Summary Compensation Table and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131445</wp:posOffset>
            </wp:positionV>
            <wp:extent cx="6308725" cy="805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8725" cy="805180"/>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270" w:lineRule="exact"/>
        <w:rPr>
          <w:sz w:val="20"/>
          <w:szCs w:val="20"/>
          <w:color w:val="auto"/>
        </w:rPr>
      </w:pPr>
    </w:p>
    <w:p>
      <w:pPr>
        <w:jc w:val="center"/>
        <w:ind w:left="640"/>
        <w:spacing w:after="0"/>
        <w:rPr>
          <w:sz w:val="20"/>
          <w:szCs w:val="20"/>
          <w:color w:val="auto"/>
        </w:rPr>
      </w:pPr>
      <w:r>
        <w:rPr>
          <w:rFonts w:ascii="Arial" w:cs="Arial" w:eastAsia="Arial" w:hAnsi="Arial"/>
          <w:sz w:val="15"/>
          <w:szCs w:val="15"/>
          <w:b w:val="1"/>
          <w:bCs w:val="1"/>
          <w:color w:val="005CB9"/>
        </w:rPr>
        <w:t>Executive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005CB9"/>
        </w:rPr>
        <w:t>Title</w:t>
      </w:r>
    </w:p>
    <w:p>
      <w:pPr>
        <w:spacing w:after="0" w:line="64" w:lineRule="exact"/>
        <w:rPr>
          <w:sz w:val="20"/>
          <w:szCs w:val="20"/>
          <w:color w:val="auto"/>
        </w:rPr>
      </w:pPr>
    </w:p>
    <w:p>
      <w:pPr>
        <w:sectPr>
          <w:pgSz w:w="11900" w:h="16838" w:orient="portrait"/>
          <w:cols w:equalWidth="0" w:num="2">
            <w:col w:w="1660" w:space="720"/>
            <w:col w:w="8200"/>
          </w:cols>
          <w:pgMar w:left="320" w:top="459" w:right="99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Strauss Zelnick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Chairman and Chief Executive Officer</w:t>
      </w:r>
    </w:p>
    <w:p>
      <w:pPr>
        <w:spacing w:after="0" w:line="59" w:lineRule="exact"/>
        <w:rPr>
          <w:sz w:val="20"/>
          <w:szCs w:val="20"/>
          <w:color w:val="auto"/>
        </w:rPr>
      </w:pPr>
    </w:p>
    <w:p>
      <w:pPr>
        <w:sectPr>
          <w:pgSz w:w="11900" w:h="16838" w:orient="portrait"/>
          <w:cols w:equalWidth="0" w:num="2">
            <w:col w:w="1880" w:space="500"/>
            <w:col w:w="8200"/>
          </w:cols>
          <w:pgMar w:left="320" w:top="459" w:right="999" w:bottom="1440" w:gutter="0" w:footer="0" w:header="0"/>
          <w:type w:val="continuous"/>
        </w:sectPr>
      </w:pPr>
    </w:p>
    <w:p>
      <w:pPr>
        <w:jc w:val="center"/>
        <w:ind w:left="680"/>
        <w:spacing w:after="0"/>
        <w:rPr>
          <w:sz w:val="20"/>
          <w:szCs w:val="20"/>
          <w:color w:val="auto"/>
        </w:rPr>
      </w:pPr>
      <w:r>
        <w:rPr>
          <w:rFonts w:ascii="Arial" w:cs="Arial" w:eastAsia="Arial" w:hAnsi="Arial"/>
          <w:sz w:val="15"/>
          <w:szCs w:val="15"/>
          <w:color w:val="auto"/>
        </w:rPr>
        <w:t>Karl Slatoff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w:t>
      </w:r>
    </w:p>
    <w:p>
      <w:pPr>
        <w:spacing w:after="0" w:line="59" w:lineRule="exact"/>
        <w:rPr>
          <w:sz w:val="20"/>
          <w:szCs w:val="20"/>
          <w:color w:val="auto"/>
        </w:rPr>
      </w:pPr>
    </w:p>
    <w:p>
      <w:pPr>
        <w:sectPr>
          <w:pgSz w:w="11900" w:h="16838" w:orient="portrait"/>
          <w:cols w:equalWidth="0" w:num="2">
            <w:col w:w="1660" w:space="720"/>
            <w:col w:w="8200"/>
          </w:cols>
          <w:pgMar w:left="320" w:top="459" w:right="99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Lainie Goldstein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sectPr>
          <w:pgSz w:w="11900" w:h="16838" w:orient="portrait"/>
          <w:cols w:equalWidth="0" w:num="2">
            <w:col w:w="1940" w:space="440"/>
            <w:col w:w="8200"/>
          </w:cols>
          <w:pgMar w:left="320" w:top="459" w:right="99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Daniel Emerson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Legal Officer</w:t>
      </w:r>
    </w:p>
    <w:p>
      <w:pPr>
        <w:spacing w:after="0" w:line="200" w:lineRule="exact"/>
        <w:rPr>
          <w:sz w:val="20"/>
          <w:szCs w:val="20"/>
          <w:color w:val="auto"/>
        </w:rPr>
      </w:pPr>
    </w:p>
    <w:p>
      <w:pPr>
        <w:sectPr>
          <w:pgSz w:w="11900" w:h="16838" w:orient="portrait"/>
          <w:cols w:equalWidth="0" w:num="2">
            <w:col w:w="1920" w:space="460"/>
            <w:col w:w="8200"/>
          </w:cols>
          <w:pgMar w:left="320" w:top="459" w:right="999" w:bottom="1440" w:gutter="0" w:footer="0" w:header="0"/>
          <w:type w:val="continuous"/>
        </w:sectPr>
      </w:pP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Messrs. Zelnick and Slatoff serve in their executive positions pursuant to a management agreement with ZelnickMedia, discussed below.</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005CB9"/>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34290</wp:posOffset>
            </wp:positionV>
            <wp:extent cx="62922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57" w:lineRule="exact"/>
        <w:rPr>
          <w:sz w:val="20"/>
          <w:szCs w:val="20"/>
          <w:color w:val="auto"/>
        </w:rPr>
      </w:pPr>
    </w:p>
    <w:p>
      <w:pPr>
        <w:ind w:left="660" w:right="280"/>
        <w:spacing w:after="0" w:line="260" w:lineRule="auto"/>
        <w:rPr>
          <w:sz w:val="20"/>
          <w:szCs w:val="20"/>
          <w:color w:val="auto"/>
        </w:rPr>
      </w:pPr>
      <w:r>
        <w:rPr>
          <w:rFonts w:ascii="Arial" w:cs="Arial" w:eastAsia="Arial" w:hAnsi="Arial"/>
          <w:sz w:val="16"/>
          <w:szCs w:val="16"/>
          <w:color w:val="auto"/>
        </w:rPr>
        <w:t>Take-Two is a leading developer, publisher and marketer of interactive entertainment for consumers around the globe. We develop and publish products principally through Rockstar Games, 2K, Private Division, and Social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139700</wp:posOffset>
            </wp:positionV>
            <wp:extent cx="1388745" cy="12001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88745" cy="1200150"/>
                    </a:xfrm>
                    <a:prstGeom prst="rect">
                      <a:avLst/>
                    </a:prstGeom>
                    <a:noFill/>
                  </pic:spPr>
                </pic:pic>
              </a:graphicData>
            </a:graphic>
          </wp:anchor>
        </w:drawing>
      </w:r>
    </w:p>
    <w:p>
      <w:pPr>
        <w:spacing w:after="0" w:line="200" w:lineRule="exact"/>
        <w:rPr>
          <w:sz w:val="20"/>
          <w:szCs w:val="20"/>
          <w:color w:val="auto"/>
        </w:rPr>
      </w:pPr>
    </w:p>
    <w:tbl>
      <w:tblPr>
        <w:tblLayout w:type="fixed"/>
        <w:tblInd w:w="2860" w:type="dxa"/>
        <w:tblCellMar>
          <w:top w:w="0" w:type="dxa"/>
          <w:left w:w="0" w:type="dxa"/>
          <w:bottom w:w="0" w:type="dxa"/>
          <w:right w:w="0" w:type="dxa"/>
        </w:tblCellMar>
      </w:tblPr>
      <w:tr>
        <w:trPr>
          <w:trHeight w:val="264"/>
        </w:trPr>
        <w:tc>
          <w:tcPr>
            <w:tcW w:w="2500" w:type="dxa"/>
            <w:vAlign w:val="bottom"/>
            <w:shd w:val="clear" w:color="auto" w:fill="D8E6F4"/>
          </w:tcPr>
          <w:p>
            <w:pPr>
              <w:ind w:left="100"/>
              <w:spacing w:after="0"/>
              <w:rPr>
                <w:sz w:val="20"/>
                <w:szCs w:val="20"/>
                <w:color w:val="auto"/>
              </w:rPr>
            </w:pPr>
            <w:r>
              <w:rPr>
                <w:rFonts w:ascii="Arial" w:cs="Arial" w:eastAsia="Arial" w:hAnsi="Arial"/>
                <w:sz w:val="16"/>
                <w:szCs w:val="16"/>
                <w:b w:val="1"/>
                <w:bCs w:val="1"/>
                <w:color w:val="auto"/>
              </w:rPr>
              <w:t>Top Sellers Include:</w:t>
            </w:r>
          </w:p>
        </w:tc>
        <w:tc>
          <w:tcPr>
            <w:tcW w:w="580" w:type="dxa"/>
            <w:vAlign w:val="bottom"/>
          </w:tcPr>
          <w:p>
            <w:pPr>
              <w:spacing w:after="0"/>
              <w:rPr>
                <w:sz w:val="22"/>
                <w:szCs w:val="22"/>
                <w:color w:val="auto"/>
              </w:rPr>
            </w:pPr>
          </w:p>
        </w:tc>
        <w:tc>
          <w:tcPr>
            <w:tcW w:w="4640" w:type="dxa"/>
            <w:vAlign w:val="bottom"/>
            <w:shd w:val="clear" w:color="auto" w:fill="D8E6F4"/>
          </w:tcPr>
          <w:p>
            <w:pPr>
              <w:ind w:left="2260"/>
              <w:spacing w:after="0"/>
              <w:rPr>
                <w:sz w:val="20"/>
                <w:szCs w:val="20"/>
                <w:color w:val="auto"/>
              </w:rPr>
            </w:pPr>
            <w:r>
              <w:rPr>
                <w:rFonts w:ascii="Arial" w:cs="Arial" w:eastAsia="Arial" w:hAnsi="Arial"/>
                <w:sz w:val="16"/>
                <w:szCs w:val="16"/>
                <w:b w:val="1"/>
                <w:bCs w:val="1"/>
                <w:color w:val="auto"/>
              </w:rPr>
              <w:t>Top Sellers Include:</w:t>
            </w:r>
          </w:p>
        </w:tc>
      </w:tr>
      <w:tr>
        <w:trPr>
          <w:trHeight w:val="317"/>
        </w:trPr>
        <w:tc>
          <w:tcPr>
            <w:tcW w:w="2500" w:type="dxa"/>
            <w:vAlign w:val="bottom"/>
            <w:shd w:val="clear" w:color="auto" w:fill="D8E6F4"/>
          </w:tcPr>
          <w:p>
            <w:pPr>
              <w:ind w:left="10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Grand Theft Auto</w:t>
            </w:r>
          </w:p>
        </w:tc>
        <w:tc>
          <w:tcPr>
            <w:tcW w:w="580" w:type="dxa"/>
            <w:vAlign w:val="bottom"/>
          </w:tcPr>
          <w:p>
            <w:pPr>
              <w:spacing w:after="0"/>
              <w:rPr>
                <w:sz w:val="24"/>
                <w:szCs w:val="24"/>
                <w:color w:val="auto"/>
              </w:rPr>
            </w:pPr>
          </w:p>
        </w:tc>
        <w:tc>
          <w:tcPr>
            <w:tcW w:w="4640" w:type="dxa"/>
            <w:vAlign w:val="bottom"/>
            <w:shd w:val="clear" w:color="auto" w:fill="D8E6F4"/>
          </w:tcPr>
          <w:p>
            <w:pPr>
              <w:ind w:left="22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NBA 2K</w:t>
            </w:r>
          </w:p>
        </w:tc>
      </w:tr>
      <w:tr>
        <w:trPr>
          <w:trHeight w:val="243"/>
        </w:trPr>
        <w:tc>
          <w:tcPr>
            <w:tcW w:w="2500" w:type="dxa"/>
            <w:vAlign w:val="bottom"/>
            <w:shd w:val="clear" w:color="auto" w:fill="D8E6F4"/>
          </w:tcPr>
          <w:p>
            <w:pPr>
              <w:ind w:left="10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Red Dead</w:t>
            </w:r>
          </w:p>
        </w:tc>
        <w:tc>
          <w:tcPr>
            <w:tcW w:w="580" w:type="dxa"/>
            <w:vAlign w:val="bottom"/>
          </w:tcPr>
          <w:p>
            <w:pPr>
              <w:spacing w:after="0"/>
              <w:rPr>
                <w:sz w:val="21"/>
                <w:szCs w:val="21"/>
                <w:color w:val="auto"/>
              </w:rPr>
            </w:pPr>
          </w:p>
        </w:tc>
        <w:tc>
          <w:tcPr>
            <w:tcW w:w="4640" w:type="dxa"/>
            <w:vAlign w:val="bottom"/>
            <w:shd w:val="clear" w:color="auto" w:fill="D8E6F4"/>
          </w:tcPr>
          <w:p>
            <w:pPr>
              <w:ind w:left="22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Borderlands</w:t>
            </w:r>
          </w:p>
        </w:tc>
      </w:tr>
      <w:tr>
        <w:trPr>
          <w:trHeight w:val="243"/>
        </w:trPr>
        <w:tc>
          <w:tcPr>
            <w:tcW w:w="2500" w:type="dxa"/>
            <w:vAlign w:val="bottom"/>
            <w:shd w:val="clear" w:color="auto" w:fill="D8E6F4"/>
          </w:tcPr>
          <w:p>
            <w:pPr>
              <w:ind w:left="10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Max Payne</w:t>
            </w:r>
          </w:p>
        </w:tc>
        <w:tc>
          <w:tcPr>
            <w:tcW w:w="580" w:type="dxa"/>
            <w:vAlign w:val="bottom"/>
          </w:tcPr>
          <w:p>
            <w:pPr>
              <w:spacing w:after="0"/>
              <w:rPr>
                <w:sz w:val="21"/>
                <w:szCs w:val="21"/>
                <w:color w:val="auto"/>
              </w:rPr>
            </w:pPr>
          </w:p>
        </w:tc>
        <w:tc>
          <w:tcPr>
            <w:tcW w:w="4640" w:type="dxa"/>
            <w:vAlign w:val="bottom"/>
            <w:shd w:val="clear" w:color="auto" w:fill="D8E6F4"/>
          </w:tcPr>
          <w:p>
            <w:pPr>
              <w:ind w:left="22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BioShock</w:t>
            </w:r>
          </w:p>
        </w:tc>
      </w:tr>
      <w:tr>
        <w:trPr>
          <w:trHeight w:val="243"/>
        </w:trPr>
        <w:tc>
          <w:tcPr>
            <w:tcW w:w="2500" w:type="dxa"/>
            <w:vAlign w:val="bottom"/>
            <w:shd w:val="clear" w:color="auto" w:fill="D8E6F4"/>
          </w:tcPr>
          <w:p>
            <w:pPr>
              <w:ind w:left="10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Midnight Club</w:t>
            </w:r>
          </w:p>
        </w:tc>
        <w:tc>
          <w:tcPr>
            <w:tcW w:w="580" w:type="dxa"/>
            <w:vAlign w:val="bottom"/>
          </w:tcPr>
          <w:p>
            <w:pPr>
              <w:spacing w:after="0"/>
              <w:rPr>
                <w:sz w:val="21"/>
                <w:szCs w:val="21"/>
                <w:color w:val="auto"/>
              </w:rPr>
            </w:pPr>
          </w:p>
        </w:tc>
        <w:tc>
          <w:tcPr>
            <w:tcW w:w="4640" w:type="dxa"/>
            <w:vAlign w:val="bottom"/>
            <w:shd w:val="clear" w:color="auto" w:fill="D8E6F4"/>
          </w:tcPr>
          <w:p>
            <w:pPr>
              <w:ind w:left="22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Mafia</w:t>
            </w:r>
          </w:p>
        </w:tc>
      </w:tr>
      <w:tr>
        <w:trPr>
          <w:trHeight w:val="243"/>
        </w:trPr>
        <w:tc>
          <w:tcPr>
            <w:tcW w:w="2500" w:type="dxa"/>
            <w:vAlign w:val="bottom"/>
            <w:shd w:val="clear" w:color="auto" w:fill="D8E6F4"/>
          </w:tcPr>
          <w:p>
            <w:pPr>
              <w:spacing w:after="0"/>
              <w:rPr>
                <w:sz w:val="21"/>
                <w:szCs w:val="21"/>
                <w:color w:val="auto"/>
              </w:rPr>
            </w:pPr>
          </w:p>
        </w:tc>
        <w:tc>
          <w:tcPr>
            <w:tcW w:w="580" w:type="dxa"/>
            <w:vAlign w:val="bottom"/>
          </w:tcPr>
          <w:p>
            <w:pPr>
              <w:spacing w:after="0"/>
              <w:rPr>
                <w:sz w:val="21"/>
                <w:szCs w:val="21"/>
                <w:color w:val="auto"/>
              </w:rPr>
            </w:pPr>
          </w:p>
        </w:tc>
        <w:tc>
          <w:tcPr>
            <w:tcW w:w="4640" w:type="dxa"/>
            <w:vAlign w:val="bottom"/>
            <w:shd w:val="clear" w:color="auto" w:fill="D8E6F4"/>
          </w:tcPr>
          <w:p>
            <w:pPr>
              <w:ind w:left="22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Sid Meier’s Civilization</w:t>
            </w:r>
          </w:p>
        </w:tc>
      </w:tr>
      <w:tr>
        <w:trPr>
          <w:trHeight w:val="254"/>
        </w:trPr>
        <w:tc>
          <w:tcPr>
            <w:tcW w:w="2500" w:type="dxa"/>
            <w:vAlign w:val="bottom"/>
            <w:shd w:val="clear" w:color="auto" w:fill="D8E6F4"/>
          </w:tcPr>
          <w:p>
            <w:pPr>
              <w:spacing w:after="0"/>
              <w:rPr>
                <w:sz w:val="22"/>
                <w:szCs w:val="22"/>
                <w:color w:val="auto"/>
              </w:rPr>
            </w:pPr>
          </w:p>
        </w:tc>
        <w:tc>
          <w:tcPr>
            <w:tcW w:w="580" w:type="dxa"/>
            <w:vAlign w:val="bottom"/>
          </w:tcPr>
          <w:p>
            <w:pPr>
              <w:spacing w:after="0"/>
              <w:rPr>
                <w:sz w:val="22"/>
                <w:szCs w:val="22"/>
                <w:color w:val="auto"/>
              </w:rPr>
            </w:pPr>
          </w:p>
        </w:tc>
        <w:tc>
          <w:tcPr>
            <w:tcW w:w="4640" w:type="dxa"/>
            <w:vAlign w:val="bottom"/>
            <w:shd w:val="clear" w:color="auto" w:fill="D8E6F4"/>
          </w:tcPr>
          <w:p>
            <w:pPr>
              <w:ind w:left="22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WWE 2K</w:t>
            </w:r>
          </w:p>
        </w:tc>
      </w:tr>
      <w:tr>
        <w:trPr>
          <w:trHeight w:val="83"/>
        </w:trPr>
        <w:tc>
          <w:tcPr>
            <w:tcW w:w="2500" w:type="dxa"/>
            <w:vAlign w:val="bottom"/>
            <w:shd w:val="clear" w:color="auto" w:fill="D8E6F4"/>
          </w:tcPr>
          <w:p>
            <w:pPr>
              <w:spacing w:after="0"/>
              <w:rPr>
                <w:sz w:val="7"/>
                <w:szCs w:val="7"/>
                <w:color w:val="auto"/>
              </w:rPr>
            </w:pPr>
          </w:p>
        </w:tc>
        <w:tc>
          <w:tcPr>
            <w:tcW w:w="580" w:type="dxa"/>
            <w:vAlign w:val="bottom"/>
          </w:tcPr>
          <w:p>
            <w:pPr>
              <w:spacing w:after="0"/>
              <w:rPr>
                <w:sz w:val="7"/>
                <w:szCs w:val="7"/>
                <w:color w:val="auto"/>
              </w:rPr>
            </w:pPr>
          </w:p>
        </w:tc>
        <w:tc>
          <w:tcPr>
            <w:tcW w:w="4640" w:type="dxa"/>
            <w:vAlign w:val="bottom"/>
            <w:shd w:val="clear" w:color="auto" w:fill="D8E6F4"/>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-745490</wp:posOffset>
            </wp:positionV>
            <wp:extent cx="497205" cy="3340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7205" cy="33401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154305</wp:posOffset>
            </wp:positionV>
            <wp:extent cx="1388745" cy="6089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88745" cy="608965"/>
                    </a:xfrm>
                    <a:prstGeom prst="rect">
                      <a:avLst/>
                    </a:prstGeom>
                    <a:noFill/>
                  </pic:spPr>
                </pic:pic>
              </a:graphicData>
            </a:graphic>
          </wp:anchor>
        </w:drawing>
      </w:r>
    </w:p>
    <w:p>
      <w:pPr>
        <w:spacing w:after="0" w:line="223" w:lineRule="exact"/>
        <w:rPr>
          <w:sz w:val="20"/>
          <w:szCs w:val="20"/>
          <w:color w:val="auto"/>
        </w:rPr>
      </w:pPr>
    </w:p>
    <w:tbl>
      <w:tblPr>
        <w:tblLayout w:type="fixed"/>
        <w:tblInd w:w="2860" w:type="dxa"/>
        <w:tblCellMar>
          <w:top w:w="0" w:type="dxa"/>
          <w:left w:w="0" w:type="dxa"/>
          <w:bottom w:w="0" w:type="dxa"/>
          <w:right w:w="0" w:type="dxa"/>
        </w:tblCellMar>
      </w:tblPr>
      <w:tr>
        <w:trPr>
          <w:trHeight w:val="264"/>
        </w:trPr>
        <w:tc>
          <w:tcPr>
            <w:tcW w:w="2500" w:type="dxa"/>
            <w:vAlign w:val="bottom"/>
            <w:shd w:val="clear" w:color="auto" w:fill="D8E6F4"/>
          </w:tcPr>
          <w:p>
            <w:pPr>
              <w:ind w:left="100"/>
              <w:spacing w:after="0"/>
              <w:rPr>
                <w:sz w:val="20"/>
                <w:szCs w:val="20"/>
                <w:color w:val="auto"/>
              </w:rPr>
            </w:pPr>
            <w:r>
              <w:rPr>
                <w:rFonts w:ascii="Arial" w:cs="Arial" w:eastAsia="Arial" w:hAnsi="Arial"/>
                <w:sz w:val="16"/>
                <w:szCs w:val="16"/>
                <w:b w:val="1"/>
                <w:bCs w:val="1"/>
                <w:color w:val="auto"/>
              </w:rPr>
              <w:t>Top Sellers Include:</w:t>
            </w:r>
          </w:p>
        </w:tc>
        <w:tc>
          <w:tcPr>
            <w:tcW w:w="580" w:type="dxa"/>
            <w:vAlign w:val="bottom"/>
          </w:tcPr>
          <w:p>
            <w:pPr>
              <w:spacing w:after="0"/>
              <w:rPr>
                <w:sz w:val="22"/>
                <w:szCs w:val="22"/>
                <w:color w:val="auto"/>
              </w:rPr>
            </w:pPr>
          </w:p>
        </w:tc>
        <w:tc>
          <w:tcPr>
            <w:tcW w:w="4640" w:type="dxa"/>
            <w:vAlign w:val="bottom"/>
            <w:shd w:val="clear" w:color="auto" w:fill="D8E6F4"/>
          </w:tcPr>
          <w:p>
            <w:pPr>
              <w:ind w:left="2260"/>
              <w:spacing w:after="0"/>
              <w:rPr>
                <w:sz w:val="20"/>
                <w:szCs w:val="20"/>
                <w:color w:val="auto"/>
              </w:rPr>
            </w:pPr>
            <w:r>
              <w:rPr>
                <w:rFonts w:ascii="Arial" w:cs="Arial" w:eastAsia="Arial" w:hAnsi="Arial"/>
                <w:sz w:val="16"/>
                <w:szCs w:val="16"/>
                <w:b w:val="1"/>
                <w:bCs w:val="1"/>
                <w:color w:val="auto"/>
              </w:rPr>
              <w:t>Top Sellers Include:</w:t>
            </w:r>
          </w:p>
        </w:tc>
      </w:tr>
      <w:tr>
        <w:trPr>
          <w:trHeight w:val="317"/>
        </w:trPr>
        <w:tc>
          <w:tcPr>
            <w:tcW w:w="2500" w:type="dxa"/>
            <w:vAlign w:val="bottom"/>
            <w:shd w:val="clear" w:color="auto" w:fill="D8E6F4"/>
          </w:tcPr>
          <w:p>
            <w:pPr>
              <w:ind w:left="10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The Outer Worlds</w:t>
            </w:r>
          </w:p>
        </w:tc>
        <w:tc>
          <w:tcPr>
            <w:tcW w:w="580" w:type="dxa"/>
            <w:vAlign w:val="bottom"/>
          </w:tcPr>
          <w:p>
            <w:pPr>
              <w:spacing w:after="0"/>
              <w:rPr>
                <w:sz w:val="24"/>
                <w:szCs w:val="24"/>
                <w:color w:val="auto"/>
              </w:rPr>
            </w:pPr>
          </w:p>
        </w:tc>
        <w:tc>
          <w:tcPr>
            <w:tcW w:w="4640" w:type="dxa"/>
            <w:vAlign w:val="bottom"/>
            <w:shd w:val="clear" w:color="auto" w:fill="D8E6F4"/>
          </w:tcPr>
          <w:p>
            <w:pPr>
              <w:ind w:left="22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Dragon City</w:t>
            </w:r>
          </w:p>
        </w:tc>
      </w:tr>
      <w:tr>
        <w:trPr>
          <w:trHeight w:val="254"/>
        </w:trPr>
        <w:tc>
          <w:tcPr>
            <w:tcW w:w="2500" w:type="dxa"/>
            <w:vAlign w:val="bottom"/>
            <w:shd w:val="clear" w:color="auto" w:fill="D8E6F4"/>
          </w:tcPr>
          <w:p>
            <w:pPr>
              <w:ind w:left="10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Kerbal Space Program</w:t>
            </w:r>
          </w:p>
        </w:tc>
        <w:tc>
          <w:tcPr>
            <w:tcW w:w="580" w:type="dxa"/>
            <w:vAlign w:val="bottom"/>
          </w:tcPr>
          <w:p>
            <w:pPr>
              <w:spacing w:after="0"/>
              <w:rPr>
                <w:sz w:val="22"/>
                <w:szCs w:val="22"/>
                <w:color w:val="auto"/>
              </w:rPr>
            </w:pPr>
          </w:p>
        </w:tc>
        <w:tc>
          <w:tcPr>
            <w:tcW w:w="4640" w:type="dxa"/>
            <w:vAlign w:val="bottom"/>
            <w:shd w:val="clear" w:color="auto" w:fill="D8E6F4"/>
          </w:tcPr>
          <w:p>
            <w:pPr>
              <w:ind w:left="2260"/>
              <w:spacing w:after="0" w:line="184" w:lineRule="exact"/>
              <w:rPr>
                <w:sz w:val="20"/>
                <w:szCs w:val="20"/>
                <w:color w:val="auto"/>
              </w:rPr>
            </w:pPr>
            <w:r>
              <w:rPr>
                <w:rFonts w:ascii="MS PGothic" w:cs="MS PGothic" w:eastAsia="MS PGothic" w:hAnsi="MS PGothic"/>
                <w:sz w:val="16"/>
                <w:szCs w:val="16"/>
                <w:color w:val="005CB9"/>
              </w:rPr>
              <w:t>✓</w:t>
            </w:r>
            <w:r>
              <w:rPr>
                <w:rFonts w:ascii="Arial" w:cs="Arial" w:eastAsia="Arial" w:hAnsi="Arial"/>
                <w:sz w:val="16"/>
                <w:szCs w:val="16"/>
                <w:color w:val="auto"/>
              </w:rPr>
              <w:t xml:space="preserve"> Monster Legends</w:t>
            </w:r>
          </w:p>
        </w:tc>
      </w:tr>
      <w:tr>
        <w:trPr>
          <w:trHeight w:val="123"/>
        </w:trPr>
        <w:tc>
          <w:tcPr>
            <w:tcW w:w="2500" w:type="dxa"/>
            <w:vAlign w:val="bottom"/>
            <w:shd w:val="clear" w:color="auto" w:fill="D8E6F4"/>
          </w:tcPr>
          <w:p>
            <w:pPr>
              <w:spacing w:after="0"/>
              <w:rPr>
                <w:sz w:val="10"/>
                <w:szCs w:val="10"/>
                <w:color w:val="auto"/>
              </w:rPr>
            </w:pPr>
          </w:p>
        </w:tc>
        <w:tc>
          <w:tcPr>
            <w:tcW w:w="580" w:type="dxa"/>
            <w:vAlign w:val="bottom"/>
          </w:tcPr>
          <w:p>
            <w:pPr>
              <w:spacing w:after="0"/>
              <w:rPr>
                <w:sz w:val="10"/>
                <w:szCs w:val="10"/>
                <w:color w:val="auto"/>
              </w:rPr>
            </w:pPr>
          </w:p>
        </w:tc>
        <w:tc>
          <w:tcPr>
            <w:tcW w:w="4640" w:type="dxa"/>
            <w:vAlign w:val="bottom"/>
            <w:shd w:val="clear" w:color="auto" w:fill="D8E6F4"/>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-479425</wp:posOffset>
            </wp:positionV>
            <wp:extent cx="506095" cy="394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6095" cy="394335"/>
                    </a:xfrm>
                    <a:prstGeom prst="rect">
                      <a:avLst/>
                    </a:prstGeom>
                    <a:noFill/>
                  </pic:spPr>
                </pic:pic>
              </a:graphicData>
            </a:graphic>
          </wp:anchor>
        </w:drawing>
      </w:r>
    </w:p>
    <w:p>
      <w:pPr>
        <w:spacing w:after="0" w:line="198" w:lineRule="exact"/>
        <w:rPr>
          <w:sz w:val="20"/>
          <w:szCs w:val="20"/>
          <w:color w:val="auto"/>
        </w:rPr>
      </w:pPr>
    </w:p>
    <w:p>
      <w:pPr>
        <w:ind w:left="660" w:right="80"/>
        <w:spacing w:after="0" w:line="251" w:lineRule="auto"/>
        <w:rPr>
          <w:sz w:val="20"/>
          <w:szCs w:val="20"/>
          <w:color w:val="auto"/>
        </w:rPr>
      </w:pPr>
      <w:r>
        <w:rPr>
          <w:rFonts w:ascii="Arial" w:cs="Arial" w:eastAsia="Arial" w:hAnsi="Arial"/>
          <w:sz w:val="16"/>
          <w:szCs w:val="16"/>
          <w:color w:val="auto"/>
        </w:rPr>
        <w:t>We generate financial returns for our shareholders by pursuing a strategy of capitalizing on the widespread popularity of interactive entertainment and by focusing on publishing a select number of high quality titles for which we can create sequels and build successful franchises. We also seek to complement our core release schedule with digitally delivered offerings designed to drive recurrent consumer spending, including virtual currency, add-on content, and in-game purchases.</w:t>
      </w:r>
    </w:p>
    <w:p>
      <w:pPr>
        <w:spacing w:after="0" w:line="202" w:lineRule="exact"/>
        <w:rPr>
          <w:sz w:val="20"/>
          <w:szCs w:val="20"/>
          <w:color w:val="auto"/>
        </w:rPr>
      </w:pPr>
    </w:p>
    <w:p>
      <w:pPr>
        <w:ind w:left="660" w:right="80"/>
        <w:spacing w:after="0" w:line="251" w:lineRule="auto"/>
        <w:rPr>
          <w:sz w:val="20"/>
          <w:szCs w:val="20"/>
          <w:color w:val="auto"/>
        </w:rPr>
      </w:pPr>
      <w:r>
        <w:rPr>
          <w:rFonts w:ascii="Arial" w:cs="Arial" w:eastAsia="Arial" w:hAnsi="Arial"/>
          <w:sz w:val="16"/>
          <w:szCs w:val="16"/>
          <w:color w:val="auto"/>
        </w:rPr>
        <w:t>Our management team and creative talent at Rockstar Games, 2K, Private Division, and Social Point, are essential to building and maintaining the strongest portfolio of intellectual property in the industry. Our compensation program is designed to reflect the importance of our creative talent, including through the use of equity awards to establish strong links between our creative teams and long-term value creation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273050</wp:posOffset>
            </wp:positionV>
            <wp:extent cx="291465"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21</w:t>
            </w:r>
          </w:p>
        </w:tc>
      </w:tr>
    </w:tbl>
    <w:p>
      <w:pPr>
        <w:sectPr>
          <w:pgSz w:w="11900" w:h="16838" w:orient="portrait"/>
          <w:cols w:equalWidth="0" w:num="1">
            <w:col w:w="10580"/>
          </w:cols>
          <w:pgMar w:left="320" w:top="459" w:right="9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Select Fiscal 2020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39" w:lineRule="exact"/>
        <w:rPr>
          <w:sz w:val="20"/>
          <w:szCs w:val="20"/>
          <w:color w:val="auto"/>
        </w:rPr>
      </w:pPr>
    </w:p>
    <w:p>
      <w:pPr>
        <w:ind w:left="660" w:right="180"/>
        <w:spacing w:after="0" w:line="260" w:lineRule="auto"/>
        <w:rPr>
          <w:sz w:val="20"/>
          <w:szCs w:val="20"/>
          <w:color w:val="auto"/>
        </w:rPr>
      </w:pPr>
      <w:r>
        <w:rPr>
          <w:rFonts w:ascii="Arial" w:cs="Arial" w:eastAsia="Arial" w:hAnsi="Arial"/>
          <w:sz w:val="16"/>
          <w:szCs w:val="16"/>
          <w:color w:val="auto"/>
        </w:rPr>
        <w:t>The Company delivered strong financial results in fiscal 2020 and continued to execute successfully on our strategy to capitalize on the popularity of video games by developing and publishing high-quality interactive entertainment experiences across a range of genres.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139700</wp:posOffset>
            </wp:positionV>
            <wp:extent cx="6292215" cy="6120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6120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Business Highlights</w:t>
      </w:r>
    </w:p>
    <w:p>
      <w:pPr>
        <w:spacing w:after="0" w:line="127" w:lineRule="exact"/>
        <w:rPr>
          <w:sz w:val="20"/>
          <w:szCs w:val="20"/>
          <w:color w:val="auto"/>
        </w:rPr>
      </w:pPr>
    </w:p>
    <w:p>
      <w:pPr>
        <w:ind w:left="1360" w:right="160" w:hanging="288"/>
        <w:spacing w:after="0" w:line="250" w:lineRule="auto"/>
        <w:tabs>
          <w:tab w:leader="none" w:pos="1360" w:val="left"/>
        </w:tabs>
        <w:numPr>
          <w:ilvl w:val="0"/>
          <w:numId w:val="34"/>
        </w:numPr>
        <w:rPr>
          <w:rFonts w:ascii="Arial" w:cs="Arial" w:eastAsia="Arial" w:hAnsi="Arial"/>
          <w:sz w:val="16"/>
          <w:szCs w:val="16"/>
          <w:color w:val="005CB9"/>
        </w:rPr>
      </w:pPr>
      <w:r>
        <w:rPr>
          <w:rFonts w:ascii="Arial" w:cs="Arial" w:eastAsia="Arial" w:hAnsi="Arial"/>
          <w:sz w:val="16"/>
          <w:szCs w:val="16"/>
          <w:color w:val="auto"/>
        </w:rPr>
        <w:t>Delivered record Net Revenue of $3.09 billion, Net Income of $404.5 million, Net Bookings of $2.99 billion, including digitally-delivered Net Bookings of $2.44 billion and Net Bookings from recurrent consumer spending, which grew 34% and accounted for 51% of total Net Bookings. Net Bookings is defined as the net amount of products and services sold digitally or sold-in physically during the period, and includes licensing fees, merchandise, in-game advertising, strategy guides and publisher incentives;</w:t>
      </w:r>
    </w:p>
    <w:p>
      <w:pPr>
        <w:spacing w:after="0" w:line="92" w:lineRule="exact"/>
        <w:rPr>
          <w:rFonts w:ascii="Arial" w:cs="Arial" w:eastAsia="Arial" w:hAnsi="Arial"/>
          <w:sz w:val="16"/>
          <w:szCs w:val="16"/>
          <w:color w:val="005CB9"/>
        </w:rPr>
      </w:pPr>
    </w:p>
    <w:p>
      <w:pPr>
        <w:ind w:left="1360" w:right="40" w:hanging="288"/>
        <w:spacing w:after="0" w:line="263" w:lineRule="auto"/>
        <w:tabs>
          <w:tab w:leader="none" w:pos="1360" w:val="left"/>
        </w:tabs>
        <w:numPr>
          <w:ilvl w:val="0"/>
          <w:numId w:val="34"/>
        </w:numPr>
        <w:rPr>
          <w:rFonts w:ascii="Arial" w:cs="Arial" w:eastAsia="Arial" w:hAnsi="Arial"/>
          <w:sz w:val="16"/>
          <w:szCs w:val="16"/>
          <w:color w:val="005CB9"/>
        </w:rPr>
      </w:pPr>
      <w:r>
        <w:rPr>
          <w:rFonts w:ascii="Arial" w:cs="Arial" w:eastAsia="Arial" w:hAnsi="Arial"/>
          <w:sz w:val="16"/>
          <w:szCs w:val="16"/>
          <w:color w:val="auto"/>
        </w:rPr>
        <w:t xml:space="preserve">Launched </w:t>
      </w:r>
      <w:r>
        <w:rPr>
          <w:rFonts w:ascii="Arial" w:cs="Arial" w:eastAsia="Arial" w:hAnsi="Arial"/>
          <w:sz w:val="16"/>
          <w:szCs w:val="16"/>
          <w:i w:val="1"/>
          <w:iCs w:val="1"/>
          <w:color w:val="auto"/>
        </w:rPr>
        <w:t>NBA 2K20</w:t>
      </w:r>
      <w:r>
        <w:rPr>
          <w:rFonts w:ascii="Arial" w:cs="Arial" w:eastAsia="Arial" w:hAnsi="Arial"/>
          <w:sz w:val="16"/>
          <w:szCs w:val="16"/>
          <w:color w:val="auto"/>
        </w:rPr>
        <w:t xml:space="preserve">, which continued to build on the Company’s industry-leading basketball series’ track record of annual growth. To date, </w:t>
      </w:r>
      <w:r>
        <w:rPr>
          <w:rFonts w:ascii="Arial" w:cs="Arial" w:eastAsia="Arial" w:hAnsi="Arial"/>
          <w:sz w:val="16"/>
          <w:szCs w:val="16"/>
          <w:i w:val="1"/>
          <w:iCs w:val="1"/>
          <w:color w:val="auto"/>
        </w:rPr>
        <w:t>NBA 2K20</w:t>
      </w:r>
      <w:r>
        <w:rPr>
          <w:rFonts w:ascii="Arial" w:cs="Arial" w:eastAsia="Arial" w:hAnsi="Arial"/>
          <w:sz w:val="16"/>
          <w:szCs w:val="16"/>
          <w:color w:val="auto"/>
        </w:rPr>
        <w:t xml:space="preserve"> has sold-in more than 12 million units and we expect that lifetime Net Bookings from </w:t>
      </w:r>
      <w:r>
        <w:rPr>
          <w:rFonts w:ascii="Arial" w:cs="Arial" w:eastAsia="Arial" w:hAnsi="Arial"/>
          <w:sz w:val="16"/>
          <w:szCs w:val="16"/>
          <w:i w:val="1"/>
          <w:iCs w:val="1"/>
          <w:color w:val="auto"/>
        </w:rPr>
        <w:t>NBA 2K20</w:t>
      </w:r>
      <w:r>
        <w:rPr>
          <w:rFonts w:ascii="Arial" w:cs="Arial" w:eastAsia="Arial" w:hAnsi="Arial"/>
          <w:sz w:val="16"/>
          <w:szCs w:val="16"/>
          <w:color w:val="auto"/>
        </w:rPr>
        <w:t xml:space="preserve"> will be the highest ever for a 2K sports title;</w:t>
      </w:r>
    </w:p>
    <w:p>
      <w:pPr>
        <w:spacing w:after="0" w:line="83" w:lineRule="exact"/>
        <w:rPr>
          <w:rFonts w:ascii="Arial" w:cs="Arial" w:eastAsia="Arial" w:hAnsi="Arial"/>
          <w:sz w:val="16"/>
          <w:szCs w:val="16"/>
          <w:color w:val="005CB9"/>
        </w:rPr>
      </w:pPr>
    </w:p>
    <w:p>
      <w:pPr>
        <w:ind w:left="1360" w:right="220" w:hanging="288"/>
        <w:spacing w:after="0" w:line="258" w:lineRule="auto"/>
        <w:tabs>
          <w:tab w:leader="none" w:pos="1360" w:val="left"/>
        </w:tabs>
        <w:numPr>
          <w:ilvl w:val="0"/>
          <w:numId w:val="34"/>
        </w:numPr>
        <w:rPr>
          <w:rFonts w:ascii="Arial" w:cs="Arial" w:eastAsia="Arial" w:hAnsi="Arial"/>
          <w:sz w:val="16"/>
          <w:szCs w:val="16"/>
          <w:color w:val="005CB9"/>
        </w:rPr>
      </w:pPr>
      <w:r>
        <w:rPr>
          <w:rFonts w:ascii="Arial" w:cs="Arial" w:eastAsia="Arial" w:hAnsi="Arial"/>
          <w:sz w:val="16"/>
          <w:szCs w:val="16"/>
          <w:i w:val="1"/>
          <w:iCs w:val="1"/>
          <w:color w:val="auto"/>
        </w:rPr>
        <w:t xml:space="preserve">Grand Theft Auto Online </w:t>
      </w:r>
      <w:r>
        <w:rPr>
          <w:rFonts w:ascii="Arial" w:cs="Arial" w:eastAsia="Arial" w:hAnsi="Arial"/>
          <w:sz w:val="16"/>
          <w:szCs w:val="16"/>
          <w:color w:val="auto"/>
        </w:rPr>
        <w:t>and</w:t>
      </w:r>
      <w:r>
        <w:rPr>
          <w:rFonts w:ascii="Arial" w:cs="Arial" w:eastAsia="Arial" w:hAnsi="Arial"/>
          <w:sz w:val="16"/>
          <w:szCs w:val="16"/>
          <w:i w:val="1"/>
          <w:iCs w:val="1"/>
          <w:color w:val="auto"/>
        </w:rPr>
        <w:t xml:space="preserve"> Grand Theft Auto V </w:t>
      </w:r>
      <w:r>
        <w:rPr>
          <w:rFonts w:ascii="Arial" w:cs="Arial" w:eastAsia="Arial" w:hAnsi="Arial"/>
          <w:sz w:val="16"/>
          <w:szCs w:val="16"/>
          <w:color w:val="auto"/>
        </w:rPr>
        <w:t>continued to be significant contributors to our results.</w:t>
      </w:r>
      <w:r>
        <w:rPr>
          <w:rFonts w:ascii="Arial" w:cs="Arial" w:eastAsia="Arial" w:hAnsi="Arial"/>
          <w:sz w:val="16"/>
          <w:szCs w:val="16"/>
          <w:i w:val="1"/>
          <w:iCs w:val="1"/>
          <w:color w:val="auto"/>
        </w:rPr>
        <w:t xml:space="preserve"> Grand Theft Auto Online </w:t>
      </w:r>
      <w:r>
        <w:rPr>
          <w:rFonts w:ascii="Arial" w:cs="Arial" w:eastAsia="Arial" w:hAnsi="Arial"/>
          <w:sz w:val="16"/>
          <w:szCs w:val="16"/>
          <w:color w:val="auto"/>
        </w:rPr>
        <w:t>delivered record recurrent consumer spending and was up 40% over fiscal 2019.</w:t>
      </w:r>
      <w:r>
        <w:rPr>
          <w:rFonts w:ascii="Arial" w:cs="Arial" w:eastAsia="Arial" w:hAnsi="Arial"/>
          <w:sz w:val="16"/>
          <w:szCs w:val="16"/>
          <w:i w:val="1"/>
          <w:iCs w:val="1"/>
          <w:color w:val="auto"/>
        </w:rPr>
        <w:t xml:space="preserve"> Grand Theft Auto V </w:t>
      </w:r>
      <w:r>
        <w:rPr>
          <w:rFonts w:ascii="Arial" w:cs="Arial" w:eastAsia="Arial" w:hAnsi="Arial"/>
          <w:sz w:val="16"/>
          <w:szCs w:val="16"/>
          <w:color w:val="auto"/>
        </w:rPr>
        <w:t>has now sold-in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over 130 million units worldwide. According to the NPD Group,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was the best-selling game of the past decade in the U.S., based on both units and dollar sales;</w:t>
      </w:r>
    </w:p>
    <w:p>
      <w:pPr>
        <w:spacing w:after="0" w:line="86" w:lineRule="exact"/>
        <w:rPr>
          <w:rFonts w:ascii="Arial" w:cs="Arial" w:eastAsia="Arial" w:hAnsi="Arial"/>
          <w:sz w:val="16"/>
          <w:szCs w:val="16"/>
          <w:color w:val="005CB9"/>
        </w:rPr>
      </w:pPr>
    </w:p>
    <w:p>
      <w:pPr>
        <w:ind w:left="1360" w:hanging="288"/>
        <w:spacing w:after="0" w:line="281" w:lineRule="auto"/>
        <w:tabs>
          <w:tab w:leader="none" w:pos="1360" w:val="left"/>
        </w:tabs>
        <w:numPr>
          <w:ilvl w:val="0"/>
          <w:numId w:val="34"/>
        </w:numPr>
        <w:rPr>
          <w:rFonts w:ascii="Arial" w:cs="Arial" w:eastAsia="Arial" w:hAnsi="Arial"/>
          <w:sz w:val="16"/>
          <w:szCs w:val="16"/>
          <w:color w:val="005CB9"/>
        </w:rPr>
      </w:pPr>
      <w:r>
        <w:rPr>
          <w:rFonts w:ascii="Arial" w:cs="Arial" w:eastAsia="Arial" w:hAnsi="Arial"/>
          <w:sz w:val="16"/>
          <w:szCs w:val="16"/>
          <w:color w:val="auto"/>
        </w:rPr>
        <w:t xml:space="preserve">Launched </w:t>
      </w:r>
      <w:r>
        <w:rPr>
          <w:rFonts w:ascii="Arial" w:cs="Arial" w:eastAsia="Arial" w:hAnsi="Arial"/>
          <w:sz w:val="16"/>
          <w:szCs w:val="16"/>
          <w:i w:val="1"/>
          <w:iCs w:val="1"/>
          <w:color w:val="auto"/>
        </w:rPr>
        <w:t>Borderlands 3</w:t>
      </w:r>
      <w:r>
        <w:rPr>
          <w:rFonts w:ascii="Arial" w:cs="Arial" w:eastAsia="Arial" w:hAnsi="Arial"/>
          <w:sz w:val="16"/>
          <w:szCs w:val="16"/>
          <w:color w:val="auto"/>
        </w:rPr>
        <w:t xml:space="preserve">, which received critical acclaim and has sold-in over 10 million units, up 50% over </w:t>
      </w:r>
      <w:r>
        <w:rPr>
          <w:rFonts w:ascii="Arial" w:cs="Arial" w:eastAsia="Arial" w:hAnsi="Arial"/>
          <w:sz w:val="16"/>
          <w:szCs w:val="16"/>
          <w:i w:val="1"/>
          <w:iCs w:val="1"/>
          <w:color w:val="auto"/>
        </w:rPr>
        <w:t>Borderlands 2</w:t>
      </w:r>
      <w:r>
        <w:rPr>
          <w:rFonts w:ascii="Arial" w:cs="Arial" w:eastAsia="Arial" w:hAnsi="Arial"/>
          <w:sz w:val="16"/>
          <w:szCs w:val="16"/>
          <w:color w:val="auto"/>
        </w:rPr>
        <w:t xml:space="preserve"> in the same period. We expect lifetime units from </w:t>
      </w:r>
      <w:r>
        <w:rPr>
          <w:rFonts w:ascii="Arial" w:cs="Arial" w:eastAsia="Arial" w:hAnsi="Arial"/>
          <w:sz w:val="16"/>
          <w:szCs w:val="16"/>
          <w:i w:val="1"/>
          <w:iCs w:val="1"/>
          <w:color w:val="auto"/>
        </w:rPr>
        <w:t>Borderlands 3</w:t>
      </w:r>
      <w:r>
        <w:rPr>
          <w:rFonts w:ascii="Arial" w:cs="Arial" w:eastAsia="Arial" w:hAnsi="Arial"/>
          <w:sz w:val="16"/>
          <w:szCs w:val="16"/>
          <w:color w:val="auto"/>
        </w:rPr>
        <w:t xml:space="preserve"> to be a record for the series;</w:t>
      </w:r>
    </w:p>
    <w:p>
      <w:pPr>
        <w:spacing w:after="0" w:line="68" w:lineRule="exact"/>
        <w:rPr>
          <w:rFonts w:ascii="Arial" w:cs="Arial" w:eastAsia="Arial" w:hAnsi="Arial"/>
          <w:sz w:val="16"/>
          <w:szCs w:val="16"/>
          <w:color w:val="005CB9"/>
        </w:rPr>
      </w:pPr>
    </w:p>
    <w:p>
      <w:pPr>
        <w:ind w:left="1360" w:right="100" w:hanging="288"/>
        <w:spacing w:after="0" w:line="281" w:lineRule="auto"/>
        <w:tabs>
          <w:tab w:leader="none" w:pos="1360" w:val="left"/>
        </w:tabs>
        <w:numPr>
          <w:ilvl w:val="0"/>
          <w:numId w:val="34"/>
        </w:numPr>
        <w:rPr>
          <w:rFonts w:ascii="Arial" w:cs="Arial" w:eastAsia="Arial" w:hAnsi="Arial"/>
          <w:sz w:val="16"/>
          <w:szCs w:val="16"/>
          <w:color w:val="005CB9"/>
        </w:rPr>
      </w:pPr>
      <w:r>
        <w:rPr>
          <w:rFonts w:ascii="Arial" w:cs="Arial" w:eastAsia="Arial" w:hAnsi="Arial"/>
          <w:sz w:val="16"/>
          <w:szCs w:val="16"/>
          <w:color w:val="auto"/>
        </w:rPr>
        <w:t xml:space="preserve">Released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for PC. To date,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has sold-in more than 31 million units worldwide. According to the NDP Group, the title was the top title of the last four years based on U.S. dollar sales;</w:t>
      </w:r>
    </w:p>
    <w:p>
      <w:pPr>
        <w:spacing w:after="0" w:line="68" w:lineRule="exact"/>
        <w:rPr>
          <w:rFonts w:ascii="Arial" w:cs="Arial" w:eastAsia="Arial" w:hAnsi="Arial"/>
          <w:sz w:val="16"/>
          <w:szCs w:val="16"/>
          <w:color w:val="005CB9"/>
        </w:rPr>
      </w:pPr>
    </w:p>
    <w:p>
      <w:pPr>
        <w:ind w:left="1360" w:right="80" w:hanging="288"/>
        <w:spacing w:after="0" w:line="281" w:lineRule="auto"/>
        <w:tabs>
          <w:tab w:leader="none" w:pos="1360" w:val="left"/>
        </w:tabs>
        <w:numPr>
          <w:ilvl w:val="0"/>
          <w:numId w:val="34"/>
        </w:numPr>
        <w:rPr>
          <w:rFonts w:ascii="Arial" w:cs="Arial" w:eastAsia="Arial" w:hAnsi="Arial"/>
          <w:sz w:val="16"/>
          <w:szCs w:val="16"/>
          <w:color w:val="005CB9"/>
        </w:rPr>
      </w:pPr>
      <w:r>
        <w:rPr>
          <w:rFonts w:ascii="Arial" w:cs="Arial" w:eastAsia="Arial" w:hAnsi="Arial"/>
          <w:sz w:val="16"/>
          <w:szCs w:val="16"/>
          <w:color w:val="auto"/>
        </w:rPr>
        <w:t xml:space="preserve">Private Division launched two new games: </w:t>
      </w:r>
      <w:r>
        <w:rPr>
          <w:rFonts w:ascii="Arial" w:cs="Arial" w:eastAsia="Arial" w:hAnsi="Arial"/>
          <w:sz w:val="16"/>
          <w:szCs w:val="16"/>
          <w:i w:val="1"/>
          <w:iCs w:val="1"/>
          <w:color w:val="auto"/>
        </w:rPr>
        <w:t>Ancestors: The Humankind Odyssey</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Outer Worlds</w:t>
      </w:r>
      <w:r>
        <w:rPr>
          <w:rFonts w:ascii="Arial" w:cs="Arial" w:eastAsia="Arial" w:hAnsi="Arial"/>
          <w:sz w:val="16"/>
          <w:szCs w:val="16"/>
          <w:color w:val="auto"/>
        </w:rPr>
        <w:t xml:space="preserve">. </w:t>
      </w:r>
      <w:r>
        <w:rPr>
          <w:rFonts w:ascii="Arial" w:cs="Arial" w:eastAsia="Arial" w:hAnsi="Arial"/>
          <w:sz w:val="16"/>
          <w:szCs w:val="16"/>
          <w:i w:val="1"/>
          <w:iCs w:val="1"/>
          <w:color w:val="auto"/>
        </w:rPr>
        <w:t>The Outer Worlds</w:t>
      </w:r>
      <w:r>
        <w:rPr>
          <w:rFonts w:ascii="Arial" w:cs="Arial" w:eastAsia="Arial" w:hAnsi="Arial"/>
          <w:sz w:val="16"/>
          <w:szCs w:val="16"/>
          <w:color w:val="auto"/>
        </w:rPr>
        <w:t xml:space="preserve"> won more than 75 awards and has sold-in in over 2.5 million units to date; and</w:t>
      </w:r>
    </w:p>
    <w:p>
      <w:pPr>
        <w:spacing w:after="0" w:line="68" w:lineRule="exact"/>
        <w:rPr>
          <w:rFonts w:ascii="Arial" w:cs="Arial" w:eastAsia="Arial" w:hAnsi="Arial"/>
          <w:sz w:val="16"/>
          <w:szCs w:val="16"/>
          <w:color w:val="005CB9"/>
        </w:rPr>
      </w:pPr>
    </w:p>
    <w:p>
      <w:pPr>
        <w:ind w:left="1360" w:hanging="288"/>
        <w:spacing w:after="0" w:line="281" w:lineRule="auto"/>
        <w:tabs>
          <w:tab w:leader="none" w:pos="1360" w:val="left"/>
        </w:tabs>
        <w:numPr>
          <w:ilvl w:val="0"/>
          <w:numId w:val="34"/>
        </w:numPr>
        <w:rPr>
          <w:rFonts w:ascii="Arial" w:cs="Arial" w:eastAsia="Arial" w:hAnsi="Arial"/>
          <w:sz w:val="16"/>
          <w:szCs w:val="16"/>
          <w:color w:val="005CB9"/>
        </w:rPr>
      </w:pPr>
      <w:r>
        <w:rPr>
          <w:rFonts w:ascii="Arial" w:cs="Arial" w:eastAsia="Arial" w:hAnsi="Arial"/>
          <w:sz w:val="16"/>
          <w:szCs w:val="16"/>
          <w:color w:val="auto"/>
        </w:rPr>
        <w:t xml:space="preserve">The Company’s fiscal 2020 results were also enhanced by a variety of other offerings, led by </w:t>
      </w:r>
      <w:r>
        <w:rPr>
          <w:rFonts w:ascii="Arial" w:cs="Arial" w:eastAsia="Arial" w:hAnsi="Arial"/>
          <w:sz w:val="16"/>
          <w:szCs w:val="16"/>
          <w:i w:val="1"/>
          <w:iCs w:val="1"/>
          <w:color w:val="auto"/>
        </w:rPr>
        <w:t>NBA 2K19</w:t>
      </w:r>
      <w:r>
        <w:rPr>
          <w:rFonts w:ascii="Arial" w:cs="Arial" w:eastAsia="Arial" w:hAnsi="Arial"/>
          <w:sz w:val="16"/>
          <w:szCs w:val="16"/>
          <w:color w:val="auto"/>
        </w:rPr>
        <w:t xml:space="preserve">, </w:t>
      </w:r>
      <w:r>
        <w:rPr>
          <w:rFonts w:ascii="Arial" w:cs="Arial" w:eastAsia="Arial" w:hAnsi="Arial"/>
          <w:sz w:val="16"/>
          <w:szCs w:val="16"/>
          <w:i w:val="1"/>
          <w:iCs w:val="1"/>
          <w:color w:val="auto"/>
        </w:rPr>
        <w:t>Sid Meier’s Civilization</w:t>
      </w:r>
      <w:r>
        <w:rPr>
          <w:rFonts w:ascii="Arial" w:cs="Arial" w:eastAsia="Arial" w:hAnsi="Arial"/>
          <w:sz w:val="16"/>
          <w:szCs w:val="16"/>
          <w:color w:val="auto"/>
        </w:rPr>
        <w:t xml:space="preserve"> </w:t>
      </w:r>
      <w:r>
        <w:rPr>
          <w:rFonts w:ascii="Arial" w:cs="Arial" w:eastAsia="Arial" w:hAnsi="Arial"/>
          <w:sz w:val="16"/>
          <w:szCs w:val="16"/>
          <w:i w:val="1"/>
          <w:iCs w:val="1"/>
          <w:color w:val="auto"/>
        </w:rPr>
        <w:t>VI</w:t>
      </w:r>
      <w:r>
        <w:rPr>
          <w:rFonts w:ascii="Arial" w:cs="Arial" w:eastAsia="Arial" w:hAnsi="Arial"/>
          <w:sz w:val="16"/>
          <w:szCs w:val="16"/>
          <w:color w:val="auto"/>
        </w:rPr>
        <w:t>, Social Point’s mobile games, and the</w:t>
      </w:r>
      <w:r>
        <w:rPr>
          <w:rFonts w:ascii="Arial" w:cs="Arial" w:eastAsia="Arial" w:hAnsi="Arial"/>
          <w:sz w:val="16"/>
          <w:szCs w:val="16"/>
          <w:i w:val="1"/>
          <w:iCs w:val="1"/>
          <w:color w:val="auto"/>
        </w:rPr>
        <w:t xml:space="preserve"> WWE 2K </w:t>
      </w:r>
      <w:r>
        <w:rPr>
          <w:rFonts w:ascii="Arial" w:cs="Arial" w:eastAsia="Arial" w:hAnsi="Arial"/>
          <w:sz w:val="16"/>
          <w:szCs w:val="16"/>
          <w:color w:val="auto"/>
        </w:rPr>
        <w:t>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292735</wp:posOffset>
            </wp:positionV>
            <wp:extent cx="291465" cy="274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00"/>
          </w:cols>
          <w:pgMar w:left="320" w:top="459" w:right="10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Our strong financial performance in fiscal 2020 reflects the strategic steps management has taken the past several years to strengthen our balance sheet, grow and diversify the Company’s franchise portfolio, and reduce costs. The table below illustrates the Company’s cumulative total stockholder return over the last five years as compared to the NASDAQ composite index and other industry peers.</w:t>
      </w:r>
    </w:p>
    <w:p>
      <w:pPr>
        <w:spacing w:after="0" w:line="181" w:lineRule="exact"/>
        <w:rPr>
          <w:sz w:val="20"/>
          <w:szCs w:val="20"/>
          <w:color w:val="auto"/>
        </w:rPr>
      </w:pPr>
    </w:p>
    <w:p>
      <w:pPr>
        <w:jc w:val="center"/>
        <w:ind w:left="1000" w:right="1400"/>
        <w:spacing w:after="0" w:line="275" w:lineRule="auto"/>
        <w:rPr>
          <w:sz w:val="20"/>
          <w:szCs w:val="20"/>
          <w:color w:val="auto"/>
        </w:rPr>
      </w:pPr>
      <w:r>
        <w:rPr>
          <w:rFonts w:ascii="Arial" w:cs="Arial" w:eastAsia="Arial" w:hAnsi="Arial"/>
          <w:sz w:val="16"/>
          <w:szCs w:val="16"/>
          <w:b w:val="1"/>
          <w:bCs w:val="1"/>
          <w:u w:val="single" w:color="auto"/>
          <w:color w:val="auto"/>
        </w:rPr>
        <w:t>Comparison of 5 Year Cumulative Total Return* Among Take-Two Interactive Software, Inc., the NASDAQ Composite Index and a Peer Group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257810</wp:posOffset>
            </wp:positionV>
            <wp:extent cx="5288915" cy="22542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8891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60" w:right="40" w:hanging="291"/>
        <w:spacing w:after="0" w:line="258" w:lineRule="auto"/>
        <w:tabs>
          <w:tab w:leader="none" w:pos="9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graph and chart assume $100 was invested on March 31, 2015 in the applicable stock or index and that all dividends were reinvested. Peer Group consists of Activision Blizzard, Inc. and Electronic Arts Inc.</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Shareholder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right="180"/>
        <w:spacing w:after="0" w:line="250" w:lineRule="auto"/>
        <w:rPr>
          <w:sz w:val="20"/>
          <w:szCs w:val="20"/>
          <w:color w:val="auto"/>
        </w:rPr>
      </w:pPr>
      <w:r>
        <w:rPr>
          <w:rFonts w:ascii="Arial" w:cs="Arial" w:eastAsia="Arial" w:hAnsi="Arial"/>
          <w:sz w:val="16"/>
          <w:szCs w:val="16"/>
          <w:color w:val="auto"/>
        </w:rPr>
        <w:t>As part of our regular governance practices, the Compensation Committee evaluates our compensation programs in light of market conditions, shareholder views, and governance considerations, and makes changes as appropriate for our business. We value the feedback of our shareholders, as expressed through votes and direct communications, and annually submit our executive compensation programs to a non-binding shareholder advisory “say-on-pay” vote. At our Annual Meeting held in September 2019, our executive compensation program was approved by shareholders representing 94.8% of the votes cast on the proposal.</w:t>
      </w:r>
    </w:p>
    <w:p>
      <w:pPr>
        <w:spacing w:after="0" w:line="203"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color w:val="auto"/>
        </w:rPr>
        <w:t>To enhance our understanding of our shareholder’s perspectives, we maintain a regular shareholder outreach program, including making Take-Two’s management and Board of Directors available for discussions. In the months leading up to the filing of this Proxy Statement, we sought discussions with holders of over 69% of our outstanding shares (percentage based on the Company’s investors’ most recent filings at the time of outreach) and had discussions with a number of our top holders. Throughout these discussions, we sought shareholder feedback on a wide range of topics, including the ZelnickMedia management agreement, environmental, social and corporate governance (“</w:t>
      </w:r>
      <w:r>
        <w:rPr>
          <w:rFonts w:ascii="Arial" w:cs="Arial" w:eastAsia="Arial" w:hAnsi="Arial"/>
          <w:sz w:val="16"/>
          <w:szCs w:val="16"/>
          <w:i w:val="1"/>
          <w:iCs w:val="1"/>
          <w:color w:val="auto"/>
        </w:rPr>
        <w:t>ESG</w:t>
      </w:r>
      <w:r>
        <w:rPr>
          <w:rFonts w:ascii="Arial" w:cs="Arial" w:eastAsia="Arial" w:hAnsi="Arial"/>
          <w:sz w:val="16"/>
          <w:szCs w:val="16"/>
          <w:color w:val="auto"/>
        </w:rPr>
        <w:t>”) matters, and Board composition matters. Feedback from shareholders was generally positive on our compensation policies, ESG and Board composition matters, with some of our shareholders inquiring about the details of our management agreement with ZelnickMedia, our various governance policies, executive compensation, how we retain creative talent, and our policies on workplace diversity and sustainability.</w:t>
      </w:r>
    </w:p>
    <w:p>
      <w:pPr>
        <w:spacing w:after="0" w:line="206" w:lineRule="exact"/>
        <w:rPr>
          <w:sz w:val="20"/>
          <w:szCs w:val="20"/>
          <w:color w:val="auto"/>
        </w:rPr>
      </w:pPr>
    </w:p>
    <w:p>
      <w:pPr>
        <w:ind w:left="660" w:right="100"/>
        <w:spacing w:after="0" w:line="253" w:lineRule="auto"/>
        <w:rPr>
          <w:sz w:val="20"/>
          <w:szCs w:val="20"/>
          <w:color w:val="auto"/>
        </w:rPr>
      </w:pPr>
      <w:r>
        <w:rPr>
          <w:rFonts w:ascii="Arial" w:cs="Arial" w:eastAsia="Arial" w:hAnsi="Arial"/>
          <w:sz w:val="16"/>
          <w:szCs w:val="16"/>
          <w:color w:val="auto"/>
        </w:rPr>
        <w:t>The Company has shown responsiveness to investor concerns and evolving market practices, including eliminating the Adjusted EBITDA “catchup” metric in performance-based awards, adopting a relative TSR metric in the long-term incentive plan, and amending the Company’s bylaws to change the standard for uncontested director elections from a plurality voting standard to a majority vote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272415</wp:posOffset>
            </wp:positionV>
            <wp:extent cx="291465" cy="274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23</w:t>
            </w:r>
          </w:p>
        </w:tc>
      </w:tr>
    </w:tbl>
    <w:p>
      <w:pPr>
        <w:sectPr>
          <w:pgSz w:w="11900" w:h="16838" w:orient="portrait"/>
          <w:cols w:equalWidth="0" w:num="1">
            <w:col w:w="10580"/>
          </w:cols>
          <w:pgMar w:left="320" w:top="459" w:right="9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1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192"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auto"/>
        </w:rPr>
        <w:t>Also in response to shareholder feedback, we formed a management committee with respect to environmental, social and governance matters, which is overseen by the Corporate Governance Committee. The management committee evaluates and administers the Company’s environmental, social and governance efforts. We have also enhanced, and we intend to continue to enhance, our disclosure related to certain human capital and sustainability matters. See “Election of Directors (Proposal 1)—Corporate Governance and Board Matters—Environmental, Social and Governance Matters” for additional detail.</w:t>
      </w:r>
    </w:p>
    <w:p>
      <w:pPr>
        <w:spacing w:after="0" w:line="203"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Committee also negotiated a number of changes in the ZelnickMedia Management Agreement in our fiscal year ended March 31, 2014 as a result of shareholder feedback, as detailed under “ZelnickMedia Management Agreement” below. Based on the positive response from shareholders to these changes, we maintained them when we negotiated a new management agreement with ZelnickMedia in fiscal 2018, also as detailed under “ZelnickMedia Management Agreement” below.</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ZelnickMedia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Executive Chairman and CEO Strauss Zelnick and President Karl Slatoff serve as executives of the Company under a management services agreement with ZelnickMedia, a partnership of private equity investors that focuses on the media and communications industry, of which they are partners.</w:t>
      </w:r>
    </w:p>
    <w:p>
      <w:pPr>
        <w:spacing w:after="0" w:line="179"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On November 17, 2017, the Company and ZelnickMedia entered into a new management agreement (the “</w:t>
      </w:r>
      <w:r>
        <w:rPr>
          <w:rFonts w:ascii="Arial" w:cs="Arial" w:eastAsia="Arial" w:hAnsi="Arial"/>
          <w:sz w:val="16"/>
          <w:szCs w:val="16"/>
          <w:i w:val="1"/>
          <w:iCs w:val="1"/>
          <w:color w:val="auto"/>
        </w:rPr>
        <w:t>2017 Management Agreement</w:t>
      </w:r>
      <w:r>
        <w:rPr>
          <w:rFonts w:ascii="Arial" w:cs="Arial" w:eastAsia="Arial" w:hAnsi="Arial"/>
          <w:sz w:val="16"/>
          <w:szCs w:val="16"/>
          <w:color w:val="auto"/>
        </w:rPr>
        <w:t>”) that, effective on January 1, 2018, superseded the prior management agreement with ZelnickMedia (the “</w:t>
      </w:r>
      <w:r>
        <w:rPr>
          <w:rFonts w:ascii="Arial" w:cs="Arial" w:eastAsia="Arial" w:hAnsi="Arial"/>
          <w:sz w:val="16"/>
          <w:szCs w:val="16"/>
          <w:i w:val="1"/>
          <w:iCs w:val="1"/>
          <w:color w:val="auto"/>
        </w:rPr>
        <w:t>2014 Management Agreement</w:t>
      </w:r>
      <w:r>
        <w:rPr>
          <w:rFonts w:ascii="Arial" w:cs="Arial" w:eastAsia="Arial" w:hAnsi="Arial"/>
          <w:sz w:val="16"/>
          <w:szCs w:val="16"/>
          <w:color w:val="auto"/>
        </w:rPr>
        <w:t xml:space="preserve"> ”), under which ZelnickMedia will continue to provide management, consulting and executive level services to the Company through March 31, 2024. In response to feedback that the Board of Directors received from our shareholders and the increasing importance of revenue from recurrent consumer spending on the Company’s business, the 2017 Management Agreement includes a new operational metric based on growth in recurrent consumer spending as one of the performance criteria for performance-based equity. The 2017 Management Agreement includes the following features that were implemented to address feedback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6995160" cy="24860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2486025"/>
                    </a:xfrm>
                    <a:prstGeom prst="rect">
                      <a:avLst/>
                    </a:prstGeom>
                    <a:noFill/>
                  </pic:spPr>
                </pic:pic>
              </a:graphicData>
            </a:graphic>
          </wp:anchor>
        </w:drawing>
      </w:r>
    </w:p>
    <w:p>
      <w:pPr>
        <w:spacing w:after="0" w:line="109" w:lineRule="exact"/>
        <w:rPr>
          <w:sz w:val="20"/>
          <w:szCs w:val="20"/>
          <w:color w:val="auto"/>
        </w:rPr>
      </w:pPr>
    </w:p>
    <w:p>
      <w:pPr>
        <w:ind w:left="980" w:right="480" w:hanging="324"/>
        <w:spacing w:after="0" w:line="286" w:lineRule="auto"/>
        <w:tabs>
          <w:tab w:leader="none" w:pos="980" w:val="left"/>
        </w:tabs>
        <w:numPr>
          <w:ilvl w:val="0"/>
          <w:numId w:val="36"/>
        </w:numPr>
        <w:rPr>
          <w:rFonts w:ascii="Arial" w:cs="Arial" w:eastAsia="Arial" w:hAnsi="Arial"/>
          <w:sz w:val="16"/>
          <w:szCs w:val="16"/>
          <w:color w:val="005CB9"/>
        </w:rPr>
      </w:pPr>
      <w:r>
        <w:rPr>
          <w:rFonts w:ascii="Arial" w:cs="Arial" w:eastAsia="Arial" w:hAnsi="Arial"/>
          <w:sz w:val="16"/>
          <w:szCs w:val="16"/>
          <w:b w:val="1"/>
          <w:bCs w:val="1"/>
          <w:color w:val="auto"/>
        </w:rPr>
        <w:t xml:space="preserve">Increased disclosure. </w:t>
      </w:r>
      <w:r>
        <w:rPr>
          <w:rFonts w:ascii="Arial" w:cs="Arial" w:eastAsia="Arial" w:hAnsi="Arial"/>
          <w:sz w:val="16"/>
          <w:szCs w:val="16"/>
          <w:color w:val="auto"/>
        </w:rPr>
        <w:t>Enhanced disclosure to provide greater transparency, including the establishment of individual fee caps paid by</w:t>
      </w:r>
      <w:r>
        <w:rPr>
          <w:rFonts w:ascii="Arial" w:cs="Arial" w:eastAsia="Arial" w:hAnsi="Arial"/>
          <w:sz w:val="16"/>
          <w:szCs w:val="16"/>
          <w:b w:val="1"/>
          <w:bCs w:val="1"/>
          <w:color w:val="auto"/>
        </w:rPr>
        <w:t xml:space="preserve"> </w:t>
      </w:r>
      <w:r>
        <w:rPr>
          <w:rFonts w:ascii="Arial" w:cs="Arial" w:eastAsia="Arial" w:hAnsi="Arial"/>
          <w:sz w:val="16"/>
          <w:szCs w:val="16"/>
          <w:color w:val="auto"/>
        </w:rPr>
        <w:t>ZelnickMedia to Messrs. Zelnick and Slatoff for their services to Take-Two.</w:t>
      </w:r>
    </w:p>
    <w:p>
      <w:pPr>
        <w:spacing w:after="0" w:line="61" w:lineRule="exact"/>
        <w:rPr>
          <w:rFonts w:ascii="Arial" w:cs="Arial" w:eastAsia="Arial" w:hAnsi="Arial"/>
          <w:sz w:val="16"/>
          <w:szCs w:val="16"/>
          <w:color w:val="005CB9"/>
        </w:rPr>
      </w:pPr>
    </w:p>
    <w:p>
      <w:pPr>
        <w:ind w:left="980" w:hanging="324"/>
        <w:spacing w:after="0" w:line="259" w:lineRule="auto"/>
        <w:tabs>
          <w:tab w:leader="none" w:pos="980" w:val="left"/>
        </w:tabs>
        <w:numPr>
          <w:ilvl w:val="0"/>
          <w:numId w:val="36"/>
        </w:numPr>
        <w:rPr>
          <w:rFonts w:ascii="Arial" w:cs="Arial" w:eastAsia="Arial" w:hAnsi="Arial"/>
          <w:sz w:val="16"/>
          <w:szCs w:val="16"/>
          <w:color w:val="005CB9"/>
        </w:rPr>
      </w:pPr>
      <w:r>
        <w:rPr>
          <w:rFonts w:ascii="Arial" w:cs="Arial" w:eastAsia="Arial" w:hAnsi="Arial"/>
          <w:sz w:val="16"/>
          <w:szCs w:val="16"/>
          <w:b w:val="1"/>
          <w:bCs w:val="1"/>
          <w:color w:val="auto"/>
        </w:rPr>
        <w:t xml:space="preserve">Transitioned from a front-loaded equity grant to an annual grant structure. </w:t>
      </w:r>
      <w:r>
        <w:rPr>
          <w:rFonts w:ascii="Arial" w:cs="Arial" w:eastAsia="Arial" w:hAnsi="Arial"/>
          <w:sz w:val="16"/>
          <w:szCs w:val="16"/>
          <w:color w:val="auto"/>
        </w:rPr>
        <w:t>Previous ZelnickMedia management agreements included an</w:t>
      </w:r>
      <w:r>
        <w:rPr>
          <w:rFonts w:ascii="Arial" w:cs="Arial" w:eastAsia="Arial" w:hAnsi="Arial"/>
          <w:sz w:val="16"/>
          <w:szCs w:val="16"/>
          <w:b w:val="1"/>
          <w:bCs w:val="1"/>
          <w:color w:val="auto"/>
        </w:rPr>
        <w:t xml:space="preserve"> </w:t>
      </w:r>
      <w:r>
        <w:rPr>
          <w:rFonts w:ascii="Arial" w:cs="Arial" w:eastAsia="Arial" w:hAnsi="Arial"/>
          <w:sz w:val="16"/>
          <w:szCs w:val="16"/>
          <w:color w:val="auto"/>
        </w:rPr>
        <w:t>up-front equity grant at the commencement of the agreement. The 2017 Management Agreement has an annual equity grant structure, including an initial grant that was made on April 13, 2018 and the choice, in its discretion, for the Compensation Committee to grant additional annual equity awards in subsequent years. All annual equity awards to ZelnickMedia in 2018, 2019 and 2020, are described below.</w:t>
      </w:r>
    </w:p>
    <w:p>
      <w:pPr>
        <w:spacing w:after="0" w:line="83" w:lineRule="exact"/>
        <w:rPr>
          <w:rFonts w:ascii="Arial" w:cs="Arial" w:eastAsia="Arial" w:hAnsi="Arial"/>
          <w:sz w:val="16"/>
          <w:szCs w:val="16"/>
          <w:color w:val="005CB9"/>
        </w:rPr>
      </w:pPr>
    </w:p>
    <w:p>
      <w:pPr>
        <w:ind w:left="980" w:right="40" w:hanging="324"/>
        <w:spacing w:after="0" w:line="286" w:lineRule="auto"/>
        <w:tabs>
          <w:tab w:leader="none" w:pos="980" w:val="left"/>
        </w:tabs>
        <w:numPr>
          <w:ilvl w:val="0"/>
          <w:numId w:val="36"/>
        </w:numPr>
        <w:rPr>
          <w:rFonts w:ascii="Arial" w:cs="Arial" w:eastAsia="Arial" w:hAnsi="Arial"/>
          <w:sz w:val="16"/>
          <w:szCs w:val="16"/>
          <w:color w:val="005CB9"/>
        </w:rPr>
      </w:pPr>
      <w:r>
        <w:rPr>
          <w:rFonts w:ascii="Arial" w:cs="Arial" w:eastAsia="Arial" w:hAnsi="Arial"/>
          <w:sz w:val="16"/>
          <w:szCs w:val="16"/>
          <w:b w:val="1"/>
          <w:bCs w:val="1"/>
          <w:color w:val="auto"/>
        </w:rPr>
        <w:t xml:space="preserve">Eliminated “catch-up” provision. </w:t>
      </w:r>
      <w:r>
        <w:rPr>
          <w:rFonts w:ascii="Arial" w:cs="Arial" w:eastAsia="Arial" w:hAnsi="Arial"/>
          <w:sz w:val="16"/>
          <w:szCs w:val="16"/>
          <w:color w:val="auto"/>
        </w:rPr>
        <w:t>In the 2017 Management Agreement, performance-based equity grants are based solely on relative TSR,</w:t>
      </w:r>
      <w:r>
        <w:rPr>
          <w:rFonts w:ascii="Arial" w:cs="Arial" w:eastAsia="Arial" w:hAnsi="Arial"/>
          <w:sz w:val="16"/>
          <w:szCs w:val="16"/>
          <w:b w:val="1"/>
          <w:bCs w:val="1"/>
          <w:color w:val="auto"/>
        </w:rPr>
        <w:t xml:space="preserve"> </w:t>
      </w:r>
      <w:r>
        <w:rPr>
          <w:rFonts w:ascii="Arial" w:cs="Arial" w:eastAsia="Arial" w:hAnsi="Arial"/>
          <w:sz w:val="16"/>
          <w:szCs w:val="16"/>
          <w:color w:val="auto"/>
        </w:rPr>
        <w:t>RCS performance and IP performance and do not include any TSR “catch-up” opportunity.</w:t>
      </w:r>
    </w:p>
    <w:p>
      <w:pPr>
        <w:spacing w:after="0" w:line="61" w:lineRule="exact"/>
        <w:rPr>
          <w:rFonts w:ascii="Arial" w:cs="Arial" w:eastAsia="Arial" w:hAnsi="Arial"/>
          <w:sz w:val="16"/>
          <w:szCs w:val="16"/>
          <w:color w:val="005CB9"/>
        </w:rPr>
      </w:pPr>
    </w:p>
    <w:p>
      <w:pPr>
        <w:ind w:left="980" w:right="400" w:hanging="324"/>
        <w:spacing w:after="0" w:line="286" w:lineRule="auto"/>
        <w:tabs>
          <w:tab w:leader="none" w:pos="980" w:val="left"/>
        </w:tabs>
        <w:numPr>
          <w:ilvl w:val="0"/>
          <w:numId w:val="36"/>
        </w:numPr>
        <w:rPr>
          <w:rFonts w:ascii="Arial" w:cs="Arial" w:eastAsia="Arial" w:hAnsi="Arial"/>
          <w:sz w:val="16"/>
          <w:szCs w:val="16"/>
          <w:color w:val="005CB9"/>
        </w:rPr>
      </w:pPr>
      <w:r>
        <w:rPr>
          <w:rFonts w:ascii="Arial" w:cs="Arial" w:eastAsia="Arial" w:hAnsi="Arial"/>
          <w:sz w:val="16"/>
          <w:szCs w:val="16"/>
          <w:b w:val="1"/>
          <w:bCs w:val="1"/>
          <w:color w:val="auto"/>
        </w:rPr>
        <w:t xml:space="preserve">Lengthened the performance measurement period of performance-based equity. </w:t>
      </w:r>
      <w:r>
        <w:rPr>
          <w:rFonts w:ascii="Arial" w:cs="Arial" w:eastAsia="Arial" w:hAnsi="Arial"/>
          <w:sz w:val="16"/>
          <w:szCs w:val="16"/>
          <w:color w:val="auto"/>
        </w:rPr>
        <w:t>In the 2017 Management Agreement, the relative</w:t>
      </w:r>
      <w:r>
        <w:rPr>
          <w:rFonts w:ascii="Arial" w:cs="Arial" w:eastAsia="Arial" w:hAnsi="Arial"/>
          <w:sz w:val="16"/>
          <w:szCs w:val="16"/>
          <w:b w:val="1"/>
          <w:bCs w:val="1"/>
          <w:color w:val="auto"/>
        </w:rPr>
        <w:t xml:space="preserve"> </w:t>
      </w:r>
      <w:r>
        <w:rPr>
          <w:rFonts w:ascii="Arial" w:cs="Arial" w:eastAsia="Arial" w:hAnsi="Arial"/>
          <w:sz w:val="16"/>
          <w:szCs w:val="16"/>
          <w:color w:val="auto"/>
        </w:rPr>
        <w:t>TSR performance measurement period continues to be a two-year period instead of a one-year period.</w:t>
      </w:r>
    </w:p>
    <w:p>
      <w:pPr>
        <w:spacing w:after="0" w:line="61" w:lineRule="exact"/>
        <w:rPr>
          <w:rFonts w:ascii="Arial" w:cs="Arial" w:eastAsia="Arial" w:hAnsi="Arial"/>
          <w:sz w:val="16"/>
          <w:szCs w:val="16"/>
          <w:color w:val="005CB9"/>
        </w:rPr>
      </w:pPr>
    </w:p>
    <w:p>
      <w:pPr>
        <w:ind w:left="980" w:right="340" w:hanging="324"/>
        <w:spacing w:after="0" w:line="286" w:lineRule="auto"/>
        <w:tabs>
          <w:tab w:leader="none" w:pos="980" w:val="left"/>
        </w:tabs>
        <w:numPr>
          <w:ilvl w:val="0"/>
          <w:numId w:val="36"/>
        </w:numPr>
        <w:rPr>
          <w:rFonts w:ascii="Arial" w:cs="Arial" w:eastAsia="Arial" w:hAnsi="Arial"/>
          <w:sz w:val="16"/>
          <w:szCs w:val="16"/>
          <w:color w:val="005CB9"/>
        </w:rPr>
      </w:pPr>
      <w:r>
        <w:rPr>
          <w:rFonts w:ascii="Arial" w:cs="Arial" w:eastAsia="Arial" w:hAnsi="Arial"/>
          <w:sz w:val="16"/>
          <w:szCs w:val="16"/>
          <w:b w:val="1"/>
          <w:bCs w:val="1"/>
          <w:color w:val="auto"/>
        </w:rPr>
        <w:t xml:space="preserve">Eliminated automatic annual fee increases. </w:t>
      </w:r>
      <w:r>
        <w:rPr>
          <w:rFonts w:ascii="Arial" w:cs="Arial" w:eastAsia="Arial" w:hAnsi="Arial"/>
          <w:sz w:val="16"/>
          <w:szCs w:val="16"/>
          <w:color w:val="auto"/>
        </w:rPr>
        <w:t>There is no automatic increase in the annual fee during the term of the 2017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w:t>
      </w:r>
    </w:p>
    <w:p>
      <w:pPr>
        <w:spacing w:after="0" w:line="61" w:lineRule="exact"/>
        <w:rPr>
          <w:rFonts w:ascii="Arial" w:cs="Arial" w:eastAsia="Arial" w:hAnsi="Arial"/>
          <w:sz w:val="16"/>
          <w:szCs w:val="16"/>
          <w:color w:val="005CB9"/>
        </w:rPr>
      </w:pPr>
    </w:p>
    <w:p>
      <w:pPr>
        <w:ind w:left="980" w:right="80" w:hanging="324"/>
        <w:spacing w:after="0" w:line="256" w:lineRule="auto"/>
        <w:tabs>
          <w:tab w:leader="none" w:pos="980" w:val="left"/>
        </w:tabs>
        <w:numPr>
          <w:ilvl w:val="0"/>
          <w:numId w:val="36"/>
        </w:numPr>
        <w:rPr>
          <w:rFonts w:ascii="Arial" w:cs="Arial" w:eastAsia="Arial" w:hAnsi="Arial"/>
          <w:sz w:val="16"/>
          <w:szCs w:val="16"/>
          <w:color w:val="005CB9"/>
        </w:rPr>
      </w:pPr>
      <w:r>
        <w:rPr>
          <w:rFonts w:ascii="Arial" w:cs="Arial" w:eastAsia="Arial" w:hAnsi="Arial"/>
          <w:sz w:val="16"/>
          <w:szCs w:val="16"/>
          <w:b w:val="1"/>
          <w:bCs w:val="1"/>
          <w:color w:val="auto"/>
        </w:rPr>
        <w:t>IP and Recurrent Consumer Spending metrics continue to focus executives’ attention on achieving key strategic goals</w:t>
      </w:r>
      <w:r>
        <w:rPr>
          <w:rFonts w:ascii="Arial" w:cs="Arial" w:eastAsia="Arial" w:hAnsi="Arial"/>
          <w:sz w:val="16"/>
          <w:szCs w:val="16"/>
          <w:color w:val="auto"/>
        </w:rPr>
        <w:t>.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2017 Management Agreement, performance shares vest based on (i) TSR, (ii) growth in recurrent consumer spending (which consists of the consolidated net bookings generated by the Company from the sale of virtual currency, add-on content, in-game purchases and similar items that are supplemental to the sale of any full game release) during the measurement period as compared to the base year, and (iii) the performance of our interactive entertainment products, including our new products and our major and generally most profitable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116840</wp:posOffset>
            </wp:positionV>
            <wp:extent cx="291465" cy="274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56" w:lineRule="exact"/>
        <w:rPr>
          <w:sz w:val="20"/>
          <w:szCs w:val="20"/>
          <w:color w:val="auto"/>
        </w:rPr>
      </w:pPr>
    </w:p>
    <w:p>
      <w:pPr>
        <w:ind w:left="120"/>
        <w:spacing w:after="0"/>
        <w:tabs>
          <w:tab w:leader="none" w:pos="60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660" w:right="100"/>
        <w:spacing w:after="0" w:line="248" w:lineRule="auto"/>
        <w:rPr>
          <w:sz w:val="20"/>
          <w:szCs w:val="20"/>
          <w:color w:val="auto"/>
        </w:rPr>
      </w:pPr>
      <w:r>
        <w:rPr>
          <w:rFonts w:ascii="Arial" w:cs="Arial" w:eastAsia="Arial" w:hAnsi="Arial"/>
          <w:sz w:val="16"/>
          <w:szCs w:val="16"/>
          <w:color w:val="auto"/>
        </w:rPr>
        <w:t>The Compensation Committee believes the Company’s management structure and relationship with ZelnickMedia has been critical to building the Company’s franchises, improving profitability and strengthening the balance sheet, and providing disciplined management. In 2007, the Company faced multiple investigations and significant litigation including shareholder lawsuits, as well as financial challenges, including limited cash (the Company ended fiscal 2007 with only $78 million in cash) and significant operating losses. In March 2007, shareholders then holding approximately 46% of our outstanding shares of common stock negotiated the management agreement with ZelnickMedia on our behalf and, after their election at the 2007 annual meeting of shareholders, the Board of Directors of the Company approved the execution of the management agreement by the Company.</w:t>
      </w:r>
    </w:p>
    <w:p>
      <w:pPr>
        <w:spacing w:after="0" w:line="208" w:lineRule="exact"/>
        <w:rPr>
          <w:sz w:val="20"/>
          <w:szCs w:val="20"/>
          <w:color w:val="auto"/>
        </w:rPr>
      </w:pPr>
    </w:p>
    <w:p>
      <w:pPr>
        <w:ind w:left="660" w:right="80"/>
        <w:spacing w:after="0" w:line="251" w:lineRule="auto"/>
        <w:rPr>
          <w:sz w:val="20"/>
          <w:szCs w:val="20"/>
          <w:color w:val="auto"/>
        </w:rPr>
      </w:pPr>
      <w:r>
        <w:rPr>
          <w:rFonts w:ascii="Arial" w:cs="Arial" w:eastAsia="Arial" w:hAnsi="Arial"/>
          <w:sz w:val="16"/>
          <w:szCs w:val="16"/>
          <w:color w:val="auto"/>
        </w:rPr>
        <w:t>Since that time, the Company has been transformed from single franchise dependency into a diverse, financially strong, global interactive entertainment enterprise. The Company now has 11 franchises with individual titles that have sold-in to retail more than 5 million units each, and more than 66 individual, multi-million unit selling titles. The Company has also expanded geographically, in digital distribution and with new business models.</w:t>
      </w:r>
    </w:p>
    <w:p>
      <w:pPr>
        <w:spacing w:after="0" w:line="20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As part of its regular governance practices, the Board of Directors continuously reviews the relationship with ZelnickMedia to ensure that it remains the right management structure for the Company and our shareholders. At least annually, the Compensation Committee conducts interviews on a confidential basis with all direct reports to Messrs. Zelnick and Slatoff, and other members of management, to seek feedback on the performance of the ZelnickMedia executives and to evaluate the effectiveness of the ZelnickMedia relationship broadly. The Compensation Committee’s feedback from these 360-degree interviews is then discussed at executive sessions of independent board members. This feedback was taken into consideration during the most recent ZelnickMedia management agreement negotiation. The Lead Independent Director also regularly engages with members of the executive team, including non-ZelnickMedia members of management.</w:t>
      </w: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NEO Compensation Structure and Pay-for-Performance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right="260"/>
        <w:spacing w:after="0" w:line="251" w:lineRule="auto"/>
        <w:rPr>
          <w:sz w:val="20"/>
          <w:szCs w:val="20"/>
          <w:color w:val="auto"/>
        </w:rPr>
      </w:pPr>
      <w:r>
        <w:rPr>
          <w:rFonts w:ascii="Arial" w:cs="Arial" w:eastAsia="Arial" w:hAnsi="Arial"/>
          <w:sz w:val="16"/>
          <w:szCs w:val="16"/>
          <w:color w:val="auto"/>
        </w:rPr>
        <w:t>The Compensation Committee has developed compensation programs and arrangements designed to place a significant portion of our executives’ compensation at risk based on Company performance. Equity awards are a key element in the compensation of our executives, as well as creative talent throughout the organization. The Compensation Committee believes equity awards create strong linkage between our executives and the long-term performance of our Company as well as the interests of our shareholders.</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Compensation of Mr. Zelnick and Mr. Slatoff</w:t>
      </w:r>
    </w:p>
    <w:p>
      <w:pPr>
        <w:spacing w:after="0" w:line="133" w:lineRule="exact"/>
        <w:rPr>
          <w:sz w:val="20"/>
          <w:szCs w:val="20"/>
          <w:color w:val="auto"/>
        </w:rPr>
      </w:pPr>
    </w:p>
    <w:p>
      <w:pPr>
        <w:ind w:left="660" w:right="100"/>
        <w:spacing w:after="0" w:line="246" w:lineRule="auto"/>
        <w:rPr>
          <w:sz w:val="20"/>
          <w:szCs w:val="20"/>
          <w:color w:val="auto"/>
        </w:rPr>
      </w:pPr>
      <w:r>
        <w:rPr>
          <w:rFonts w:ascii="Arial" w:cs="Arial" w:eastAsia="Arial" w:hAnsi="Arial"/>
          <w:sz w:val="16"/>
          <w:szCs w:val="16"/>
          <w:color w:val="auto"/>
        </w:rPr>
        <w:t>Mr. Zelnick and Mr. Slatoff serve in their executive roles at Take-Two under the Management Agreement with ZelnickMedia. Mr. Zelnick and Mr. Slatoff are compensated directly by ZelnickMedia and not Take-Two (except for $1 received annually by each to provide them the opportunity to receive certain health and other plan benefits). To provide greater disclosure and fuller understanding of the compensation received by Messrs. Zelnick and Slatoff individually, the 2017 Management Agreement includes a requirement that no more than</w:t>
      </w:r>
    </w:p>
    <w:p>
      <w:pPr>
        <w:spacing w:after="0" w:line="2" w:lineRule="exact"/>
        <w:rPr>
          <w:sz w:val="20"/>
          <w:szCs w:val="20"/>
          <w:color w:val="auto"/>
        </w:rPr>
      </w:pPr>
    </w:p>
    <w:p>
      <w:pPr>
        <w:jc w:val="both"/>
        <w:ind w:left="660" w:right="340"/>
        <w:spacing w:after="0" w:line="253" w:lineRule="auto"/>
        <w:rPr>
          <w:sz w:val="20"/>
          <w:szCs w:val="20"/>
          <w:color w:val="auto"/>
        </w:rPr>
      </w:pPr>
      <w:r>
        <w:rPr>
          <w:rFonts w:ascii="Arial" w:cs="Arial" w:eastAsia="Arial" w:hAnsi="Arial"/>
          <w:sz w:val="16"/>
          <w:szCs w:val="16"/>
          <w:color w:val="auto"/>
        </w:rPr>
        <w:t>60 percent of the compensation the Company pays to ZelnickMedia shall be received by or conveyed to Mr. Zelnick and no more than 40 percent to Mr. Slatoff, respectively. See “Certain Relationships and Related Transactions—Management Agreement” for additional detail.</w:t>
      </w:r>
    </w:p>
    <w:p>
      <w:pPr>
        <w:spacing w:after="0" w:line="201" w:lineRule="exact"/>
        <w:rPr>
          <w:sz w:val="20"/>
          <w:szCs w:val="20"/>
          <w:color w:val="auto"/>
        </w:rPr>
      </w:pPr>
    </w:p>
    <w:p>
      <w:pPr>
        <w:jc w:val="both"/>
        <w:ind w:left="660" w:right="100"/>
        <w:spacing w:after="0" w:line="253" w:lineRule="auto"/>
        <w:rPr>
          <w:sz w:val="20"/>
          <w:szCs w:val="20"/>
          <w:color w:val="auto"/>
        </w:rPr>
      </w:pPr>
      <w:r>
        <w:rPr>
          <w:rFonts w:ascii="Arial" w:cs="Arial" w:eastAsia="Arial" w:hAnsi="Arial"/>
          <w:sz w:val="16"/>
          <w:szCs w:val="16"/>
          <w:color w:val="auto"/>
        </w:rPr>
        <w:t>The 2017 Management Agreement emphasizes performance-based, at-risk compensation and equity with greater than one-year vesting, to ensure close alignment with the compensation of other Take-Two executives, the performance of the Company and the interests of our shareholders. Performance measures are designed to be challenging but achievable.</w:t>
      </w:r>
    </w:p>
    <w:p>
      <w:pPr>
        <w:spacing w:after="0" w:line="201" w:lineRule="exact"/>
        <w:rPr>
          <w:sz w:val="20"/>
          <w:szCs w:val="20"/>
          <w:color w:val="auto"/>
        </w:rPr>
      </w:pPr>
    </w:p>
    <w:p>
      <w:pPr>
        <w:ind w:left="660" w:right="60"/>
        <w:spacing w:after="0" w:line="250" w:lineRule="auto"/>
        <w:rPr>
          <w:sz w:val="20"/>
          <w:szCs w:val="20"/>
          <w:color w:val="auto"/>
        </w:rPr>
      </w:pPr>
      <w:r>
        <w:rPr>
          <w:rFonts w:ascii="Arial" w:cs="Arial" w:eastAsia="Arial" w:hAnsi="Arial"/>
          <w:sz w:val="16"/>
          <w:szCs w:val="16"/>
          <w:color w:val="auto"/>
        </w:rPr>
        <w:t>Our Compensation Committee establishes the annual cash incentive based solely on performance against a budgeted Adjusted EBITDA (a non-GAAP measure calculated by taking GAAP net income recorded for the Company, adding back or subtracting the net effect from deferral in net revenues and related costs of goods sold, impact of business reorganization, one-time gains or losses on long-term investments, and adding back stock based compensation, interest, depreciation, amortization and tax expenses) goal set at the beginning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273050</wp:posOffset>
            </wp:positionV>
            <wp:extent cx="291465" cy="274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bl>
    <w:p>
      <w:pPr>
        <w:sectPr>
          <w:pgSz w:w="11900" w:h="16838" w:orient="portrait"/>
          <w:cols w:equalWidth="0" w:num="1">
            <w:col w:w="10580"/>
          </w:cols>
          <w:pgMar w:left="320" w:top="459" w:right="9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28" w:lineRule="exact"/>
        <w:rPr>
          <w:sz w:val="20"/>
          <w:szCs w:val="20"/>
          <w:color w:val="auto"/>
        </w:rPr>
      </w:pPr>
    </w:p>
    <w:p>
      <w:pPr>
        <w:jc w:val="both"/>
        <w:ind w:left="660" w:right="340"/>
        <w:spacing w:after="0" w:line="266" w:lineRule="auto"/>
        <w:rPr>
          <w:sz w:val="20"/>
          <w:szCs w:val="20"/>
          <w:color w:val="auto"/>
        </w:rPr>
      </w:pPr>
      <w:r>
        <w:rPr>
          <w:rFonts w:ascii="Arial" w:cs="Arial" w:eastAsia="Arial" w:hAnsi="Arial"/>
          <w:sz w:val="16"/>
          <w:szCs w:val="16"/>
          <w:color w:val="auto"/>
        </w:rPr>
        <w:t xml:space="preserve">each fiscal year. Refer to </w:t>
      </w:r>
      <w:r>
        <w:rPr>
          <w:rFonts w:ascii="Arial" w:cs="Arial" w:eastAsia="Arial" w:hAnsi="Arial"/>
          <w:sz w:val="16"/>
          <w:szCs w:val="16"/>
          <w:b w:val="1"/>
          <w:bCs w:val="1"/>
          <w:color w:val="auto"/>
        </w:rPr>
        <w:t>Annex A</w:t>
      </w:r>
      <w:r>
        <w:rPr>
          <w:rFonts w:ascii="Arial" w:cs="Arial" w:eastAsia="Arial" w:hAnsi="Arial"/>
          <w:sz w:val="16"/>
          <w:szCs w:val="16"/>
          <w:color w:val="auto"/>
        </w:rPr>
        <w:t xml:space="preserve"> herein for a reconciliation of GAAP net income to the Adjusted EBITDA measure discussed above. There is no discretionary element to this goal, and the Compensation Committee uses the same Adjusted EBITDA goal in our internal executive pay program. We believe Adjusted EBITDA focuses our executives on operating growth and profitability.</w:t>
      </w:r>
    </w:p>
    <w:p>
      <w:pPr>
        <w:spacing w:after="0" w:line="191" w:lineRule="exact"/>
        <w:rPr>
          <w:sz w:val="20"/>
          <w:szCs w:val="20"/>
          <w:color w:val="auto"/>
        </w:rPr>
      </w:pPr>
    </w:p>
    <w:p>
      <w:pPr>
        <w:ind w:left="660" w:right="20"/>
        <w:spacing w:after="0" w:line="247" w:lineRule="auto"/>
        <w:rPr>
          <w:sz w:val="20"/>
          <w:szCs w:val="20"/>
          <w:color w:val="auto"/>
        </w:rPr>
      </w:pPr>
      <w:r>
        <w:rPr>
          <w:rFonts w:ascii="Arial" w:cs="Arial" w:eastAsia="Arial" w:hAnsi="Arial"/>
          <w:sz w:val="16"/>
          <w:szCs w:val="16"/>
          <w:color w:val="auto"/>
        </w:rPr>
        <w:t>In setting what it believes is the appropriate Adjusted EBITDA target at the beginning of each fiscal year, the Board of Directors works closely with management as part of an iterative process to set the budget and determine an appropriate target based on the Company’s goals and objectives for the upcoming fiscal year. The factors considered in determining the appropriate annual Adjusted EBITDA target include the Company’s projected annual release schedule and its expected investment in future research and development. Because release schedules differ year over year, a rigorous target that provides an appropriate incentive for the Company’s executives will vary and may be higher or lower than the prior year’s actual adjusted EBITDA. Because, among other things, (i) the Company did not plan for the release schedule for fiscal 2020 to be as robust as the release schedule for the fiscal year ended March 31, 2019 (“</w:t>
      </w:r>
      <w:r>
        <w:rPr>
          <w:rFonts w:ascii="Arial" w:cs="Arial" w:eastAsia="Arial" w:hAnsi="Arial"/>
          <w:sz w:val="16"/>
          <w:szCs w:val="16"/>
          <w:i w:val="1"/>
          <w:iCs w:val="1"/>
          <w:color w:val="auto"/>
        </w:rPr>
        <w:t>fiscal 2019</w:t>
      </w:r>
      <w:r>
        <w:rPr>
          <w:rFonts w:ascii="Arial" w:cs="Arial" w:eastAsia="Arial" w:hAnsi="Arial"/>
          <w:sz w:val="16"/>
          <w:szCs w:val="16"/>
          <w:color w:val="auto"/>
        </w:rPr>
        <w:t>”) and (ii) the Company planned to spend more money on internal research and development in fiscal 2020 than was spent in fiscal 2019, the fiscal 2020 Adjusted EBITDA target was set at a level below the actual Adjusted EBITDA achieved in fiscal 2019. For further discussion of our results for fiscal 2020, please see “Compensation Discussion and Analysis-Select Fiscal 2020 Performance Highlights” on page 22. The 2017 Management Agreement provides for an absolute cap on the annual incentive opportunity. Target Adjusted EBITDA goals were met in each of the last eight fiscal years, and the Company achieved the maximum Adjusted EBITDA goal in fiscal 2020 after failing to do so in fiscal 2019.</w:t>
      </w:r>
    </w:p>
    <w:p>
      <w:pPr>
        <w:spacing w:after="0" w:line="211"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Our Compensation Committee establishes the long-term incentive opportunity to motivate sustained performance over a multi-year period and to strengthen the alignment with long-term shareholder value creation. To that end, our long-term incentives in the 2017 Management Agreement continues to include performance-based shares that vest based on TSR performance and “IP” performance and, in response to feedback that the Board of Directors received from our shareholders and the increasing importance of revenue from recurrent consumer spending on the Company’s business model, introduces a new metric—“Recurrent Consumer Spending” performance. The Recurrent Consumer Spending metric incentivizes an increased focus on growth in revenue from virtual currency, add-on content and in-game purchases.</w:t>
      </w:r>
    </w:p>
    <w:p>
      <w:pPr>
        <w:spacing w:after="0" w:line="208" w:lineRule="exact"/>
        <w:rPr>
          <w:sz w:val="20"/>
          <w:szCs w:val="20"/>
          <w:color w:val="auto"/>
        </w:rPr>
      </w:pPr>
    </w:p>
    <w:p>
      <w:pPr>
        <w:ind w:left="660" w:right="80"/>
        <w:spacing w:after="0" w:line="248" w:lineRule="auto"/>
        <w:rPr>
          <w:sz w:val="20"/>
          <w:szCs w:val="20"/>
          <w:color w:val="auto"/>
        </w:rPr>
      </w:pPr>
      <w:r>
        <w:rPr>
          <w:rFonts w:ascii="Arial" w:cs="Arial" w:eastAsia="Arial" w:hAnsi="Arial"/>
          <w:sz w:val="16"/>
          <w:szCs w:val="16"/>
          <w:color w:val="auto"/>
        </w:rPr>
        <w:t>The 2014 Management Agreement included performance-based shares that vest based on TSR performance, “New IP” performance and “Major IP” performance. Relative TSR performance aligned the interests of ZelnickMedia and our executives with our shareholders generally. We sought to incentivize strong sales performance of “New IP” (new interactive entertainment products) to foster creation of additional successful franchises. The “Major IP” category was broader, including existing interactive entertainment products and products derived from existing products, as well as new products, as we sought to build on our major, most profitable franchises. For the long-term incentive RSUs granted under the 2014 Management Agreement that were eligible to vest in fiscal 2020, for the two (2)-year measurement period ended March 31, 2019, the maximum relative TSR and Major IP performance goals were met, but the New IP performance goal was not achieved.</w:t>
      </w:r>
    </w:p>
    <w:p>
      <w:pPr>
        <w:spacing w:after="0" w:line="207" w:lineRule="exact"/>
        <w:rPr>
          <w:sz w:val="20"/>
          <w:szCs w:val="20"/>
          <w:color w:val="auto"/>
        </w:rPr>
      </w:pPr>
    </w:p>
    <w:p>
      <w:pPr>
        <w:ind w:left="660" w:right="100"/>
        <w:spacing w:after="0" w:line="260" w:lineRule="auto"/>
        <w:rPr>
          <w:sz w:val="20"/>
          <w:szCs w:val="20"/>
          <w:color w:val="auto"/>
        </w:rPr>
      </w:pPr>
      <w:r>
        <w:rPr>
          <w:rFonts w:ascii="Arial" w:cs="Arial" w:eastAsia="Arial" w:hAnsi="Arial"/>
          <w:sz w:val="16"/>
          <w:szCs w:val="16"/>
          <w:color w:val="auto"/>
        </w:rPr>
        <w:t>While we believe the short-term and long-term incentives are balanced to help incentivize optimal performance, we also note that there is no duplication in use of performance metrics between short-term and long-term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268605</wp:posOffset>
            </wp:positionV>
            <wp:extent cx="291465" cy="274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compensation components of the 2017 Management Agreement:</w:t>
      </w:r>
    </w:p>
    <w:p>
      <w:pPr>
        <w:spacing w:after="0" w:line="226" w:lineRule="exact"/>
        <w:rPr>
          <w:sz w:val="20"/>
          <w:szCs w:val="20"/>
          <w:color w:val="auto"/>
        </w:rPr>
      </w:pPr>
    </w:p>
    <w:tbl>
      <w:tblPr>
        <w:tblLayout w:type="fixed"/>
        <w:tblInd w:w="670" w:type="dxa"/>
        <w:tblCellMar>
          <w:top w:w="0" w:type="dxa"/>
          <w:left w:w="0" w:type="dxa"/>
          <w:bottom w:w="0" w:type="dxa"/>
          <w:right w:w="0" w:type="dxa"/>
        </w:tblCellMar>
      </w:tblPr>
      <w:tr>
        <w:trPr>
          <w:trHeight w:val="198"/>
        </w:trPr>
        <w:tc>
          <w:tcPr>
            <w:tcW w:w="2300" w:type="dxa"/>
            <w:vAlign w:val="bottom"/>
            <w:tcBorders>
              <w:top w:val="single" w:sz="8" w:color="005CB9"/>
              <w:left w:val="single" w:sz="8" w:color="005CB9"/>
              <w:right w:val="single" w:sz="8" w:color="005CB9"/>
            </w:tcBorders>
            <w:shd w:val="clear" w:color="auto" w:fill="005CB9"/>
          </w:tcPr>
          <w:p>
            <w:pPr>
              <w:jc w:val="center"/>
              <w:spacing w:after="0"/>
              <w:rPr>
                <w:sz w:val="20"/>
                <w:szCs w:val="20"/>
                <w:color w:val="auto"/>
              </w:rPr>
            </w:pPr>
            <w:r>
              <w:rPr>
                <w:rFonts w:ascii="Arial" w:cs="Arial" w:eastAsia="Arial" w:hAnsi="Arial"/>
                <w:sz w:val="16"/>
                <w:szCs w:val="16"/>
                <w:b w:val="1"/>
                <w:bCs w:val="1"/>
                <w:color w:val="FFFFFF"/>
              </w:rPr>
              <w:t>Compensation</w:t>
            </w:r>
          </w:p>
        </w:tc>
        <w:tc>
          <w:tcPr>
            <w:tcW w:w="80" w:type="dxa"/>
            <w:vAlign w:val="bottom"/>
            <w:tcBorders>
              <w:top w:val="single" w:sz="8" w:color="005CB9"/>
            </w:tcBorders>
            <w:shd w:val="clear" w:color="auto" w:fill="005CB9"/>
          </w:tcPr>
          <w:p>
            <w:pPr>
              <w:spacing w:after="0"/>
              <w:rPr>
                <w:sz w:val="17"/>
                <w:szCs w:val="17"/>
                <w:color w:val="auto"/>
              </w:rPr>
            </w:pPr>
          </w:p>
        </w:tc>
        <w:tc>
          <w:tcPr>
            <w:tcW w:w="1520" w:type="dxa"/>
            <w:vAlign w:val="bottom"/>
            <w:tcBorders>
              <w:top w:val="single" w:sz="8" w:color="005CB9"/>
              <w:right w:val="single" w:sz="8" w:color="005CB9"/>
            </w:tcBorders>
            <w:shd w:val="clear" w:color="auto" w:fill="005CB9"/>
          </w:tcPr>
          <w:p>
            <w:pPr>
              <w:jc w:val="center"/>
              <w:spacing w:after="0"/>
              <w:rPr>
                <w:sz w:val="20"/>
                <w:szCs w:val="20"/>
                <w:color w:val="auto"/>
              </w:rPr>
            </w:pPr>
            <w:r>
              <w:rPr>
                <w:rFonts w:ascii="Arial" w:cs="Arial" w:eastAsia="Arial" w:hAnsi="Arial"/>
                <w:sz w:val="16"/>
                <w:szCs w:val="16"/>
                <w:b w:val="1"/>
                <w:bCs w:val="1"/>
                <w:color w:val="FFFFFF"/>
              </w:rPr>
              <w:t>% Linked to</w:t>
            </w:r>
          </w:p>
        </w:tc>
        <w:tc>
          <w:tcPr>
            <w:tcW w:w="80" w:type="dxa"/>
            <w:vAlign w:val="bottom"/>
            <w:tcBorders>
              <w:top w:val="single" w:sz="8" w:color="005CB9"/>
            </w:tcBorders>
            <w:shd w:val="clear" w:color="auto" w:fill="005CB9"/>
          </w:tcPr>
          <w:p>
            <w:pPr>
              <w:spacing w:after="0"/>
              <w:rPr>
                <w:sz w:val="17"/>
                <w:szCs w:val="17"/>
                <w:color w:val="auto"/>
              </w:rPr>
            </w:pPr>
          </w:p>
        </w:tc>
        <w:tc>
          <w:tcPr>
            <w:tcW w:w="2100" w:type="dxa"/>
            <w:vAlign w:val="bottom"/>
            <w:tcBorders>
              <w:top w:val="single" w:sz="8" w:color="005CB9"/>
              <w:right w:val="single" w:sz="8" w:color="7F7F7F"/>
            </w:tcBorders>
            <w:shd w:val="clear" w:color="auto" w:fill="005CB9"/>
          </w:tcPr>
          <w:p>
            <w:pPr>
              <w:spacing w:after="0"/>
              <w:rPr>
                <w:sz w:val="17"/>
                <w:szCs w:val="17"/>
                <w:color w:val="auto"/>
              </w:rPr>
            </w:pPr>
          </w:p>
        </w:tc>
        <w:tc>
          <w:tcPr>
            <w:tcW w:w="3840" w:type="dxa"/>
            <w:vAlign w:val="bottom"/>
            <w:tcBorders>
              <w:top w:val="single" w:sz="8" w:color="005CB9"/>
            </w:tcBorders>
            <w:shd w:val="clear" w:color="auto" w:fill="005CB9"/>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00" w:type="dxa"/>
            <w:vAlign w:val="bottom"/>
            <w:tcBorders>
              <w:left w:val="single" w:sz="8" w:color="005CB9"/>
              <w:bottom w:val="single" w:sz="8" w:color="005CB9"/>
              <w:right w:val="single" w:sz="8" w:color="005CB9"/>
            </w:tcBorders>
            <w:shd w:val="clear" w:color="auto" w:fill="005CB9"/>
          </w:tcPr>
          <w:p>
            <w:pPr>
              <w:jc w:val="center"/>
              <w:spacing w:after="0"/>
              <w:rPr>
                <w:sz w:val="20"/>
                <w:szCs w:val="20"/>
                <w:color w:val="auto"/>
              </w:rPr>
            </w:pPr>
            <w:r>
              <w:rPr>
                <w:rFonts w:ascii="Arial" w:cs="Arial" w:eastAsia="Arial" w:hAnsi="Arial"/>
                <w:sz w:val="16"/>
                <w:szCs w:val="16"/>
                <w:b w:val="1"/>
                <w:bCs w:val="1"/>
                <w:color w:val="FFFFFF"/>
              </w:rPr>
              <w:t>Component</w:t>
            </w:r>
          </w:p>
        </w:tc>
        <w:tc>
          <w:tcPr>
            <w:tcW w:w="80" w:type="dxa"/>
            <w:vAlign w:val="bottom"/>
            <w:tcBorders>
              <w:bottom w:val="single" w:sz="8" w:color="005CB9"/>
            </w:tcBorders>
            <w:shd w:val="clear" w:color="auto" w:fill="005CB9"/>
          </w:tcPr>
          <w:p>
            <w:pPr>
              <w:spacing w:after="0"/>
              <w:rPr>
                <w:sz w:val="19"/>
                <w:szCs w:val="19"/>
                <w:color w:val="auto"/>
              </w:rPr>
            </w:pPr>
          </w:p>
        </w:tc>
        <w:tc>
          <w:tcPr>
            <w:tcW w:w="1520" w:type="dxa"/>
            <w:vAlign w:val="bottom"/>
            <w:tcBorders>
              <w:bottom w:val="single" w:sz="8" w:color="005CB9"/>
              <w:right w:val="single" w:sz="8" w:color="005CB9"/>
            </w:tcBorders>
            <w:shd w:val="clear" w:color="auto" w:fill="005CB9"/>
          </w:tcPr>
          <w:p>
            <w:pPr>
              <w:jc w:val="center"/>
              <w:spacing w:after="0"/>
              <w:rPr>
                <w:sz w:val="20"/>
                <w:szCs w:val="20"/>
                <w:color w:val="auto"/>
              </w:rPr>
            </w:pPr>
            <w:r>
              <w:rPr>
                <w:rFonts w:ascii="Arial" w:cs="Arial" w:eastAsia="Arial" w:hAnsi="Arial"/>
                <w:sz w:val="16"/>
                <w:szCs w:val="16"/>
                <w:b w:val="1"/>
                <w:bCs w:val="1"/>
                <w:color w:val="FFFFFF"/>
              </w:rPr>
              <w:t>Performance</w:t>
            </w:r>
          </w:p>
        </w:tc>
        <w:tc>
          <w:tcPr>
            <w:tcW w:w="80" w:type="dxa"/>
            <w:vAlign w:val="bottom"/>
            <w:tcBorders>
              <w:bottom w:val="single" w:sz="8" w:color="005CB9"/>
            </w:tcBorders>
            <w:shd w:val="clear" w:color="auto" w:fill="005CB9"/>
          </w:tcPr>
          <w:p>
            <w:pPr>
              <w:spacing w:after="0"/>
              <w:rPr>
                <w:sz w:val="19"/>
                <w:szCs w:val="19"/>
                <w:color w:val="auto"/>
              </w:rPr>
            </w:pPr>
          </w:p>
        </w:tc>
        <w:tc>
          <w:tcPr>
            <w:tcW w:w="2100" w:type="dxa"/>
            <w:vAlign w:val="bottom"/>
            <w:tcBorders>
              <w:bottom w:val="single" w:sz="8" w:color="005CB9"/>
              <w:right w:val="single" w:sz="8" w:color="7F7F7F"/>
            </w:tcBorders>
            <w:shd w:val="clear" w:color="auto" w:fill="005CB9"/>
          </w:tcPr>
          <w:p>
            <w:pPr>
              <w:jc w:val="center"/>
              <w:spacing w:after="0"/>
              <w:rPr>
                <w:sz w:val="20"/>
                <w:szCs w:val="20"/>
                <w:color w:val="auto"/>
              </w:rPr>
            </w:pPr>
            <w:r>
              <w:rPr>
                <w:rFonts w:ascii="Arial" w:cs="Arial" w:eastAsia="Arial" w:hAnsi="Arial"/>
                <w:sz w:val="16"/>
                <w:szCs w:val="16"/>
                <w:b w:val="1"/>
                <w:bCs w:val="1"/>
                <w:color w:val="FFFFFF"/>
              </w:rPr>
              <w:t>Delivery From</w:t>
            </w:r>
          </w:p>
        </w:tc>
        <w:tc>
          <w:tcPr>
            <w:tcW w:w="384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6"/>
                <w:szCs w:val="16"/>
                <w:b w:val="1"/>
                <w:bCs w:val="1"/>
                <w:color w:val="FFFFFF"/>
              </w:rPr>
              <w:t>Performance Link</w:t>
            </w:r>
          </w:p>
        </w:tc>
        <w:tc>
          <w:tcPr>
            <w:tcW w:w="0" w:type="dxa"/>
            <w:vAlign w:val="bottom"/>
          </w:tcPr>
          <w:p>
            <w:pPr>
              <w:spacing w:after="0"/>
              <w:rPr>
                <w:sz w:val="1"/>
                <w:szCs w:val="1"/>
                <w:color w:val="auto"/>
              </w:rPr>
            </w:pPr>
          </w:p>
        </w:tc>
      </w:tr>
      <w:tr>
        <w:trPr>
          <w:trHeight w:val="189"/>
        </w:trPr>
        <w:tc>
          <w:tcPr>
            <w:tcW w:w="2300" w:type="dxa"/>
            <w:vAlign w:val="bottom"/>
            <w:tcBorders>
              <w:left w:val="single" w:sz="8" w:color="7F7F7F"/>
              <w:bottom w:val="single" w:sz="8" w:color="7F7F7F"/>
              <w:right w:val="single" w:sz="8" w:color="7F7F7F"/>
            </w:tcBorders>
            <w:shd w:val="clear" w:color="auto" w:fill="EAEAEA"/>
          </w:tcPr>
          <w:p>
            <w:pPr>
              <w:jc w:val="center"/>
              <w:ind w:left="139"/>
              <w:spacing w:after="0"/>
              <w:rPr>
                <w:sz w:val="20"/>
                <w:szCs w:val="20"/>
                <w:color w:val="auto"/>
              </w:rPr>
            </w:pPr>
            <w:r>
              <w:rPr>
                <w:rFonts w:ascii="Arial" w:cs="Arial" w:eastAsia="Arial" w:hAnsi="Arial"/>
                <w:sz w:val="16"/>
                <w:szCs w:val="16"/>
                <w:b w:val="1"/>
                <w:bCs w:val="1"/>
                <w:color w:val="auto"/>
              </w:rPr>
              <w:t>Annual Base Fee</w:t>
            </w:r>
          </w:p>
        </w:tc>
        <w:tc>
          <w:tcPr>
            <w:tcW w:w="80" w:type="dxa"/>
            <w:vAlign w:val="bottom"/>
            <w:tcBorders>
              <w:bottom w:val="single" w:sz="8" w:color="7F7F7F"/>
            </w:tcBorders>
            <w:shd w:val="clear" w:color="auto" w:fill="EAEAEA"/>
          </w:tcPr>
          <w:p>
            <w:pPr>
              <w:spacing w:after="0"/>
              <w:rPr>
                <w:sz w:val="16"/>
                <w:szCs w:val="16"/>
                <w:color w:val="auto"/>
              </w:rPr>
            </w:pPr>
          </w:p>
        </w:tc>
        <w:tc>
          <w:tcPr>
            <w:tcW w:w="1520" w:type="dxa"/>
            <w:vAlign w:val="bottom"/>
            <w:tcBorders>
              <w:bottom w:val="single" w:sz="8" w:color="7F7F7F"/>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7F7F7F"/>
            </w:tcBorders>
            <w:shd w:val="clear" w:color="auto" w:fill="EAEAEA"/>
          </w:tcPr>
          <w:p>
            <w:pPr>
              <w:spacing w:after="0"/>
              <w:rPr>
                <w:sz w:val="16"/>
                <w:szCs w:val="16"/>
                <w:color w:val="auto"/>
              </w:rPr>
            </w:pPr>
          </w:p>
        </w:tc>
        <w:tc>
          <w:tcPr>
            <w:tcW w:w="2100" w:type="dxa"/>
            <w:vAlign w:val="bottom"/>
            <w:tcBorders>
              <w:bottom w:val="single" w:sz="8" w:color="7F7F7F"/>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Cash</w:t>
            </w:r>
          </w:p>
        </w:tc>
        <w:tc>
          <w:tcPr>
            <w:tcW w:w="3840" w:type="dxa"/>
            <w:vAlign w:val="bottom"/>
            <w:tcBorders>
              <w:bottom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3"/>
        </w:trPr>
        <w:tc>
          <w:tcPr>
            <w:tcW w:w="2300" w:type="dxa"/>
            <w:vAlign w:val="bottom"/>
            <w:tcBorders>
              <w:left w:val="single" w:sz="8" w:color="7F7F7F"/>
              <w:bottom w:val="single" w:sz="8" w:color="7F7F7F"/>
              <w:right w:val="single" w:sz="8" w:color="7F7F7F"/>
            </w:tcBorders>
            <w:shd w:val="clear" w:color="auto" w:fill="EAEAEA"/>
          </w:tcPr>
          <w:p>
            <w:pPr>
              <w:jc w:val="center"/>
              <w:ind w:left="119"/>
              <w:spacing w:after="0" w:line="183" w:lineRule="exact"/>
              <w:rPr>
                <w:sz w:val="20"/>
                <w:szCs w:val="20"/>
                <w:color w:val="auto"/>
              </w:rPr>
            </w:pPr>
            <w:r>
              <w:rPr>
                <w:rFonts w:ascii="Arial" w:cs="Arial" w:eastAsia="Arial" w:hAnsi="Arial"/>
                <w:sz w:val="16"/>
                <w:szCs w:val="16"/>
                <w:b w:val="1"/>
                <w:bCs w:val="1"/>
                <w:color w:val="auto"/>
              </w:rPr>
              <w:t>Annual Incentive</w:t>
            </w:r>
          </w:p>
        </w:tc>
        <w:tc>
          <w:tcPr>
            <w:tcW w:w="80" w:type="dxa"/>
            <w:vAlign w:val="bottom"/>
            <w:tcBorders>
              <w:bottom w:val="single" w:sz="8" w:color="7F7F7F"/>
            </w:tcBorders>
            <w:shd w:val="clear" w:color="auto" w:fill="EAEAEA"/>
          </w:tcPr>
          <w:p>
            <w:pPr>
              <w:spacing w:after="0"/>
              <w:rPr>
                <w:sz w:val="15"/>
                <w:szCs w:val="15"/>
                <w:color w:val="auto"/>
              </w:rPr>
            </w:pPr>
          </w:p>
        </w:tc>
        <w:tc>
          <w:tcPr>
            <w:tcW w:w="1520" w:type="dxa"/>
            <w:vAlign w:val="bottom"/>
            <w:tcBorders>
              <w:bottom w:val="single" w:sz="8" w:color="7F7F7F"/>
              <w:right w:val="single" w:sz="8" w:color="7F7F7F"/>
            </w:tcBorders>
            <w:shd w:val="clear" w:color="auto" w:fill="EAEAEA"/>
          </w:tcPr>
          <w:p>
            <w:pPr>
              <w:jc w:val="right"/>
              <w:ind w:right="479"/>
              <w:spacing w:after="0" w:line="183" w:lineRule="exact"/>
              <w:rPr>
                <w:sz w:val="20"/>
                <w:szCs w:val="20"/>
                <w:color w:val="auto"/>
              </w:rPr>
            </w:pPr>
            <w:r>
              <w:rPr>
                <w:rFonts w:ascii="Arial" w:cs="Arial" w:eastAsia="Arial" w:hAnsi="Arial"/>
                <w:sz w:val="16"/>
                <w:szCs w:val="16"/>
                <w:color w:val="auto"/>
              </w:rPr>
              <w:t>100%</w:t>
            </w:r>
          </w:p>
        </w:tc>
        <w:tc>
          <w:tcPr>
            <w:tcW w:w="80" w:type="dxa"/>
            <w:vAlign w:val="bottom"/>
            <w:tcBorders>
              <w:bottom w:val="single" w:sz="8" w:color="7F7F7F"/>
            </w:tcBorders>
            <w:shd w:val="clear" w:color="auto" w:fill="EAEAEA"/>
          </w:tcPr>
          <w:p>
            <w:pPr>
              <w:spacing w:after="0"/>
              <w:rPr>
                <w:sz w:val="15"/>
                <w:szCs w:val="15"/>
                <w:color w:val="auto"/>
              </w:rPr>
            </w:pPr>
          </w:p>
        </w:tc>
        <w:tc>
          <w:tcPr>
            <w:tcW w:w="2100" w:type="dxa"/>
            <w:vAlign w:val="bottom"/>
            <w:tcBorders>
              <w:bottom w:val="single" w:sz="8" w:color="7F7F7F"/>
              <w:right w:val="single" w:sz="8" w:color="7F7F7F"/>
            </w:tcBorders>
            <w:shd w:val="clear" w:color="auto" w:fill="EAEAEA"/>
          </w:tcPr>
          <w:p>
            <w:pPr>
              <w:jc w:val="center"/>
              <w:spacing w:after="0" w:line="183" w:lineRule="exact"/>
              <w:rPr>
                <w:sz w:val="20"/>
                <w:szCs w:val="20"/>
                <w:color w:val="auto"/>
              </w:rPr>
            </w:pPr>
            <w:r>
              <w:rPr>
                <w:rFonts w:ascii="Arial" w:cs="Arial" w:eastAsia="Arial" w:hAnsi="Arial"/>
                <w:sz w:val="16"/>
                <w:szCs w:val="16"/>
                <w:color w:val="auto"/>
              </w:rPr>
              <w:t>Cash</w:t>
            </w:r>
          </w:p>
        </w:tc>
        <w:tc>
          <w:tcPr>
            <w:tcW w:w="3840" w:type="dxa"/>
            <w:vAlign w:val="bottom"/>
            <w:tcBorders>
              <w:bottom w:val="single" w:sz="8" w:color="7F7F7F"/>
            </w:tcBorders>
            <w:shd w:val="clear" w:color="auto" w:fill="EAEAEA"/>
          </w:tcPr>
          <w:p>
            <w:pPr>
              <w:jc w:val="center"/>
              <w:spacing w:after="0" w:line="183" w:lineRule="exact"/>
              <w:rPr>
                <w:sz w:val="20"/>
                <w:szCs w:val="20"/>
                <w:color w:val="auto"/>
              </w:rPr>
            </w:pPr>
            <w:r>
              <w:rPr>
                <w:rFonts w:ascii="Arial" w:cs="Arial" w:eastAsia="Arial" w:hAnsi="Arial"/>
                <w:sz w:val="16"/>
                <w:szCs w:val="16"/>
                <w:color w:val="auto"/>
              </w:rPr>
              <w:t>Adjusted EBITDA(1)</w:t>
            </w:r>
          </w:p>
        </w:tc>
        <w:tc>
          <w:tcPr>
            <w:tcW w:w="0" w:type="dxa"/>
            <w:vAlign w:val="bottom"/>
          </w:tcPr>
          <w:p>
            <w:pPr>
              <w:spacing w:after="0"/>
              <w:rPr>
                <w:sz w:val="1"/>
                <w:szCs w:val="1"/>
                <w:color w:val="auto"/>
              </w:rPr>
            </w:pPr>
          </w:p>
        </w:tc>
      </w:tr>
      <w:tr>
        <w:trPr>
          <w:trHeight w:val="241"/>
        </w:trPr>
        <w:tc>
          <w:tcPr>
            <w:tcW w:w="2300" w:type="dxa"/>
            <w:vAlign w:val="bottom"/>
            <w:tcBorders>
              <w:left w:val="single" w:sz="8" w:color="7F7F7F"/>
              <w:bottom w:val="single" w:sz="8" w:color="EAEAEA"/>
              <w:right w:val="single" w:sz="8" w:color="7F7F7F"/>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1520" w:type="dxa"/>
            <w:vAlign w:val="bottom"/>
            <w:tcBorders>
              <w:bottom w:val="single" w:sz="8" w:color="EAEAEA"/>
              <w:right w:val="single" w:sz="8" w:color="7F7F7F"/>
            </w:tcBorders>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2100" w:type="dxa"/>
            <w:vAlign w:val="bottom"/>
            <w:tcBorders>
              <w:bottom w:val="single" w:sz="8" w:color="EAEAEA"/>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Time-Based Awards(2)</w:t>
            </w:r>
          </w:p>
        </w:tc>
        <w:tc>
          <w:tcPr>
            <w:tcW w:w="38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0"/>
        </w:trPr>
        <w:tc>
          <w:tcPr>
            <w:tcW w:w="2300" w:type="dxa"/>
            <w:vAlign w:val="bottom"/>
            <w:tcBorders>
              <w:top w:val="single" w:sz="8" w:color="EAEAEA"/>
              <w:left w:val="single" w:sz="8" w:color="7F7F7F"/>
              <w:right w:val="single" w:sz="8" w:color="7F7F7F"/>
            </w:tcBorders>
            <w:vMerge w:val="restart"/>
            <w:shd w:val="clear" w:color="auto" w:fill="EAEAEA"/>
          </w:tcPr>
          <w:p>
            <w:pPr>
              <w:jc w:val="center"/>
              <w:ind w:left="119"/>
              <w:spacing w:after="0"/>
              <w:rPr>
                <w:sz w:val="20"/>
                <w:szCs w:val="20"/>
                <w:color w:val="auto"/>
              </w:rPr>
            </w:pPr>
            <w:r>
              <w:rPr>
                <w:rFonts w:ascii="Arial" w:cs="Arial" w:eastAsia="Arial" w:hAnsi="Arial"/>
                <w:sz w:val="16"/>
                <w:szCs w:val="16"/>
                <w:b w:val="1"/>
                <w:bCs w:val="1"/>
                <w:color w:val="auto"/>
              </w:rPr>
              <w:t>Long-Term Incentive</w:t>
            </w:r>
          </w:p>
        </w:tc>
        <w:tc>
          <w:tcPr>
            <w:tcW w:w="80" w:type="dxa"/>
            <w:vAlign w:val="bottom"/>
            <w:tcBorders>
              <w:top w:val="single" w:sz="8" w:color="EAEAEA"/>
            </w:tcBorders>
            <w:shd w:val="clear" w:color="auto" w:fill="EAEAEA"/>
          </w:tcPr>
          <w:p>
            <w:pPr>
              <w:spacing w:after="0"/>
              <w:rPr>
                <w:sz w:val="16"/>
                <w:szCs w:val="16"/>
                <w:color w:val="auto"/>
              </w:rPr>
            </w:pPr>
          </w:p>
        </w:tc>
        <w:tc>
          <w:tcPr>
            <w:tcW w:w="1520" w:type="dxa"/>
            <w:vAlign w:val="bottom"/>
            <w:tcBorders>
              <w:top w:val="single" w:sz="8" w:color="EAEAEA"/>
              <w:right w:val="single" w:sz="8" w:color="7F7F7F"/>
            </w:tcBorders>
            <w:vMerge w:val="restart"/>
            <w:shd w:val="clear" w:color="auto" w:fill="EAEAEA"/>
          </w:tcPr>
          <w:p>
            <w:pPr>
              <w:jc w:val="center"/>
              <w:spacing w:after="0"/>
              <w:rPr>
                <w:sz w:val="20"/>
                <w:szCs w:val="20"/>
                <w:color w:val="auto"/>
              </w:rPr>
            </w:pPr>
            <w:r>
              <w:rPr>
                <w:rFonts w:ascii="Arial" w:cs="Arial" w:eastAsia="Arial" w:hAnsi="Arial"/>
                <w:sz w:val="16"/>
                <w:szCs w:val="16"/>
                <w:color w:val="auto"/>
              </w:rPr>
              <w:t>55% at target</w:t>
            </w:r>
          </w:p>
        </w:tc>
        <w:tc>
          <w:tcPr>
            <w:tcW w:w="80" w:type="dxa"/>
            <w:vAlign w:val="bottom"/>
            <w:tcBorders>
              <w:top w:val="single" w:sz="8" w:color="7F7F7F"/>
            </w:tcBorders>
            <w:shd w:val="clear" w:color="auto" w:fill="EAEAEA"/>
          </w:tcPr>
          <w:p>
            <w:pPr>
              <w:spacing w:after="0"/>
              <w:rPr>
                <w:sz w:val="16"/>
                <w:szCs w:val="16"/>
                <w:color w:val="auto"/>
              </w:rPr>
            </w:pPr>
          </w:p>
        </w:tc>
        <w:tc>
          <w:tcPr>
            <w:tcW w:w="2100" w:type="dxa"/>
            <w:vAlign w:val="bottom"/>
            <w:tcBorders>
              <w:top w:val="single" w:sz="8" w:color="7F7F7F"/>
              <w:right w:val="single" w:sz="8" w:color="7F7F7F"/>
            </w:tcBorders>
            <w:shd w:val="clear" w:color="auto" w:fill="EAEAEA"/>
          </w:tcPr>
          <w:p>
            <w:pPr>
              <w:spacing w:after="0"/>
              <w:rPr>
                <w:sz w:val="16"/>
                <w:szCs w:val="16"/>
                <w:color w:val="auto"/>
              </w:rPr>
            </w:pPr>
          </w:p>
        </w:tc>
        <w:tc>
          <w:tcPr>
            <w:tcW w:w="3840" w:type="dxa"/>
            <w:vAlign w:val="bottom"/>
            <w:tcBorders>
              <w:top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75%: Relative TSR Performance(3)</w:t>
            </w:r>
          </w:p>
        </w:tc>
        <w:tc>
          <w:tcPr>
            <w:tcW w:w="0" w:type="dxa"/>
            <w:vAlign w:val="bottom"/>
          </w:tcPr>
          <w:p>
            <w:pPr>
              <w:spacing w:after="0"/>
              <w:rPr>
                <w:sz w:val="1"/>
                <w:szCs w:val="1"/>
                <w:color w:val="auto"/>
              </w:rPr>
            </w:pPr>
          </w:p>
        </w:tc>
      </w:tr>
      <w:tr>
        <w:trPr>
          <w:trHeight w:val="54"/>
        </w:trPr>
        <w:tc>
          <w:tcPr>
            <w:tcW w:w="2300" w:type="dxa"/>
            <w:vAlign w:val="bottom"/>
            <w:tcBorders>
              <w:left w:val="single" w:sz="8" w:color="7F7F7F"/>
              <w:right w:val="single" w:sz="8" w:color="7F7F7F"/>
            </w:tcBorders>
            <w:vMerge w:val="continue"/>
            <w:shd w:val="clear" w:color="auto" w:fill="EAEAEA"/>
          </w:tcPr>
          <w:p>
            <w:pPr>
              <w:spacing w:after="0"/>
              <w:rPr>
                <w:sz w:val="4"/>
                <w:szCs w:val="4"/>
                <w:color w:val="auto"/>
              </w:rPr>
            </w:pPr>
          </w:p>
        </w:tc>
        <w:tc>
          <w:tcPr>
            <w:tcW w:w="80" w:type="dxa"/>
            <w:vAlign w:val="bottom"/>
            <w:shd w:val="clear" w:color="auto" w:fill="EAEAEA"/>
          </w:tcPr>
          <w:p>
            <w:pPr>
              <w:spacing w:after="0"/>
              <w:rPr>
                <w:sz w:val="4"/>
                <w:szCs w:val="4"/>
                <w:color w:val="auto"/>
              </w:rPr>
            </w:pPr>
          </w:p>
        </w:tc>
        <w:tc>
          <w:tcPr>
            <w:tcW w:w="1520" w:type="dxa"/>
            <w:vAlign w:val="bottom"/>
            <w:tcBorders>
              <w:right w:val="single" w:sz="8" w:color="7F7F7F"/>
            </w:tcBorders>
            <w:vMerge w:val="continue"/>
            <w:shd w:val="clear" w:color="auto" w:fill="EAEAEA"/>
          </w:tcPr>
          <w:p>
            <w:pPr>
              <w:spacing w:after="0"/>
              <w:rPr>
                <w:sz w:val="4"/>
                <w:szCs w:val="4"/>
                <w:color w:val="auto"/>
              </w:rPr>
            </w:pPr>
          </w:p>
        </w:tc>
        <w:tc>
          <w:tcPr>
            <w:tcW w:w="80" w:type="dxa"/>
            <w:vAlign w:val="bottom"/>
            <w:shd w:val="clear" w:color="auto" w:fill="EAEAEA"/>
          </w:tcPr>
          <w:p>
            <w:pPr>
              <w:spacing w:after="0"/>
              <w:rPr>
                <w:sz w:val="4"/>
                <w:szCs w:val="4"/>
                <w:color w:val="auto"/>
              </w:rPr>
            </w:pPr>
          </w:p>
        </w:tc>
        <w:tc>
          <w:tcPr>
            <w:tcW w:w="2100" w:type="dxa"/>
            <w:vAlign w:val="bottom"/>
            <w:tcBorders>
              <w:right w:val="single" w:sz="8" w:color="7F7F7F"/>
            </w:tcBorders>
            <w:shd w:val="clear" w:color="auto" w:fill="EAEAEA"/>
          </w:tcPr>
          <w:p>
            <w:pPr>
              <w:spacing w:after="0"/>
              <w:rPr>
                <w:sz w:val="4"/>
                <w:szCs w:val="4"/>
                <w:color w:val="auto"/>
              </w:rPr>
            </w:pPr>
          </w:p>
        </w:tc>
        <w:tc>
          <w:tcPr>
            <w:tcW w:w="3840" w:type="dxa"/>
            <w:vAlign w:val="bottom"/>
            <w:shd w:val="clear" w:color="auto" w:fill="EAEAEA"/>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300" w:type="dxa"/>
            <w:vAlign w:val="bottom"/>
            <w:tcBorders>
              <w:left w:val="single" w:sz="8" w:color="7F7F7F"/>
              <w:right w:val="single" w:sz="8" w:color="7F7F7F"/>
            </w:tcBorders>
            <w:vMerge w:val="continue"/>
            <w:shd w:val="clear" w:color="auto" w:fill="EAEAEA"/>
          </w:tcPr>
          <w:p>
            <w:pPr>
              <w:spacing w:after="0"/>
              <w:rPr>
                <w:sz w:val="8"/>
                <w:szCs w:val="8"/>
                <w:color w:val="auto"/>
              </w:rPr>
            </w:pPr>
          </w:p>
        </w:tc>
        <w:tc>
          <w:tcPr>
            <w:tcW w:w="80" w:type="dxa"/>
            <w:vAlign w:val="bottom"/>
            <w:shd w:val="clear" w:color="auto" w:fill="EAEAEA"/>
          </w:tcPr>
          <w:p>
            <w:pPr>
              <w:spacing w:after="0"/>
              <w:rPr>
                <w:sz w:val="8"/>
                <w:szCs w:val="8"/>
                <w:color w:val="auto"/>
              </w:rPr>
            </w:pPr>
          </w:p>
        </w:tc>
        <w:tc>
          <w:tcPr>
            <w:tcW w:w="1520" w:type="dxa"/>
            <w:vAlign w:val="bottom"/>
            <w:tcBorders>
              <w:right w:val="single" w:sz="8" w:color="7F7F7F"/>
            </w:tcBorders>
            <w:shd w:val="clear" w:color="auto" w:fill="EAEAEA"/>
          </w:tcPr>
          <w:p>
            <w:pPr>
              <w:spacing w:after="0"/>
              <w:rPr>
                <w:sz w:val="8"/>
                <w:szCs w:val="8"/>
                <w:color w:val="auto"/>
              </w:rPr>
            </w:pPr>
          </w:p>
        </w:tc>
        <w:tc>
          <w:tcPr>
            <w:tcW w:w="80" w:type="dxa"/>
            <w:vAlign w:val="bottom"/>
            <w:shd w:val="clear" w:color="auto" w:fill="EAEAEA"/>
          </w:tcPr>
          <w:p>
            <w:pPr>
              <w:spacing w:after="0"/>
              <w:rPr>
                <w:sz w:val="8"/>
                <w:szCs w:val="8"/>
                <w:color w:val="auto"/>
              </w:rPr>
            </w:pPr>
          </w:p>
        </w:tc>
        <w:tc>
          <w:tcPr>
            <w:tcW w:w="2100" w:type="dxa"/>
            <w:vAlign w:val="bottom"/>
            <w:tcBorders>
              <w:right w:val="single" w:sz="8" w:color="7F7F7F"/>
            </w:tcBorders>
            <w:vMerge w:val="restart"/>
            <w:shd w:val="clear" w:color="auto" w:fill="EAEAEA"/>
          </w:tcPr>
          <w:p>
            <w:pPr>
              <w:jc w:val="center"/>
              <w:spacing w:after="0"/>
              <w:rPr>
                <w:sz w:val="20"/>
                <w:szCs w:val="20"/>
                <w:color w:val="auto"/>
              </w:rPr>
            </w:pPr>
            <w:r>
              <w:rPr>
                <w:rFonts w:ascii="Arial" w:cs="Arial" w:eastAsia="Arial" w:hAnsi="Arial"/>
                <w:sz w:val="16"/>
                <w:szCs w:val="16"/>
                <w:color w:val="auto"/>
              </w:rPr>
              <w:t>Performance-</w:t>
            </w:r>
          </w:p>
        </w:tc>
        <w:tc>
          <w:tcPr>
            <w:tcW w:w="384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rPr>
              <w:t>12.5%: Recurrent Consumer Spending</w:t>
            </w:r>
          </w:p>
        </w:tc>
        <w:tc>
          <w:tcPr>
            <w:tcW w:w="0" w:type="dxa"/>
            <w:vAlign w:val="bottom"/>
          </w:tcPr>
          <w:p>
            <w:pPr>
              <w:spacing w:after="0"/>
              <w:rPr>
                <w:sz w:val="1"/>
                <w:szCs w:val="1"/>
                <w:color w:val="auto"/>
              </w:rPr>
            </w:pPr>
          </w:p>
        </w:tc>
      </w:tr>
      <w:tr>
        <w:trPr>
          <w:trHeight w:val="155"/>
        </w:trPr>
        <w:tc>
          <w:tcPr>
            <w:tcW w:w="2300" w:type="dxa"/>
            <w:vAlign w:val="bottom"/>
            <w:tcBorders>
              <w:left w:val="single" w:sz="8" w:color="7F7F7F"/>
              <w:right w:val="single" w:sz="8" w:color="7F7F7F"/>
            </w:tcBorders>
            <w:shd w:val="clear" w:color="auto" w:fill="EAEAEA"/>
          </w:tcPr>
          <w:p>
            <w:pPr>
              <w:jc w:val="center"/>
              <w:ind w:left="139"/>
              <w:spacing w:after="0" w:line="155" w:lineRule="exact"/>
              <w:rPr>
                <w:sz w:val="20"/>
                <w:szCs w:val="20"/>
                <w:color w:val="auto"/>
              </w:rPr>
            </w:pPr>
            <w:r>
              <w:rPr>
                <w:rFonts w:ascii="Arial" w:cs="Arial" w:eastAsia="Arial" w:hAnsi="Arial"/>
                <w:sz w:val="16"/>
                <w:szCs w:val="16"/>
                <w:b w:val="1"/>
                <w:bCs w:val="1"/>
                <w:color w:val="auto"/>
              </w:rPr>
              <w:t>(Equity Grants)</w:t>
            </w:r>
          </w:p>
        </w:tc>
        <w:tc>
          <w:tcPr>
            <w:tcW w:w="80" w:type="dxa"/>
            <w:vAlign w:val="bottom"/>
            <w:shd w:val="clear" w:color="auto" w:fill="EAEAEA"/>
          </w:tcPr>
          <w:p>
            <w:pPr>
              <w:spacing w:after="0"/>
              <w:rPr>
                <w:sz w:val="13"/>
                <w:szCs w:val="13"/>
                <w:color w:val="auto"/>
              </w:rPr>
            </w:pPr>
          </w:p>
        </w:tc>
        <w:tc>
          <w:tcPr>
            <w:tcW w:w="1520" w:type="dxa"/>
            <w:vAlign w:val="bottom"/>
            <w:tcBorders>
              <w:right w:val="single" w:sz="8" w:color="7F7F7F"/>
            </w:tcBorders>
            <w:vMerge w:val="restart"/>
            <w:shd w:val="clear" w:color="auto" w:fill="EAEAEA"/>
          </w:tcPr>
          <w:p>
            <w:pPr>
              <w:jc w:val="center"/>
              <w:spacing w:after="0"/>
              <w:rPr>
                <w:sz w:val="20"/>
                <w:szCs w:val="20"/>
                <w:color w:val="auto"/>
              </w:rPr>
            </w:pPr>
            <w:r>
              <w:rPr>
                <w:rFonts w:ascii="Arial" w:cs="Arial" w:eastAsia="Arial" w:hAnsi="Arial"/>
                <w:sz w:val="16"/>
                <w:szCs w:val="16"/>
                <w:color w:val="auto"/>
              </w:rPr>
              <w:t>71% at maximum</w:t>
            </w:r>
          </w:p>
        </w:tc>
        <w:tc>
          <w:tcPr>
            <w:tcW w:w="80" w:type="dxa"/>
            <w:vAlign w:val="bottom"/>
            <w:shd w:val="clear" w:color="auto" w:fill="EAEAEA"/>
          </w:tcPr>
          <w:p>
            <w:pPr>
              <w:spacing w:after="0"/>
              <w:rPr>
                <w:sz w:val="13"/>
                <w:szCs w:val="13"/>
                <w:color w:val="auto"/>
              </w:rPr>
            </w:pPr>
          </w:p>
        </w:tc>
        <w:tc>
          <w:tcPr>
            <w:tcW w:w="2100" w:type="dxa"/>
            <w:vAlign w:val="bottom"/>
            <w:tcBorders>
              <w:right w:val="single" w:sz="8" w:color="7F7F7F"/>
            </w:tcBorders>
            <w:vMerge w:val="continue"/>
            <w:shd w:val="clear" w:color="auto" w:fill="EAEAEA"/>
          </w:tcPr>
          <w:p>
            <w:pPr>
              <w:spacing w:after="0"/>
              <w:rPr>
                <w:sz w:val="13"/>
                <w:szCs w:val="13"/>
                <w:color w:val="auto"/>
              </w:rPr>
            </w:pPr>
          </w:p>
        </w:tc>
        <w:tc>
          <w:tcPr>
            <w:tcW w:w="384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300" w:type="dxa"/>
            <w:vAlign w:val="bottom"/>
            <w:tcBorders>
              <w:left w:val="single" w:sz="8" w:color="7F7F7F"/>
              <w:right w:val="single" w:sz="8" w:color="7F7F7F"/>
            </w:tcBorders>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1520" w:type="dxa"/>
            <w:vAlign w:val="bottom"/>
            <w:tcBorders>
              <w:right w:val="single" w:sz="8" w:color="7F7F7F"/>
            </w:tcBorders>
            <w:vMerge w:val="continue"/>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2100" w:type="dxa"/>
            <w:vAlign w:val="bottom"/>
            <w:tcBorders>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Based Awards</w:t>
            </w:r>
          </w:p>
        </w:tc>
        <w:tc>
          <w:tcPr>
            <w:tcW w:w="3840" w:type="dxa"/>
            <w:vAlign w:val="bottom"/>
            <w:shd w:val="clear" w:color="auto" w:fill="EAEAEA"/>
          </w:tcPr>
          <w:p>
            <w:pPr>
              <w:jc w:val="center"/>
              <w:spacing w:after="0"/>
              <w:rPr>
                <w:sz w:val="20"/>
                <w:szCs w:val="20"/>
                <w:color w:val="auto"/>
              </w:rPr>
            </w:pPr>
            <w:r>
              <w:rPr>
                <w:rFonts w:ascii="Arial" w:cs="Arial" w:eastAsia="Arial" w:hAnsi="Arial"/>
                <w:sz w:val="16"/>
                <w:szCs w:val="16"/>
                <w:color w:val="auto"/>
              </w:rPr>
              <w:t>Performance(4)</w:t>
            </w:r>
          </w:p>
        </w:tc>
        <w:tc>
          <w:tcPr>
            <w:tcW w:w="0" w:type="dxa"/>
            <w:vAlign w:val="bottom"/>
          </w:tcPr>
          <w:p>
            <w:pPr>
              <w:spacing w:after="0"/>
              <w:rPr>
                <w:sz w:val="1"/>
                <w:szCs w:val="1"/>
                <w:color w:val="auto"/>
              </w:rPr>
            </w:pPr>
          </w:p>
        </w:tc>
      </w:tr>
      <w:tr>
        <w:trPr>
          <w:trHeight w:val="313"/>
        </w:trPr>
        <w:tc>
          <w:tcPr>
            <w:tcW w:w="2300" w:type="dxa"/>
            <w:vAlign w:val="bottom"/>
            <w:tcBorders>
              <w:left w:val="single" w:sz="8" w:color="7F7F7F"/>
              <w:bottom w:val="single" w:sz="8" w:color="7F7F7F"/>
              <w:right w:val="single" w:sz="8" w:color="7F7F7F"/>
            </w:tcBorders>
            <w:shd w:val="clear" w:color="auto" w:fill="EAEAEA"/>
          </w:tcPr>
          <w:p>
            <w:pPr>
              <w:spacing w:after="0"/>
              <w:rPr>
                <w:sz w:val="24"/>
                <w:szCs w:val="24"/>
                <w:color w:val="auto"/>
              </w:rPr>
            </w:pPr>
          </w:p>
        </w:tc>
        <w:tc>
          <w:tcPr>
            <w:tcW w:w="80" w:type="dxa"/>
            <w:vAlign w:val="bottom"/>
            <w:tcBorders>
              <w:bottom w:val="single" w:sz="8" w:color="7F7F7F"/>
            </w:tcBorders>
            <w:shd w:val="clear" w:color="auto" w:fill="EAEAEA"/>
          </w:tcPr>
          <w:p>
            <w:pPr>
              <w:spacing w:after="0"/>
              <w:rPr>
                <w:sz w:val="24"/>
                <w:szCs w:val="24"/>
                <w:color w:val="auto"/>
              </w:rPr>
            </w:pPr>
          </w:p>
        </w:tc>
        <w:tc>
          <w:tcPr>
            <w:tcW w:w="1520" w:type="dxa"/>
            <w:vAlign w:val="bottom"/>
            <w:tcBorders>
              <w:bottom w:val="single" w:sz="8" w:color="7F7F7F"/>
              <w:right w:val="single" w:sz="8" w:color="7F7F7F"/>
            </w:tcBorders>
            <w:shd w:val="clear" w:color="auto" w:fill="EAEAEA"/>
          </w:tcPr>
          <w:p>
            <w:pPr>
              <w:spacing w:after="0"/>
              <w:rPr>
                <w:sz w:val="24"/>
                <w:szCs w:val="24"/>
                <w:color w:val="auto"/>
              </w:rPr>
            </w:pPr>
          </w:p>
        </w:tc>
        <w:tc>
          <w:tcPr>
            <w:tcW w:w="80" w:type="dxa"/>
            <w:vAlign w:val="bottom"/>
            <w:tcBorders>
              <w:bottom w:val="single" w:sz="8" w:color="7F7F7F"/>
            </w:tcBorders>
            <w:shd w:val="clear" w:color="auto" w:fill="EAEAEA"/>
          </w:tcPr>
          <w:p>
            <w:pPr>
              <w:spacing w:after="0"/>
              <w:rPr>
                <w:sz w:val="24"/>
                <w:szCs w:val="24"/>
                <w:color w:val="auto"/>
              </w:rPr>
            </w:pPr>
          </w:p>
        </w:tc>
        <w:tc>
          <w:tcPr>
            <w:tcW w:w="2100" w:type="dxa"/>
            <w:vAlign w:val="bottom"/>
            <w:tcBorders>
              <w:bottom w:val="single" w:sz="8" w:color="7F7F7F"/>
              <w:right w:val="single" w:sz="8" w:color="7F7F7F"/>
            </w:tcBorders>
            <w:shd w:val="clear" w:color="auto" w:fill="EAEAEA"/>
          </w:tcPr>
          <w:p>
            <w:pPr>
              <w:spacing w:after="0"/>
              <w:rPr>
                <w:sz w:val="24"/>
                <w:szCs w:val="24"/>
                <w:color w:val="auto"/>
              </w:rPr>
            </w:pPr>
          </w:p>
        </w:tc>
        <w:tc>
          <w:tcPr>
            <w:tcW w:w="3840" w:type="dxa"/>
            <w:vAlign w:val="bottom"/>
            <w:tcBorders>
              <w:bottom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12.5% IP Performance(5)</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000" w:right="280" w:hanging="331"/>
        <w:spacing w:after="0" w:line="260"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table below describes the payout schedule for the annual incentive opportunity, with proration on a straight-line basis between the amounts listed:</w:t>
      </w:r>
    </w:p>
    <w:p>
      <w:pPr>
        <w:spacing w:after="0" w:line="329"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4920" w:type="dxa"/>
            <w:vAlign w:val="bottom"/>
          </w:tcPr>
          <w:p>
            <w:pPr>
              <w:ind w:left="80"/>
              <w:spacing w:after="0"/>
              <w:rPr>
                <w:sz w:val="20"/>
                <w:szCs w:val="20"/>
                <w:color w:val="auto"/>
              </w:rPr>
            </w:pPr>
            <w:r>
              <w:rPr>
                <w:rFonts w:ascii="Arial" w:cs="Arial" w:eastAsia="Arial" w:hAnsi="Arial"/>
                <w:sz w:val="14"/>
                <w:szCs w:val="14"/>
                <w:b w:val="1"/>
                <w:bCs w:val="1"/>
                <w:color w:val="005CB9"/>
              </w:rPr>
              <w:t>Percentage of Adjusted</w:t>
            </w:r>
          </w:p>
        </w:tc>
        <w:tc>
          <w:tcPr>
            <w:tcW w:w="3280" w:type="dxa"/>
            <w:vAlign w:val="bottom"/>
          </w:tcPr>
          <w:p>
            <w:pPr>
              <w:spacing w:after="0"/>
              <w:rPr>
                <w:sz w:val="14"/>
                <w:szCs w:val="14"/>
                <w:color w:val="auto"/>
              </w:rPr>
            </w:pPr>
          </w:p>
        </w:tc>
        <w:tc>
          <w:tcPr>
            <w:tcW w:w="920" w:type="dxa"/>
            <w:vAlign w:val="bottom"/>
          </w:tcPr>
          <w:p>
            <w:pPr>
              <w:jc w:val="right"/>
              <w:ind w:right="100"/>
              <w:spacing w:after="0"/>
              <w:rPr>
                <w:sz w:val="20"/>
                <w:szCs w:val="20"/>
                <w:color w:val="auto"/>
              </w:rPr>
            </w:pPr>
            <w:r>
              <w:rPr>
                <w:rFonts w:ascii="Arial" w:cs="Arial" w:eastAsia="Arial" w:hAnsi="Arial"/>
                <w:sz w:val="14"/>
                <w:szCs w:val="14"/>
                <w:b w:val="1"/>
                <w:bCs w:val="1"/>
                <w:color w:val="005CB9"/>
              </w:rPr>
              <w:t>Amount of</w:t>
            </w:r>
          </w:p>
        </w:tc>
      </w:tr>
      <w:tr>
        <w:trPr>
          <w:trHeight w:val="189"/>
        </w:trPr>
        <w:tc>
          <w:tcPr>
            <w:tcW w:w="4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5CB9"/>
              </w:rPr>
              <w:t>EBITDA Target Obtained</w:t>
            </w:r>
          </w:p>
        </w:tc>
        <w:tc>
          <w:tcPr>
            <w:tcW w:w="4200" w:type="dxa"/>
            <w:vAlign w:val="bottom"/>
            <w:tcBorders>
              <w:bottom w:val="single" w:sz="8" w:color="auto"/>
            </w:tcBorders>
            <w:gridSpan w:val="2"/>
          </w:tcPr>
          <w:p>
            <w:pPr>
              <w:ind w:left="3160"/>
              <w:spacing w:after="0"/>
              <w:rPr>
                <w:sz w:val="20"/>
                <w:szCs w:val="20"/>
                <w:color w:val="auto"/>
              </w:rPr>
            </w:pPr>
            <w:r>
              <w:rPr>
                <w:rFonts w:ascii="Arial" w:cs="Arial" w:eastAsia="Arial" w:hAnsi="Arial"/>
                <w:sz w:val="14"/>
                <w:szCs w:val="14"/>
                <w:b w:val="1"/>
                <w:bCs w:val="1"/>
                <w:color w:val="005CB9"/>
              </w:rPr>
              <w:t>Annual Bonus</w:t>
            </w:r>
          </w:p>
        </w:tc>
      </w:tr>
      <w:tr>
        <w:trPr>
          <w:trHeight w:val="237"/>
        </w:trPr>
        <w:tc>
          <w:tcPr>
            <w:tcW w:w="4920" w:type="dxa"/>
            <w:vAlign w:val="bottom"/>
            <w:shd w:val="clear" w:color="auto" w:fill="EAEAEA"/>
          </w:tcPr>
          <w:p>
            <w:pPr>
              <w:ind w:left="80"/>
              <w:spacing w:after="0"/>
              <w:rPr>
                <w:sz w:val="20"/>
                <w:szCs w:val="20"/>
                <w:color w:val="auto"/>
              </w:rPr>
            </w:pPr>
            <w:r>
              <w:rPr>
                <w:rFonts w:ascii="Arial" w:cs="Arial" w:eastAsia="Arial" w:hAnsi="Arial"/>
                <w:sz w:val="16"/>
                <w:szCs w:val="16"/>
                <w:color w:val="auto"/>
              </w:rPr>
              <w:t>80% or less</w:t>
            </w:r>
          </w:p>
        </w:tc>
        <w:tc>
          <w:tcPr>
            <w:tcW w:w="3280" w:type="dxa"/>
            <w:vAlign w:val="bottom"/>
            <w:shd w:val="clear" w:color="auto" w:fill="EAEAEA"/>
          </w:tcPr>
          <w:p>
            <w:pPr>
              <w:ind w:left="3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0</w:t>
            </w:r>
          </w:p>
        </w:tc>
      </w:tr>
      <w:tr>
        <w:trPr>
          <w:trHeight w:val="233"/>
        </w:trPr>
        <w:tc>
          <w:tcPr>
            <w:tcW w:w="4920" w:type="dxa"/>
            <w:vAlign w:val="bottom"/>
          </w:tcPr>
          <w:p>
            <w:pPr>
              <w:ind w:left="80"/>
              <w:spacing w:after="0"/>
              <w:rPr>
                <w:sz w:val="20"/>
                <w:szCs w:val="20"/>
                <w:color w:val="auto"/>
              </w:rPr>
            </w:pPr>
            <w:r>
              <w:rPr>
                <w:rFonts w:ascii="Arial" w:cs="Arial" w:eastAsia="Arial" w:hAnsi="Arial"/>
                <w:sz w:val="16"/>
                <w:szCs w:val="16"/>
                <w:color w:val="auto"/>
              </w:rPr>
              <w:t>90%</w:t>
            </w:r>
          </w:p>
        </w:tc>
        <w:tc>
          <w:tcPr>
            <w:tcW w:w="3280" w:type="dxa"/>
            <w:vAlign w:val="bottom"/>
          </w:tcPr>
          <w:p>
            <w:pPr>
              <w:ind w:left="3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1,860,000</w:t>
            </w:r>
          </w:p>
        </w:tc>
      </w:tr>
      <w:tr>
        <w:trPr>
          <w:trHeight w:val="253"/>
        </w:trPr>
        <w:tc>
          <w:tcPr>
            <w:tcW w:w="4920" w:type="dxa"/>
            <w:vAlign w:val="bottom"/>
            <w:shd w:val="clear" w:color="auto" w:fill="EAEAEA"/>
          </w:tcPr>
          <w:p>
            <w:pPr>
              <w:ind w:left="80"/>
              <w:spacing w:after="0"/>
              <w:rPr>
                <w:sz w:val="20"/>
                <w:szCs w:val="20"/>
                <w:color w:val="auto"/>
              </w:rPr>
            </w:pPr>
            <w:r>
              <w:rPr>
                <w:rFonts w:ascii="Arial" w:cs="Arial" w:eastAsia="Arial" w:hAnsi="Arial"/>
                <w:sz w:val="16"/>
                <w:szCs w:val="16"/>
                <w:color w:val="auto"/>
              </w:rPr>
              <w:t>100%</w:t>
            </w:r>
          </w:p>
        </w:tc>
        <w:tc>
          <w:tcPr>
            <w:tcW w:w="3280" w:type="dxa"/>
            <w:vAlign w:val="bottom"/>
            <w:shd w:val="clear" w:color="auto" w:fill="EAEAEA"/>
          </w:tcPr>
          <w:p>
            <w:pPr>
              <w:ind w:left="3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3,720,000</w:t>
            </w:r>
          </w:p>
        </w:tc>
      </w:tr>
      <w:tr>
        <w:trPr>
          <w:trHeight w:val="233"/>
        </w:trPr>
        <w:tc>
          <w:tcPr>
            <w:tcW w:w="4920" w:type="dxa"/>
            <w:vAlign w:val="bottom"/>
          </w:tcPr>
          <w:p>
            <w:pPr>
              <w:ind w:left="80"/>
              <w:spacing w:after="0"/>
              <w:rPr>
                <w:sz w:val="20"/>
                <w:szCs w:val="20"/>
                <w:color w:val="auto"/>
              </w:rPr>
            </w:pPr>
            <w:r>
              <w:rPr>
                <w:rFonts w:ascii="Arial" w:cs="Arial" w:eastAsia="Arial" w:hAnsi="Arial"/>
                <w:sz w:val="16"/>
                <w:szCs w:val="16"/>
                <w:color w:val="auto"/>
              </w:rPr>
              <w:t>110%</w:t>
            </w:r>
          </w:p>
        </w:tc>
        <w:tc>
          <w:tcPr>
            <w:tcW w:w="3280" w:type="dxa"/>
            <w:vAlign w:val="bottom"/>
          </w:tcPr>
          <w:p>
            <w:pPr>
              <w:ind w:left="3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4,517,143</w:t>
            </w:r>
          </w:p>
        </w:tc>
      </w:tr>
      <w:tr>
        <w:trPr>
          <w:trHeight w:val="253"/>
        </w:trPr>
        <w:tc>
          <w:tcPr>
            <w:tcW w:w="4920" w:type="dxa"/>
            <w:vAlign w:val="bottom"/>
            <w:shd w:val="clear" w:color="auto" w:fill="EAEAEA"/>
          </w:tcPr>
          <w:p>
            <w:pPr>
              <w:ind w:left="80"/>
              <w:spacing w:after="0"/>
              <w:rPr>
                <w:sz w:val="20"/>
                <w:szCs w:val="20"/>
                <w:color w:val="auto"/>
              </w:rPr>
            </w:pPr>
            <w:r>
              <w:rPr>
                <w:rFonts w:ascii="Arial" w:cs="Arial" w:eastAsia="Arial" w:hAnsi="Arial"/>
                <w:sz w:val="16"/>
                <w:szCs w:val="16"/>
                <w:color w:val="auto"/>
              </w:rPr>
              <w:t>120%</w:t>
            </w:r>
          </w:p>
        </w:tc>
        <w:tc>
          <w:tcPr>
            <w:tcW w:w="3280" w:type="dxa"/>
            <w:vAlign w:val="bottom"/>
            <w:shd w:val="clear" w:color="auto" w:fill="EAEAEA"/>
          </w:tcPr>
          <w:p>
            <w:pPr>
              <w:ind w:left="3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5,314,286</w:t>
            </w:r>
          </w:p>
        </w:tc>
      </w:tr>
      <w:tr>
        <w:trPr>
          <w:trHeight w:val="233"/>
        </w:trPr>
        <w:tc>
          <w:tcPr>
            <w:tcW w:w="4920" w:type="dxa"/>
            <w:vAlign w:val="bottom"/>
          </w:tcPr>
          <w:p>
            <w:pPr>
              <w:ind w:left="80"/>
              <w:spacing w:after="0"/>
              <w:rPr>
                <w:sz w:val="20"/>
                <w:szCs w:val="20"/>
                <w:color w:val="auto"/>
              </w:rPr>
            </w:pPr>
            <w:r>
              <w:rPr>
                <w:rFonts w:ascii="Arial" w:cs="Arial" w:eastAsia="Arial" w:hAnsi="Arial"/>
                <w:sz w:val="16"/>
                <w:szCs w:val="16"/>
                <w:color w:val="auto"/>
              </w:rPr>
              <w:t>130%</w:t>
            </w:r>
          </w:p>
        </w:tc>
        <w:tc>
          <w:tcPr>
            <w:tcW w:w="3280" w:type="dxa"/>
            <w:vAlign w:val="bottom"/>
          </w:tcPr>
          <w:p>
            <w:pPr>
              <w:ind w:left="3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6,022,857</w:t>
            </w:r>
          </w:p>
        </w:tc>
      </w:tr>
      <w:tr>
        <w:trPr>
          <w:trHeight w:val="253"/>
        </w:trPr>
        <w:tc>
          <w:tcPr>
            <w:tcW w:w="4920" w:type="dxa"/>
            <w:vAlign w:val="bottom"/>
            <w:shd w:val="clear" w:color="auto" w:fill="EAEAEA"/>
          </w:tcPr>
          <w:p>
            <w:pPr>
              <w:ind w:left="80"/>
              <w:spacing w:after="0"/>
              <w:rPr>
                <w:sz w:val="20"/>
                <w:szCs w:val="20"/>
                <w:color w:val="auto"/>
              </w:rPr>
            </w:pPr>
            <w:r>
              <w:rPr>
                <w:rFonts w:ascii="Arial" w:cs="Arial" w:eastAsia="Arial" w:hAnsi="Arial"/>
                <w:sz w:val="16"/>
                <w:szCs w:val="16"/>
                <w:color w:val="auto"/>
              </w:rPr>
              <w:t>140%</w:t>
            </w:r>
          </w:p>
        </w:tc>
        <w:tc>
          <w:tcPr>
            <w:tcW w:w="3280" w:type="dxa"/>
            <w:vAlign w:val="bottom"/>
            <w:shd w:val="clear" w:color="auto" w:fill="EAEAEA"/>
          </w:tcPr>
          <w:p>
            <w:pPr>
              <w:ind w:left="3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6,731,429</w:t>
            </w:r>
          </w:p>
        </w:tc>
      </w:tr>
      <w:tr>
        <w:trPr>
          <w:trHeight w:val="233"/>
        </w:trPr>
        <w:tc>
          <w:tcPr>
            <w:tcW w:w="4920" w:type="dxa"/>
            <w:vAlign w:val="bottom"/>
          </w:tcPr>
          <w:p>
            <w:pPr>
              <w:ind w:left="80"/>
              <w:spacing w:after="0"/>
              <w:rPr>
                <w:sz w:val="20"/>
                <w:szCs w:val="20"/>
                <w:color w:val="auto"/>
              </w:rPr>
            </w:pPr>
            <w:r>
              <w:rPr>
                <w:rFonts w:ascii="Arial" w:cs="Arial" w:eastAsia="Arial" w:hAnsi="Arial"/>
                <w:sz w:val="16"/>
                <w:szCs w:val="16"/>
                <w:color w:val="auto"/>
              </w:rPr>
              <w:t>150%</w:t>
            </w:r>
          </w:p>
        </w:tc>
        <w:tc>
          <w:tcPr>
            <w:tcW w:w="3280" w:type="dxa"/>
            <w:vAlign w:val="bottom"/>
          </w:tcPr>
          <w:p>
            <w:pPr>
              <w:ind w:left="3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7,440,000</w:t>
            </w:r>
          </w:p>
        </w:tc>
      </w:tr>
      <w:tr>
        <w:trPr>
          <w:trHeight w:val="253"/>
        </w:trPr>
        <w:tc>
          <w:tcPr>
            <w:tcW w:w="4920" w:type="dxa"/>
            <w:vAlign w:val="bottom"/>
            <w:shd w:val="clear" w:color="auto" w:fill="EAEAEA"/>
          </w:tcPr>
          <w:p>
            <w:pPr>
              <w:ind w:left="80"/>
              <w:spacing w:after="0"/>
              <w:rPr>
                <w:sz w:val="20"/>
                <w:szCs w:val="20"/>
                <w:color w:val="auto"/>
              </w:rPr>
            </w:pPr>
            <w:r>
              <w:rPr>
                <w:rFonts w:ascii="Arial" w:cs="Arial" w:eastAsia="Arial" w:hAnsi="Arial"/>
                <w:sz w:val="16"/>
                <w:szCs w:val="16"/>
                <w:color w:val="auto"/>
              </w:rPr>
              <w:t>Above 150%</w:t>
            </w:r>
          </w:p>
        </w:tc>
        <w:tc>
          <w:tcPr>
            <w:tcW w:w="3280" w:type="dxa"/>
            <w:vAlign w:val="bottom"/>
            <w:shd w:val="clear" w:color="auto" w:fill="EAEAEA"/>
          </w:tcPr>
          <w:p>
            <w:pPr>
              <w:ind w:left="3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7,440,000</w:t>
            </w:r>
          </w:p>
        </w:tc>
      </w:tr>
    </w:tbl>
    <w:p>
      <w:pPr>
        <w:spacing w:after="0" w:line="123" w:lineRule="exact"/>
        <w:rPr>
          <w:sz w:val="20"/>
          <w:szCs w:val="20"/>
          <w:color w:val="auto"/>
        </w:rPr>
      </w:pPr>
    </w:p>
    <w:p>
      <w:pPr>
        <w:ind w:left="1000" w:right="100" w:hanging="331"/>
        <w:spacing w:after="0" w:line="260"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Awards will vest on April 13, 2021 for the grant made on April 15, 2019 and will vest on April 13, 2022 for the grant made on April 13, 2020, in each case provided that the 2017 Management Agreement has not been terminated prior to such date.</w:t>
      </w:r>
    </w:p>
    <w:p>
      <w:pPr>
        <w:spacing w:after="0" w:line="100" w:lineRule="exact"/>
        <w:rPr>
          <w:rFonts w:ascii="Arial" w:cs="Arial" w:eastAsia="Arial" w:hAnsi="Arial"/>
          <w:sz w:val="16"/>
          <w:szCs w:val="16"/>
          <w:color w:val="auto"/>
        </w:rPr>
      </w:pPr>
    </w:p>
    <w:p>
      <w:pPr>
        <w:ind w:left="1000" w:right="20" w:hanging="331"/>
        <w:spacing w:after="0" w:line="250"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Relative TSR performance-based vesting is a function of the Company’s TSR during the performance period, as compared to the TSR generated by the Company’s peer group, which consists of the companies that comprise the NASDAQ Composite Index on the first day of the performance period. We use the NASDAQ Composite Index for this purpose, rather than a narrow peer group, given the small size of our public company compensation peer group and the stock price volatility of those peers. The table below describes the vesting schedule for the performance-based equity based on achievement of relative TSR over a two-year performance period:</w:t>
      </w:r>
    </w:p>
    <w:p>
      <w:pPr>
        <w:spacing w:after="0" w:line="93" w:lineRule="exact"/>
        <w:rPr>
          <w:sz w:val="20"/>
          <w:szCs w:val="20"/>
          <w:color w:val="auto"/>
        </w:rPr>
      </w:pPr>
    </w:p>
    <w:tbl>
      <w:tblPr>
        <w:tblLayout w:type="fixed"/>
        <w:tblInd w:w="1060" w:type="dxa"/>
        <w:tblCellMar>
          <w:top w:w="0" w:type="dxa"/>
          <w:left w:w="0" w:type="dxa"/>
          <w:bottom w:w="0" w:type="dxa"/>
          <w:right w:w="0" w:type="dxa"/>
        </w:tblCellMar>
      </w:tblPr>
      <w:tr>
        <w:trPr>
          <w:trHeight w:val="175"/>
        </w:trPr>
        <w:tc>
          <w:tcPr>
            <w:tcW w:w="3600" w:type="dxa"/>
            <w:vAlign w:val="bottom"/>
          </w:tcPr>
          <w:p>
            <w:pPr>
              <w:ind w:left="80"/>
              <w:spacing w:after="0"/>
              <w:rPr>
                <w:sz w:val="20"/>
                <w:szCs w:val="20"/>
                <w:color w:val="auto"/>
              </w:rPr>
            </w:pPr>
            <w:r>
              <w:rPr>
                <w:rFonts w:ascii="Arial" w:cs="Arial" w:eastAsia="Arial" w:hAnsi="Arial"/>
                <w:sz w:val="14"/>
                <w:szCs w:val="14"/>
                <w:b w:val="1"/>
                <w:bCs w:val="1"/>
                <w:color w:val="005CB9"/>
              </w:rPr>
              <w:t>TSR Percentile Rank</w:t>
            </w:r>
          </w:p>
        </w:tc>
        <w:tc>
          <w:tcPr>
            <w:tcW w:w="5920" w:type="dxa"/>
            <w:vAlign w:val="bottom"/>
            <w:gridSpan w:val="2"/>
          </w:tcPr>
          <w:p>
            <w:pPr>
              <w:ind w:left="3740"/>
              <w:spacing w:after="0"/>
              <w:rPr>
                <w:sz w:val="20"/>
                <w:szCs w:val="20"/>
                <w:color w:val="auto"/>
              </w:rPr>
            </w:pPr>
            <w:r>
              <w:rPr>
                <w:rFonts w:ascii="Arial" w:cs="Arial" w:eastAsia="Arial" w:hAnsi="Arial"/>
                <w:sz w:val="14"/>
                <w:szCs w:val="14"/>
                <w:b w:val="1"/>
                <w:bCs w:val="1"/>
                <w:color w:val="005CB9"/>
              </w:rPr>
              <w:t>TSR Vesting Percentage</w:t>
            </w:r>
          </w:p>
        </w:tc>
      </w:tr>
      <w:tr>
        <w:trPr>
          <w:trHeight w:val="236"/>
        </w:trPr>
        <w:tc>
          <w:tcPr>
            <w:tcW w:w="3600" w:type="dxa"/>
            <w:vAlign w:val="bottom"/>
            <w:tcBorders>
              <w:top w:val="single" w:sz="8" w:color="auto"/>
            </w:tcBorders>
            <w:shd w:val="clear" w:color="auto" w:fill="EAEAEA"/>
          </w:tcPr>
          <w:p>
            <w:pPr>
              <w:ind w:left="80"/>
              <w:spacing w:after="0" w:line="236" w:lineRule="exact"/>
              <w:rPr>
                <w:sz w:val="20"/>
                <w:szCs w:val="20"/>
                <w:color w:val="auto"/>
              </w:rPr>
            </w:pPr>
            <w:r>
              <w:rPr>
                <w:rFonts w:ascii="Arial" w:cs="Arial" w:eastAsia="Arial" w:hAnsi="Arial"/>
                <w:sz w:val="16"/>
                <w:szCs w:val="16"/>
                <w:color w:val="auto"/>
              </w:rPr>
              <w:t>Less than 40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c>
          <w:tcPr>
            <w:tcW w:w="5520" w:type="dxa"/>
            <w:vAlign w:val="bottom"/>
            <w:tcBorders>
              <w:top w:val="single" w:sz="8" w:color="auto"/>
            </w:tcBorders>
            <w:shd w:val="clear" w:color="auto" w:fill="EAEAEA"/>
          </w:tcPr>
          <w:p>
            <w:pPr>
              <w:ind w:left="3880"/>
              <w:spacing w:after="0"/>
              <w:rPr>
                <w:sz w:val="20"/>
                <w:szCs w:val="20"/>
                <w:color w:val="auto"/>
              </w:rPr>
            </w:pPr>
            <w:r>
              <w:rPr>
                <w:rFonts w:ascii="Arial" w:cs="Arial" w:eastAsia="Arial" w:hAnsi="Arial"/>
                <w:sz w:val="16"/>
                <w:szCs w:val="16"/>
                <w:color w:val="auto"/>
              </w:rPr>
              <w:t>0% of target shares</w:t>
            </w:r>
          </w:p>
        </w:tc>
        <w:tc>
          <w:tcPr>
            <w:tcW w:w="400" w:type="dxa"/>
            <w:vAlign w:val="bottom"/>
          </w:tcPr>
          <w:p>
            <w:pPr>
              <w:spacing w:after="0"/>
              <w:rPr>
                <w:sz w:val="20"/>
                <w:szCs w:val="20"/>
                <w:color w:val="auto"/>
              </w:rPr>
            </w:pPr>
          </w:p>
        </w:tc>
      </w:tr>
      <w:tr>
        <w:trPr>
          <w:trHeight w:val="243"/>
        </w:trPr>
        <w:tc>
          <w:tcPr>
            <w:tcW w:w="3600" w:type="dxa"/>
            <w:vAlign w:val="bottom"/>
          </w:tcPr>
          <w:p>
            <w:pPr>
              <w:ind w:left="80"/>
              <w:spacing w:after="0" w:line="242" w:lineRule="exact"/>
              <w:rPr>
                <w:sz w:val="20"/>
                <w:szCs w:val="20"/>
                <w:color w:val="auto"/>
              </w:rPr>
            </w:pPr>
            <w:r>
              <w:rPr>
                <w:rFonts w:ascii="Arial" w:cs="Arial" w:eastAsia="Arial" w:hAnsi="Arial"/>
                <w:sz w:val="16"/>
                <w:szCs w:val="16"/>
                <w:color w:val="auto"/>
              </w:rPr>
              <w:t>40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c>
          <w:tcPr>
            <w:tcW w:w="5920" w:type="dxa"/>
            <w:vAlign w:val="bottom"/>
            <w:gridSpan w:val="2"/>
          </w:tcPr>
          <w:p>
            <w:pPr>
              <w:ind w:left="3880"/>
              <w:spacing w:after="0"/>
              <w:rPr>
                <w:sz w:val="20"/>
                <w:szCs w:val="20"/>
                <w:color w:val="auto"/>
              </w:rPr>
            </w:pPr>
            <w:r>
              <w:rPr>
                <w:rFonts w:ascii="Arial" w:cs="Arial" w:eastAsia="Arial" w:hAnsi="Arial"/>
                <w:sz w:val="16"/>
                <w:szCs w:val="16"/>
                <w:color w:val="auto"/>
              </w:rPr>
              <w:t>50% of target shares</w:t>
            </w:r>
          </w:p>
        </w:tc>
      </w:tr>
      <w:tr>
        <w:trPr>
          <w:trHeight w:val="243"/>
        </w:trPr>
        <w:tc>
          <w:tcPr>
            <w:tcW w:w="3600" w:type="dxa"/>
            <w:vAlign w:val="bottom"/>
            <w:shd w:val="clear" w:color="auto" w:fill="EAEAEA"/>
          </w:tcPr>
          <w:p>
            <w:pPr>
              <w:ind w:left="80"/>
              <w:spacing w:after="0" w:line="242" w:lineRule="exact"/>
              <w:rPr>
                <w:sz w:val="20"/>
                <w:szCs w:val="20"/>
                <w:color w:val="auto"/>
              </w:rPr>
            </w:pPr>
            <w:r>
              <w:rPr>
                <w:rFonts w:ascii="Arial" w:cs="Arial" w:eastAsia="Arial" w:hAnsi="Arial"/>
                <w:sz w:val="16"/>
                <w:szCs w:val="16"/>
                <w:color w:val="auto"/>
              </w:rPr>
              <w:t>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c>
          <w:tcPr>
            <w:tcW w:w="5520" w:type="dxa"/>
            <w:vAlign w:val="bottom"/>
            <w:shd w:val="clear" w:color="auto" w:fill="EAEAEA"/>
          </w:tcPr>
          <w:p>
            <w:pPr>
              <w:ind w:left="3880"/>
              <w:spacing w:after="0"/>
              <w:rPr>
                <w:sz w:val="20"/>
                <w:szCs w:val="20"/>
                <w:color w:val="auto"/>
              </w:rPr>
            </w:pPr>
            <w:r>
              <w:rPr>
                <w:rFonts w:ascii="Arial" w:cs="Arial" w:eastAsia="Arial" w:hAnsi="Arial"/>
                <w:sz w:val="16"/>
                <w:szCs w:val="16"/>
                <w:color w:val="auto"/>
              </w:rPr>
              <w:t>100% of target shares</w:t>
            </w:r>
          </w:p>
        </w:tc>
        <w:tc>
          <w:tcPr>
            <w:tcW w:w="400" w:type="dxa"/>
            <w:vAlign w:val="bottom"/>
          </w:tcPr>
          <w:p>
            <w:pPr>
              <w:spacing w:after="0"/>
              <w:rPr>
                <w:sz w:val="21"/>
                <w:szCs w:val="21"/>
                <w:color w:val="auto"/>
              </w:rPr>
            </w:pPr>
          </w:p>
        </w:tc>
      </w:tr>
      <w:tr>
        <w:trPr>
          <w:trHeight w:val="362"/>
        </w:trPr>
        <w:tc>
          <w:tcPr>
            <w:tcW w:w="3600" w:type="dxa"/>
            <w:vAlign w:val="bottom"/>
          </w:tcPr>
          <w:p>
            <w:pPr>
              <w:ind w:left="80"/>
              <w:spacing w:after="0"/>
              <w:rPr>
                <w:sz w:val="20"/>
                <w:szCs w:val="20"/>
                <w:color w:val="auto"/>
              </w:rPr>
            </w:pPr>
            <w:r>
              <w:rPr>
                <w:rFonts w:ascii="Arial" w:cs="Arial" w:eastAsia="Arial" w:hAnsi="Arial"/>
                <w:sz w:val="16"/>
                <w:szCs w:val="16"/>
                <w:color w:val="auto"/>
              </w:rPr>
              <w:t>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c>
          <w:tcPr>
            <w:tcW w:w="5920" w:type="dxa"/>
            <w:vAlign w:val="bottom"/>
            <w:gridSpan w:val="2"/>
          </w:tcPr>
          <w:p>
            <w:pPr>
              <w:ind w:left="3880"/>
              <w:spacing w:after="0"/>
              <w:rPr>
                <w:sz w:val="20"/>
                <w:szCs w:val="20"/>
                <w:color w:val="auto"/>
              </w:rPr>
            </w:pPr>
            <w:r>
              <w:rPr>
                <w:rFonts w:ascii="Arial" w:cs="Arial" w:eastAsia="Arial" w:hAnsi="Arial"/>
                <w:sz w:val="16"/>
                <w:szCs w:val="16"/>
                <w:color w:val="auto"/>
              </w:rPr>
              <w:t>200% of target shares</w:t>
            </w:r>
          </w:p>
        </w:tc>
      </w:tr>
      <w:tr>
        <w:trPr>
          <w:trHeight w:val="645"/>
        </w:trPr>
        <w:tc>
          <w:tcPr>
            <w:tcW w:w="3600" w:type="dxa"/>
            <w:vAlign w:val="bottom"/>
          </w:tcPr>
          <w:p>
            <w:pPr>
              <w:spacing w:after="0"/>
              <w:rPr>
                <w:sz w:val="24"/>
                <w:szCs w:val="24"/>
                <w:color w:val="auto"/>
              </w:rPr>
            </w:pPr>
          </w:p>
        </w:tc>
        <w:tc>
          <w:tcPr>
            <w:tcW w:w="5920" w:type="dxa"/>
            <w:vAlign w:val="bottom"/>
            <w:gridSpan w:val="2"/>
          </w:tcPr>
          <w:p>
            <w:pPr>
              <w:ind w:left="1700"/>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r>
              <w:rPr>
                <w:rFonts w:ascii="Arial" w:cs="Arial" w:eastAsia="Arial" w:hAnsi="Arial"/>
                <w:sz w:val="14"/>
                <w:szCs w:val="14"/>
                <w:color w:val="005CB9"/>
              </w:rPr>
              <w:t xml:space="preserve">    </w:t>
            </w:r>
            <w:r>
              <w:rPr>
                <w:rFonts w:ascii="Arial" w:cs="Arial" w:eastAsia="Arial" w:hAnsi="Arial"/>
                <w:sz w:val="16"/>
                <w:szCs w:val="16"/>
                <w:b w:val="1"/>
                <w:bCs w:val="1"/>
                <w:color w:val="000000"/>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-201295</wp:posOffset>
            </wp:positionV>
            <wp:extent cx="291465"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1000" w:hanging="333"/>
        <w:spacing w:after="0" w:line="247"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Recurrent Consumer Spending performance-based vesting is determined by comparing the following two measurements and using the measurement that results in the greatest number of RSUs vesting: (i) the percentage change between the Recurrent Consumer Spending for the base fiscal year (which is the fiscal year prior to the fiscal year in which the grant was made) and the two-year average Recurrent Consumer Spending for the two fiscal years following the base fiscal year (“</w:t>
      </w:r>
      <w:r>
        <w:rPr>
          <w:rFonts w:ascii="Arial" w:cs="Arial" w:eastAsia="Arial" w:hAnsi="Arial"/>
          <w:sz w:val="16"/>
          <w:szCs w:val="16"/>
          <w:i w:val="1"/>
          <w:iCs w:val="1"/>
          <w:color w:val="auto"/>
        </w:rPr>
        <w:t>Absolute Recurrent Consumer</w:t>
      </w:r>
      <w:r>
        <w:rPr>
          <w:rFonts w:ascii="Arial" w:cs="Arial" w:eastAsia="Arial" w:hAnsi="Arial"/>
          <w:sz w:val="16"/>
          <w:szCs w:val="16"/>
          <w:color w:val="auto"/>
        </w:rPr>
        <w:t xml:space="preserve"> </w:t>
      </w:r>
      <w:r>
        <w:rPr>
          <w:rFonts w:ascii="Arial" w:cs="Arial" w:eastAsia="Arial" w:hAnsi="Arial"/>
          <w:sz w:val="16"/>
          <w:szCs w:val="16"/>
          <w:i w:val="1"/>
          <w:iCs w:val="1"/>
          <w:color w:val="auto"/>
        </w:rPr>
        <w:t>Spending Growth</w:t>
      </w:r>
      <w:r>
        <w:rPr>
          <w:rFonts w:ascii="Arial" w:cs="Arial" w:eastAsia="Arial" w:hAnsi="Arial"/>
          <w:sz w:val="16"/>
          <w:szCs w:val="16"/>
          <w:color w:val="auto"/>
        </w:rPr>
        <w:t>”) and (ii) the two-year average Recurrent Consumer Spending the two fiscal years following the base fiscal year as</w:t>
      </w:r>
      <w:r>
        <w:rPr>
          <w:rFonts w:ascii="Arial" w:cs="Arial" w:eastAsia="Arial" w:hAnsi="Arial"/>
          <w:sz w:val="16"/>
          <w:szCs w:val="16"/>
          <w:i w:val="1"/>
          <w:iCs w:val="1"/>
          <w:color w:val="auto"/>
        </w:rPr>
        <w:t xml:space="preserve"> </w:t>
      </w:r>
      <w:r>
        <w:rPr>
          <w:rFonts w:ascii="Arial" w:cs="Arial" w:eastAsia="Arial" w:hAnsi="Arial"/>
          <w:sz w:val="16"/>
          <w:szCs w:val="16"/>
          <w:color w:val="auto"/>
        </w:rPr>
        <w:t>a percentage of the two-year average total net bookings for the same period (“</w:t>
      </w:r>
      <w:r>
        <w:rPr>
          <w:rFonts w:ascii="Arial" w:cs="Arial" w:eastAsia="Arial" w:hAnsi="Arial"/>
          <w:sz w:val="16"/>
          <w:szCs w:val="16"/>
          <w:i w:val="1"/>
          <w:iCs w:val="1"/>
          <w:color w:val="auto"/>
        </w:rPr>
        <w:t>Relative Recurrent Consumer Spending</w:t>
      </w:r>
      <w:r>
        <w:rPr>
          <w:rFonts w:ascii="Arial" w:cs="Arial" w:eastAsia="Arial" w:hAnsi="Arial"/>
          <w:sz w:val="16"/>
          <w:szCs w:val="16"/>
          <w:color w:val="auto"/>
        </w:rPr>
        <w:t>”). Recurrent Consumer Spending consists of the consolidated net bookings generated by the Company that are supplemental to the sale of any full game release from the sale of virtual currency, add-on content, in-game purchases and similar items, calculated on a basis consistent with how the Company calculates recurrent consumer spending for its management reporting. The table below describes the vesting schedule for the Recurrent Consumer Spending performance-based shares (with the measurement that results in the greatest number of RSUs vesting being determinative):</w:t>
      </w:r>
    </w:p>
    <w:p>
      <w:pPr>
        <w:spacing w:after="0" w:line="224"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3620" w:type="dxa"/>
            <w:vAlign w:val="bottom"/>
          </w:tcPr>
          <w:p>
            <w:pPr>
              <w:jc w:val="center"/>
              <w:ind w:left="1644"/>
              <w:spacing w:after="0"/>
              <w:rPr>
                <w:sz w:val="20"/>
                <w:szCs w:val="20"/>
                <w:color w:val="auto"/>
              </w:rPr>
            </w:pPr>
            <w:r>
              <w:rPr>
                <w:rFonts w:ascii="Arial" w:cs="Arial" w:eastAsia="Arial" w:hAnsi="Arial"/>
                <w:sz w:val="14"/>
                <w:szCs w:val="14"/>
                <w:b w:val="1"/>
                <w:bCs w:val="1"/>
                <w:color w:val="005CB9"/>
              </w:rPr>
              <w:t>Absolute Recurrent</w:t>
            </w:r>
          </w:p>
        </w:tc>
      </w:tr>
      <w:tr>
        <w:trPr>
          <w:trHeight w:val="162"/>
        </w:trPr>
        <w:tc>
          <w:tcPr>
            <w:tcW w:w="5500" w:type="dxa"/>
            <w:vAlign w:val="bottom"/>
          </w:tcPr>
          <w:p>
            <w:pPr>
              <w:spacing w:after="0"/>
              <w:rPr>
                <w:sz w:val="14"/>
                <w:szCs w:val="14"/>
                <w:color w:val="auto"/>
              </w:rPr>
            </w:pPr>
          </w:p>
        </w:tc>
        <w:tc>
          <w:tcPr>
            <w:tcW w:w="3620" w:type="dxa"/>
            <w:vAlign w:val="bottom"/>
          </w:tcPr>
          <w:p>
            <w:pPr>
              <w:jc w:val="center"/>
              <w:ind w:left="1644"/>
              <w:spacing w:after="0"/>
              <w:rPr>
                <w:sz w:val="20"/>
                <w:szCs w:val="20"/>
                <w:color w:val="auto"/>
              </w:rPr>
            </w:pPr>
            <w:r>
              <w:rPr>
                <w:rFonts w:ascii="Arial" w:cs="Arial" w:eastAsia="Arial" w:hAnsi="Arial"/>
                <w:sz w:val="14"/>
                <w:szCs w:val="14"/>
                <w:b w:val="1"/>
                <w:bCs w:val="1"/>
                <w:color w:val="005CB9"/>
              </w:rPr>
              <w:t>Consumer</w:t>
            </w:r>
          </w:p>
        </w:tc>
      </w:tr>
      <w:tr>
        <w:trPr>
          <w:trHeight w:val="162"/>
        </w:trPr>
        <w:tc>
          <w:tcPr>
            <w:tcW w:w="5500" w:type="dxa"/>
            <w:vAlign w:val="bottom"/>
          </w:tcPr>
          <w:p>
            <w:pPr>
              <w:ind w:left="80"/>
              <w:spacing w:after="0"/>
              <w:rPr>
                <w:sz w:val="20"/>
                <w:szCs w:val="20"/>
                <w:color w:val="auto"/>
              </w:rPr>
            </w:pPr>
            <w:r>
              <w:rPr>
                <w:rFonts w:ascii="Arial" w:cs="Arial" w:eastAsia="Arial" w:hAnsi="Arial"/>
                <w:sz w:val="14"/>
                <w:szCs w:val="14"/>
                <w:b w:val="1"/>
                <w:bCs w:val="1"/>
                <w:color w:val="005CB9"/>
              </w:rPr>
              <w:t>Absolute Recurrent Consumer Spending Growth</w:t>
            </w:r>
          </w:p>
        </w:tc>
        <w:tc>
          <w:tcPr>
            <w:tcW w:w="3620" w:type="dxa"/>
            <w:vAlign w:val="bottom"/>
          </w:tcPr>
          <w:p>
            <w:pPr>
              <w:jc w:val="center"/>
              <w:ind w:left="1644"/>
              <w:spacing w:after="0"/>
              <w:rPr>
                <w:sz w:val="20"/>
                <w:szCs w:val="20"/>
                <w:color w:val="auto"/>
              </w:rPr>
            </w:pPr>
            <w:r>
              <w:rPr>
                <w:rFonts w:ascii="Arial" w:cs="Arial" w:eastAsia="Arial" w:hAnsi="Arial"/>
                <w:sz w:val="14"/>
                <w:szCs w:val="14"/>
                <w:b w:val="1"/>
                <w:bCs w:val="1"/>
                <w:color w:val="005CB9"/>
              </w:rPr>
              <w:t>Spending Vesting</w:t>
            </w:r>
          </w:p>
        </w:tc>
      </w:tr>
      <w:tr>
        <w:trPr>
          <w:trHeight w:val="175"/>
        </w:trPr>
        <w:tc>
          <w:tcPr>
            <w:tcW w:w="5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5CB9"/>
              </w:rPr>
              <w:t>(during the relevant measurement period)</w:t>
            </w:r>
          </w:p>
        </w:tc>
        <w:tc>
          <w:tcPr>
            <w:tcW w:w="3620" w:type="dxa"/>
            <w:vAlign w:val="bottom"/>
            <w:tcBorders>
              <w:bottom w:val="single" w:sz="8" w:color="auto"/>
            </w:tcBorders>
          </w:tcPr>
          <w:p>
            <w:pPr>
              <w:jc w:val="center"/>
              <w:ind w:left="1644"/>
              <w:spacing w:after="0"/>
              <w:rPr>
                <w:sz w:val="20"/>
                <w:szCs w:val="20"/>
                <w:color w:val="auto"/>
              </w:rPr>
            </w:pPr>
            <w:r>
              <w:rPr>
                <w:rFonts w:ascii="Arial" w:cs="Arial" w:eastAsia="Arial" w:hAnsi="Arial"/>
                <w:sz w:val="14"/>
                <w:szCs w:val="14"/>
                <w:b w:val="1"/>
                <w:bCs w:val="1"/>
                <w:color w:val="005CB9"/>
              </w:rPr>
              <w:t>Percentage</w:t>
            </w:r>
          </w:p>
        </w:tc>
      </w:tr>
      <w:tr>
        <w:trPr>
          <w:trHeight w:val="236"/>
        </w:trPr>
        <w:tc>
          <w:tcPr>
            <w:tcW w:w="5500" w:type="dxa"/>
            <w:vAlign w:val="bottom"/>
            <w:shd w:val="clear" w:color="auto" w:fill="EAEAEA"/>
          </w:tcPr>
          <w:p>
            <w:pPr>
              <w:ind w:left="80"/>
              <w:spacing w:after="0"/>
              <w:rPr>
                <w:sz w:val="20"/>
                <w:szCs w:val="20"/>
                <w:color w:val="auto"/>
              </w:rPr>
            </w:pPr>
            <w:r>
              <w:rPr>
                <w:rFonts w:ascii="Arial" w:cs="Arial" w:eastAsia="Arial" w:hAnsi="Arial"/>
                <w:sz w:val="16"/>
                <w:szCs w:val="16"/>
                <w:color w:val="auto"/>
              </w:rPr>
              <w:t>Less than 3%</w:t>
            </w:r>
          </w:p>
        </w:tc>
        <w:tc>
          <w:tcPr>
            <w:tcW w:w="3620" w:type="dxa"/>
            <w:vAlign w:val="bottom"/>
            <w:shd w:val="clear" w:color="auto" w:fill="EAEAEA"/>
          </w:tcPr>
          <w:p>
            <w:pPr>
              <w:ind w:left="1940"/>
              <w:spacing w:after="0"/>
              <w:rPr>
                <w:sz w:val="20"/>
                <w:szCs w:val="20"/>
                <w:color w:val="auto"/>
              </w:rPr>
            </w:pPr>
            <w:r>
              <w:rPr>
                <w:rFonts w:ascii="Arial" w:cs="Arial" w:eastAsia="Arial" w:hAnsi="Arial"/>
                <w:sz w:val="16"/>
                <w:szCs w:val="16"/>
                <w:color w:val="auto"/>
              </w:rPr>
              <w:t>0% of target shares</w:t>
            </w:r>
          </w:p>
        </w:tc>
      </w:tr>
      <w:tr>
        <w:trPr>
          <w:trHeight w:val="233"/>
        </w:trPr>
        <w:tc>
          <w:tcPr>
            <w:tcW w:w="5500" w:type="dxa"/>
            <w:vAlign w:val="bottom"/>
          </w:tcPr>
          <w:p>
            <w:pPr>
              <w:ind w:left="80"/>
              <w:spacing w:after="0"/>
              <w:rPr>
                <w:sz w:val="20"/>
                <w:szCs w:val="20"/>
                <w:color w:val="auto"/>
              </w:rPr>
            </w:pPr>
            <w:r>
              <w:rPr>
                <w:rFonts w:ascii="Arial" w:cs="Arial" w:eastAsia="Arial" w:hAnsi="Arial"/>
                <w:sz w:val="16"/>
                <w:szCs w:val="16"/>
                <w:color w:val="auto"/>
              </w:rPr>
              <w:t>3%</w:t>
            </w:r>
          </w:p>
        </w:tc>
        <w:tc>
          <w:tcPr>
            <w:tcW w:w="3620" w:type="dxa"/>
            <w:vAlign w:val="bottom"/>
          </w:tcPr>
          <w:p>
            <w:pPr>
              <w:jc w:val="center"/>
              <w:ind w:left="1684"/>
              <w:spacing w:after="0"/>
              <w:rPr>
                <w:sz w:val="20"/>
                <w:szCs w:val="20"/>
                <w:color w:val="auto"/>
              </w:rPr>
            </w:pPr>
            <w:r>
              <w:rPr>
                <w:rFonts w:ascii="Arial" w:cs="Arial" w:eastAsia="Arial" w:hAnsi="Arial"/>
                <w:sz w:val="16"/>
                <w:szCs w:val="16"/>
                <w:color w:val="auto"/>
              </w:rPr>
              <w:t>50% of target shares</w:t>
            </w:r>
          </w:p>
        </w:tc>
      </w:tr>
      <w:tr>
        <w:trPr>
          <w:trHeight w:val="253"/>
        </w:trPr>
        <w:tc>
          <w:tcPr>
            <w:tcW w:w="5500" w:type="dxa"/>
            <w:vAlign w:val="bottom"/>
            <w:shd w:val="clear" w:color="auto" w:fill="EAEAEA"/>
          </w:tcPr>
          <w:p>
            <w:pPr>
              <w:ind w:left="80"/>
              <w:spacing w:after="0"/>
              <w:rPr>
                <w:sz w:val="20"/>
                <w:szCs w:val="20"/>
                <w:color w:val="auto"/>
              </w:rPr>
            </w:pPr>
            <w:r>
              <w:rPr>
                <w:rFonts w:ascii="Arial" w:cs="Arial" w:eastAsia="Arial" w:hAnsi="Arial"/>
                <w:sz w:val="16"/>
                <w:szCs w:val="16"/>
                <w:color w:val="auto"/>
              </w:rPr>
              <w:t>6%</w:t>
            </w:r>
          </w:p>
        </w:tc>
        <w:tc>
          <w:tcPr>
            <w:tcW w:w="3620" w:type="dxa"/>
            <w:vAlign w:val="bottom"/>
            <w:shd w:val="clear" w:color="auto" w:fill="EAEAEA"/>
          </w:tcPr>
          <w:p>
            <w:pPr>
              <w:ind w:left="1940"/>
              <w:spacing w:after="0"/>
              <w:rPr>
                <w:sz w:val="20"/>
                <w:szCs w:val="20"/>
                <w:color w:val="auto"/>
              </w:rPr>
            </w:pPr>
            <w:r>
              <w:rPr>
                <w:rFonts w:ascii="Arial" w:cs="Arial" w:eastAsia="Arial" w:hAnsi="Arial"/>
                <w:sz w:val="16"/>
                <w:szCs w:val="16"/>
                <w:color w:val="auto"/>
              </w:rPr>
              <w:t>100% of target shares</w:t>
            </w:r>
          </w:p>
        </w:tc>
      </w:tr>
      <w:tr>
        <w:trPr>
          <w:trHeight w:val="223"/>
        </w:trPr>
        <w:tc>
          <w:tcPr>
            <w:tcW w:w="5500" w:type="dxa"/>
            <w:vAlign w:val="bottom"/>
          </w:tcPr>
          <w:p>
            <w:pPr>
              <w:ind w:left="80"/>
              <w:spacing w:after="0"/>
              <w:rPr>
                <w:sz w:val="20"/>
                <w:szCs w:val="20"/>
                <w:color w:val="auto"/>
              </w:rPr>
            </w:pPr>
            <w:r>
              <w:rPr>
                <w:rFonts w:ascii="Arial" w:cs="Arial" w:eastAsia="Arial" w:hAnsi="Arial"/>
                <w:sz w:val="16"/>
                <w:szCs w:val="16"/>
                <w:color w:val="auto"/>
              </w:rPr>
              <w:t>9% or greater</w:t>
            </w:r>
          </w:p>
        </w:tc>
        <w:tc>
          <w:tcPr>
            <w:tcW w:w="3620" w:type="dxa"/>
            <w:vAlign w:val="bottom"/>
          </w:tcPr>
          <w:p>
            <w:pPr>
              <w:ind w:left="1940"/>
              <w:spacing w:after="0"/>
              <w:rPr>
                <w:sz w:val="20"/>
                <w:szCs w:val="20"/>
                <w:color w:val="auto"/>
              </w:rPr>
            </w:pPr>
            <w:r>
              <w:rPr>
                <w:rFonts w:ascii="Arial" w:cs="Arial" w:eastAsia="Arial" w:hAnsi="Arial"/>
                <w:sz w:val="16"/>
                <w:szCs w:val="16"/>
                <w:color w:val="auto"/>
              </w:rPr>
              <w:t>200% of target shares</w:t>
            </w:r>
          </w:p>
        </w:tc>
      </w:tr>
      <w:tr>
        <w:trPr>
          <w:trHeight w:val="654"/>
        </w:trPr>
        <w:tc>
          <w:tcPr>
            <w:tcW w:w="5500" w:type="dxa"/>
            <w:vAlign w:val="bottom"/>
          </w:tcPr>
          <w:p>
            <w:pPr>
              <w:spacing w:after="0"/>
              <w:rPr>
                <w:sz w:val="24"/>
                <w:szCs w:val="24"/>
                <w:color w:val="auto"/>
              </w:rPr>
            </w:pPr>
          </w:p>
        </w:tc>
        <w:tc>
          <w:tcPr>
            <w:tcW w:w="3620" w:type="dxa"/>
            <w:vAlign w:val="bottom"/>
          </w:tcPr>
          <w:p>
            <w:pPr>
              <w:jc w:val="center"/>
              <w:ind w:left="1644"/>
              <w:spacing w:after="0"/>
              <w:rPr>
                <w:sz w:val="20"/>
                <w:szCs w:val="20"/>
                <w:color w:val="auto"/>
              </w:rPr>
            </w:pPr>
            <w:r>
              <w:rPr>
                <w:rFonts w:ascii="Arial" w:cs="Arial" w:eastAsia="Arial" w:hAnsi="Arial"/>
                <w:sz w:val="14"/>
                <w:szCs w:val="14"/>
                <w:b w:val="1"/>
                <w:bCs w:val="1"/>
                <w:color w:val="005CB9"/>
              </w:rPr>
              <w:t>Relative Recurrent</w:t>
            </w:r>
          </w:p>
        </w:tc>
      </w:tr>
      <w:tr>
        <w:trPr>
          <w:trHeight w:val="162"/>
        </w:trPr>
        <w:tc>
          <w:tcPr>
            <w:tcW w:w="5500" w:type="dxa"/>
            <w:vAlign w:val="bottom"/>
          </w:tcPr>
          <w:p>
            <w:pPr>
              <w:spacing w:after="0"/>
              <w:rPr>
                <w:sz w:val="14"/>
                <w:szCs w:val="14"/>
                <w:color w:val="auto"/>
              </w:rPr>
            </w:pPr>
          </w:p>
        </w:tc>
        <w:tc>
          <w:tcPr>
            <w:tcW w:w="3620" w:type="dxa"/>
            <w:vAlign w:val="bottom"/>
          </w:tcPr>
          <w:p>
            <w:pPr>
              <w:jc w:val="center"/>
              <w:ind w:left="1644"/>
              <w:spacing w:after="0"/>
              <w:rPr>
                <w:sz w:val="20"/>
                <w:szCs w:val="20"/>
                <w:color w:val="auto"/>
              </w:rPr>
            </w:pPr>
            <w:r>
              <w:rPr>
                <w:rFonts w:ascii="Arial" w:cs="Arial" w:eastAsia="Arial" w:hAnsi="Arial"/>
                <w:sz w:val="14"/>
                <w:szCs w:val="14"/>
                <w:b w:val="1"/>
                <w:bCs w:val="1"/>
                <w:color w:val="005CB9"/>
              </w:rPr>
              <w:t>Consumer</w:t>
            </w:r>
          </w:p>
        </w:tc>
      </w:tr>
      <w:tr>
        <w:trPr>
          <w:trHeight w:val="162"/>
        </w:trPr>
        <w:tc>
          <w:tcPr>
            <w:tcW w:w="5500" w:type="dxa"/>
            <w:vAlign w:val="bottom"/>
          </w:tcPr>
          <w:p>
            <w:pPr>
              <w:ind w:left="80"/>
              <w:spacing w:after="0"/>
              <w:rPr>
                <w:sz w:val="20"/>
                <w:szCs w:val="20"/>
                <w:color w:val="auto"/>
              </w:rPr>
            </w:pPr>
            <w:r>
              <w:rPr>
                <w:rFonts w:ascii="Arial" w:cs="Arial" w:eastAsia="Arial" w:hAnsi="Arial"/>
                <w:sz w:val="14"/>
                <w:szCs w:val="14"/>
                <w:b w:val="1"/>
                <w:bCs w:val="1"/>
                <w:color w:val="005CB9"/>
              </w:rPr>
              <w:t>Relative Recurrent Consumer Spending (as a</w:t>
            </w:r>
          </w:p>
        </w:tc>
        <w:tc>
          <w:tcPr>
            <w:tcW w:w="3620" w:type="dxa"/>
            <w:vAlign w:val="bottom"/>
          </w:tcPr>
          <w:p>
            <w:pPr>
              <w:jc w:val="center"/>
              <w:ind w:left="1644"/>
              <w:spacing w:after="0"/>
              <w:rPr>
                <w:sz w:val="20"/>
                <w:szCs w:val="20"/>
                <w:color w:val="auto"/>
              </w:rPr>
            </w:pPr>
            <w:r>
              <w:rPr>
                <w:rFonts w:ascii="Arial" w:cs="Arial" w:eastAsia="Arial" w:hAnsi="Arial"/>
                <w:sz w:val="14"/>
                <w:szCs w:val="14"/>
                <w:b w:val="1"/>
                <w:bCs w:val="1"/>
                <w:color w:val="005CB9"/>
              </w:rPr>
              <w:t>Spending Vesting</w:t>
            </w:r>
          </w:p>
        </w:tc>
      </w:tr>
      <w:tr>
        <w:trPr>
          <w:trHeight w:val="175"/>
        </w:trPr>
        <w:tc>
          <w:tcPr>
            <w:tcW w:w="5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5CB9"/>
              </w:rPr>
              <w:t>percentage of two-year average total net bookings)</w:t>
            </w:r>
          </w:p>
        </w:tc>
        <w:tc>
          <w:tcPr>
            <w:tcW w:w="3620" w:type="dxa"/>
            <w:vAlign w:val="bottom"/>
            <w:tcBorders>
              <w:bottom w:val="single" w:sz="8" w:color="auto"/>
            </w:tcBorders>
          </w:tcPr>
          <w:p>
            <w:pPr>
              <w:jc w:val="center"/>
              <w:ind w:left="1644"/>
              <w:spacing w:after="0"/>
              <w:rPr>
                <w:sz w:val="20"/>
                <w:szCs w:val="20"/>
                <w:color w:val="auto"/>
              </w:rPr>
            </w:pPr>
            <w:r>
              <w:rPr>
                <w:rFonts w:ascii="Arial" w:cs="Arial" w:eastAsia="Arial" w:hAnsi="Arial"/>
                <w:sz w:val="14"/>
                <w:szCs w:val="14"/>
                <w:b w:val="1"/>
                <w:bCs w:val="1"/>
                <w:color w:val="005CB9"/>
              </w:rPr>
              <w:t>Percentage</w:t>
            </w:r>
          </w:p>
        </w:tc>
      </w:tr>
      <w:tr>
        <w:trPr>
          <w:trHeight w:val="236"/>
        </w:trPr>
        <w:tc>
          <w:tcPr>
            <w:tcW w:w="5500" w:type="dxa"/>
            <w:vAlign w:val="bottom"/>
            <w:shd w:val="clear" w:color="auto" w:fill="EAEAEA"/>
          </w:tcPr>
          <w:p>
            <w:pPr>
              <w:ind w:left="80"/>
              <w:spacing w:after="0"/>
              <w:rPr>
                <w:sz w:val="20"/>
                <w:szCs w:val="20"/>
                <w:color w:val="auto"/>
              </w:rPr>
            </w:pPr>
            <w:r>
              <w:rPr>
                <w:rFonts w:ascii="Arial" w:cs="Arial" w:eastAsia="Arial" w:hAnsi="Arial"/>
                <w:sz w:val="16"/>
                <w:szCs w:val="16"/>
                <w:color w:val="auto"/>
              </w:rPr>
              <w:t>Less than 27.5%</w:t>
            </w:r>
          </w:p>
        </w:tc>
        <w:tc>
          <w:tcPr>
            <w:tcW w:w="3620" w:type="dxa"/>
            <w:vAlign w:val="bottom"/>
            <w:shd w:val="clear" w:color="auto" w:fill="EAEAEA"/>
          </w:tcPr>
          <w:p>
            <w:pPr>
              <w:ind w:left="1940"/>
              <w:spacing w:after="0"/>
              <w:rPr>
                <w:sz w:val="20"/>
                <w:szCs w:val="20"/>
                <w:color w:val="auto"/>
              </w:rPr>
            </w:pPr>
            <w:r>
              <w:rPr>
                <w:rFonts w:ascii="Arial" w:cs="Arial" w:eastAsia="Arial" w:hAnsi="Arial"/>
                <w:sz w:val="16"/>
                <w:szCs w:val="16"/>
                <w:color w:val="auto"/>
              </w:rPr>
              <w:t>0% of target shares</w:t>
            </w:r>
          </w:p>
        </w:tc>
      </w:tr>
      <w:tr>
        <w:trPr>
          <w:trHeight w:val="233"/>
        </w:trPr>
        <w:tc>
          <w:tcPr>
            <w:tcW w:w="5500" w:type="dxa"/>
            <w:vAlign w:val="bottom"/>
          </w:tcPr>
          <w:p>
            <w:pPr>
              <w:ind w:left="80"/>
              <w:spacing w:after="0"/>
              <w:rPr>
                <w:sz w:val="20"/>
                <w:szCs w:val="20"/>
                <w:color w:val="auto"/>
              </w:rPr>
            </w:pPr>
            <w:r>
              <w:rPr>
                <w:rFonts w:ascii="Arial" w:cs="Arial" w:eastAsia="Arial" w:hAnsi="Arial"/>
                <w:sz w:val="16"/>
                <w:szCs w:val="16"/>
                <w:color w:val="auto"/>
              </w:rPr>
              <w:t>27.5%</w:t>
            </w:r>
          </w:p>
        </w:tc>
        <w:tc>
          <w:tcPr>
            <w:tcW w:w="3620" w:type="dxa"/>
            <w:vAlign w:val="bottom"/>
          </w:tcPr>
          <w:p>
            <w:pPr>
              <w:jc w:val="center"/>
              <w:ind w:left="1684"/>
              <w:spacing w:after="0"/>
              <w:rPr>
                <w:sz w:val="20"/>
                <w:szCs w:val="20"/>
                <w:color w:val="auto"/>
              </w:rPr>
            </w:pPr>
            <w:r>
              <w:rPr>
                <w:rFonts w:ascii="Arial" w:cs="Arial" w:eastAsia="Arial" w:hAnsi="Arial"/>
                <w:sz w:val="16"/>
                <w:szCs w:val="16"/>
                <w:color w:val="auto"/>
              </w:rPr>
              <w:t>50% of target shares</w:t>
            </w:r>
          </w:p>
        </w:tc>
      </w:tr>
      <w:tr>
        <w:trPr>
          <w:trHeight w:val="253"/>
        </w:trPr>
        <w:tc>
          <w:tcPr>
            <w:tcW w:w="5500" w:type="dxa"/>
            <w:vAlign w:val="bottom"/>
            <w:shd w:val="clear" w:color="auto" w:fill="EAEAEA"/>
          </w:tcPr>
          <w:p>
            <w:pPr>
              <w:ind w:left="80"/>
              <w:spacing w:after="0"/>
              <w:rPr>
                <w:sz w:val="20"/>
                <w:szCs w:val="20"/>
                <w:color w:val="auto"/>
              </w:rPr>
            </w:pPr>
            <w:r>
              <w:rPr>
                <w:rFonts w:ascii="Arial" w:cs="Arial" w:eastAsia="Arial" w:hAnsi="Arial"/>
                <w:sz w:val="16"/>
                <w:szCs w:val="16"/>
                <w:color w:val="auto"/>
              </w:rPr>
              <w:t>37.5%</w:t>
            </w:r>
          </w:p>
        </w:tc>
        <w:tc>
          <w:tcPr>
            <w:tcW w:w="3620" w:type="dxa"/>
            <w:vAlign w:val="bottom"/>
            <w:shd w:val="clear" w:color="auto" w:fill="EAEAEA"/>
          </w:tcPr>
          <w:p>
            <w:pPr>
              <w:ind w:left="1940"/>
              <w:spacing w:after="0"/>
              <w:rPr>
                <w:sz w:val="20"/>
                <w:szCs w:val="20"/>
                <w:color w:val="auto"/>
              </w:rPr>
            </w:pPr>
            <w:r>
              <w:rPr>
                <w:rFonts w:ascii="Arial" w:cs="Arial" w:eastAsia="Arial" w:hAnsi="Arial"/>
                <w:sz w:val="16"/>
                <w:szCs w:val="16"/>
                <w:color w:val="auto"/>
              </w:rPr>
              <w:t>100% of target shares</w:t>
            </w:r>
          </w:p>
        </w:tc>
      </w:tr>
      <w:tr>
        <w:trPr>
          <w:trHeight w:val="223"/>
        </w:trPr>
        <w:tc>
          <w:tcPr>
            <w:tcW w:w="5500" w:type="dxa"/>
            <w:vAlign w:val="bottom"/>
          </w:tcPr>
          <w:p>
            <w:pPr>
              <w:ind w:left="80"/>
              <w:spacing w:after="0"/>
              <w:rPr>
                <w:sz w:val="20"/>
                <w:szCs w:val="20"/>
                <w:color w:val="auto"/>
              </w:rPr>
            </w:pPr>
            <w:r>
              <w:rPr>
                <w:rFonts w:ascii="Arial" w:cs="Arial" w:eastAsia="Arial" w:hAnsi="Arial"/>
                <w:sz w:val="16"/>
                <w:szCs w:val="16"/>
                <w:color w:val="auto"/>
              </w:rPr>
              <w:t>47.5% or greater</w:t>
            </w:r>
          </w:p>
        </w:tc>
        <w:tc>
          <w:tcPr>
            <w:tcW w:w="3620" w:type="dxa"/>
            <w:vAlign w:val="bottom"/>
          </w:tcPr>
          <w:p>
            <w:pPr>
              <w:ind w:left="1940"/>
              <w:spacing w:after="0"/>
              <w:rPr>
                <w:sz w:val="20"/>
                <w:szCs w:val="20"/>
                <w:color w:val="auto"/>
              </w:rPr>
            </w:pPr>
            <w:r>
              <w:rPr>
                <w:rFonts w:ascii="Arial" w:cs="Arial" w:eastAsia="Arial" w:hAnsi="Arial"/>
                <w:sz w:val="16"/>
                <w:szCs w:val="16"/>
                <w:color w:val="auto"/>
              </w:rPr>
              <w:t>200% of target shares</w:t>
            </w:r>
          </w:p>
        </w:tc>
      </w:tr>
    </w:tbl>
    <w:p>
      <w:pPr>
        <w:spacing w:after="0" w:line="143" w:lineRule="exact"/>
        <w:rPr>
          <w:sz w:val="20"/>
          <w:szCs w:val="20"/>
          <w:color w:val="auto"/>
        </w:rPr>
      </w:pPr>
    </w:p>
    <w:p>
      <w:pPr>
        <w:ind w:left="1000" w:hanging="333"/>
        <w:spacing w:after="0" w:line="250"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IP performance-based vesting is a function of the number of units “sold-in” (sell-in performance) with respect to certain releases of IP during the performance period. IP consists of any commercially-released interactive entertainment products, and products that are derived from such existing products. This metric underscores and promotes our long-term strategy of creating additional strong franchises and building game franchises through game sequels. The table below describes the vesting schedule for the IP performance-based shares:</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5CB9"/>
              </w:rPr>
              <w:t>IP Sell-In Performance</w:t>
            </w:r>
          </w:p>
        </w:tc>
        <w:tc>
          <w:tcPr>
            <w:tcW w:w="348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005CB9"/>
              </w:rPr>
              <w:t>IP Vesting Percentage</w:t>
            </w:r>
          </w:p>
        </w:tc>
      </w:tr>
      <w:tr>
        <w:trPr>
          <w:trHeight w:val="237"/>
        </w:trPr>
        <w:tc>
          <w:tcPr>
            <w:tcW w:w="400" w:type="dxa"/>
            <w:vAlign w:val="bottom"/>
          </w:tcPr>
          <w:p>
            <w:pPr>
              <w:spacing w:after="0"/>
              <w:rPr>
                <w:sz w:val="20"/>
                <w:szCs w:val="20"/>
                <w:color w:val="auto"/>
              </w:rPr>
            </w:pPr>
          </w:p>
        </w:tc>
        <w:tc>
          <w:tcPr>
            <w:tcW w:w="5640" w:type="dxa"/>
            <w:vAlign w:val="bottom"/>
            <w:shd w:val="clear" w:color="auto" w:fill="EAEAEA"/>
          </w:tcPr>
          <w:p>
            <w:pPr>
              <w:ind w:left="80"/>
              <w:spacing w:after="0"/>
              <w:rPr>
                <w:sz w:val="20"/>
                <w:szCs w:val="20"/>
                <w:color w:val="auto"/>
              </w:rPr>
            </w:pPr>
            <w:r>
              <w:rPr>
                <w:rFonts w:ascii="Arial" w:cs="Arial" w:eastAsia="Arial" w:hAnsi="Arial"/>
                <w:sz w:val="16"/>
                <w:szCs w:val="16"/>
                <w:color w:val="auto"/>
              </w:rPr>
              <w:t>Less than 6,000,000 units</w:t>
            </w:r>
          </w:p>
        </w:tc>
        <w:tc>
          <w:tcPr>
            <w:tcW w:w="3480" w:type="dxa"/>
            <w:vAlign w:val="bottom"/>
            <w:shd w:val="clear" w:color="auto" w:fill="EAEAEA"/>
          </w:tcPr>
          <w:p>
            <w:pPr>
              <w:ind w:left="1800"/>
              <w:spacing w:after="0"/>
              <w:rPr>
                <w:sz w:val="20"/>
                <w:szCs w:val="20"/>
                <w:color w:val="auto"/>
              </w:rPr>
            </w:pPr>
            <w:r>
              <w:rPr>
                <w:rFonts w:ascii="Arial" w:cs="Arial" w:eastAsia="Arial" w:hAnsi="Arial"/>
                <w:sz w:val="16"/>
                <w:szCs w:val="16"/>
                <w:color w:val="auto"/>
              </w:rPr>
              <w:t>0% of target shares</w:t>
            </w:r>
          </w:p>
        </w:tc>
      </w:tr>
      <w:tr>
        <w:trPr>
          <w:trHeight w:val="233"/>
        </w:trPr>
        <w:tc>
          <w:tcPr>
            <w:tcW w:w="400" w:type="dxa"/>
            <w:vAlign w:val="bottom"/>
          </w:tcPr>
          <w:p>
            <w:pPr>
              <w:spacing w:after="0"/>
              <w:rPr>
                <w:sz w:val="20"/>
                <w:szCs w:val="20"/>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6,000,000 units</w:t>
            </w:r>
          </w:p>
        </w:tc>
        <w:tc>
          <w:tcPr>
            <w:tcW w:w="3480" w:type="dxa"/>
            <w:vAlign w:val="bottom"/>
          </w:tcPr>
          <w:p>
            <w:pPr>
              <w:ind w:left="1800"/>
              <w:spacing w:after="0"/>
              <w:rPr>
                <w:sz w:val="20"/>
                <w:szCs w:val="20"/>
                <w:color w:val="auto"/>
              </w:rPr>
            </w:pPr>
            <w:r>
              <w:rPr>
                <w:rFonts w:ascii="Arial" w:cs="Arial" w:eastAsia="Arial" w:hAnsi="Arial"/>
                <w:sz w:val="16"/>
                <w:szCs w:val="16"/>
                <w:color w:val="auto"/>
              </w:rPr>
              <w:t>50% of target shares</w:t>
            </w:r>
          </w:p>
        </w:tc>
      </w:tr>
      <w:tr>
        <w:trPr>
          <w:trHeight w:val="253"/>
        </w:trPr>
        <w:tc>
          <w:tcPr>
            <w:tcW w:w="400" w:type="dxa"/>
            <w:vAlign w:val="bottom"/>
          </w:tcPr>
          <w:p>
            <w:pPr>
              <w:spacing w:after="0"/>
              <w:rPr>
                <w:sz w:val="21"/>
                <w:szCs w:val="21"/>
                <w:color w:val="auto"/>
              </w:rPr>
            </w:pPr>
          </w:p>
        </w:tc>
        <w:tc>
          <w:tcPr>
            <w:tcW w:w="5640" w:type="dxa"/>
            <w:vAlign w:val="bottom"/>
            <w:shd w:val="clear" w:color="auto" w:fill="EAEAEA"/>
          </w:tcPr>
          <w:p>
            <w:pPr>
              <w:ind w:left="80"/>
              <w:spacing w:after="0"/>
              <w:rPr>
                <w:sz w:val="20"/>
                <w:szCs w:val="20"/>
                <w:color w:val="auto"/>
              </w:rPr>
            </w:pPr>
            <w:r>
              <w:rPr>
                <w:rFonts w:ascii="Arial" w:cs="Arial" w:eastAsia="Arial" w:hAnsi="Arial"/>
                <w:sz w:val="16"/>
                <w:szCs w:val="16"/>
                <w:color w:val="auto"/>
              </w:rPr>
              <w:t>8,000,000 units</w:t>
            </w:r>
          </w:p>
        </w:tc>
        <w:tc>
          <w:tcPr>
            <w:tcW w:w="3480" w:type="dxa"/>
            <w:vAlign w:val="bottom"/>
            <w:shd w:val="clear" w:color="auto" w:fill="EAEAEA"/>
          </w:tcPr>
          <w:p>
            <w:pPr>
              <w:ind w:left="1800"/>
              <w:spacing w:after="0"/>
              <w:rPr>
                <w:sz w:val="20"/>
                <w:szCs w:val="20"/>
                <w:color w:val="auto"/>
              </w:rPr>
            </w:pPr>
            <w:r>
              <w:rPr>
                <w:rFonts w:ascii="Arial" w:cs="Arial" w:eastAsia="Arial" w:hAnsi="Arial"/>
                <w:sz w:val="16"/>
                <w:szCs w:val="16"/>
                <w:color w:val="auto"/>
              </w:rPr>
              <w:t>100% of target shares</w:t>
            </w:r>
          </w:p>
        </w:tc>
      </w:tr>
      <w:tr>
        <w:trPr>
          <w:trHeight w:val="223"/>
        </w:trPr>
        <w:tc>
          <w:tcPr>
            <w:tcW w:w="40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10,000,000 units or greater</w:t>
            </w:r>
          </w:p>
        </w:tc>
        <w:tc>
          <w:tcPr>
            <w:tcW w:w="3480" w:type="dxa"/>
            <w:vAlign w:val="bottom"/>
          </w:tcPr>
          <w:p>
            <w:pPr>
              <w:ind w:left="1800"/>
              <w:spacing w:after="0"/>
              <w:rPr>
                <w:sz w:val="20"/>
                <w:szCs w:val="20"/>
                <w:color w:val="auto"/>
              </w:rPr>
            </w:pPr>
            <w:r>
              <w:rPr>
                <w:rFonts w:ascii="Arial" w:cs="Arial" w:eastAsia="Arial" w:hAnsi="Arial"/>
                <w:sz w:val="16"/>
                <w:szCs w:val="16"/>
                <w:color w:val="auto"/>
              </w:rPr>
              <w:t>200% of target shares</w:t>
            </w:r>
          </w:p>
        </w:tc>
      </w:tr>
      <w:tr>
        <w:trPr>
          <w:trHeight w:val="783"/>
        </w:trPr>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28</w:t>
            </w:r>
          </w:p>
        </w:tc>
        <w:tc>
          <w:tcPr>
            <w:tcW w:w="5640" w:type="dxa"/>
            <w:vAlign w:val="bottom"/>
          </w:tcPr>
          <w:p>
            <w:pPr>
              <w:ind w:left="80"/>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-201295</wp:posOffset>
            </wp:positionV>
            <wp:extent cx="291465" cy="274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Compensation of Other Named Executive Officers</w:t>
      </w:r>
    </w:p>
    <w:p>
      <w:pPr>
        <w:spacing w:after="0" w:line="133" w:lineRule="exact"/>
        <w:rPr>
          <w:sz w:val="20"/>
          <w:szCs w:val="20"/>
          <w:color w:val="auto"/>
        </w:rPr>
      </w:pPr>
    </w:p>
    <w:p>
      <w:pPr>
        <w:ind w:left="660" w:right="180"/>
        <w:spacing w:after="0" w:line="260" w:lineRule="auto"/>
        <w:rPr>
          <w:sz w:val="20"/>
          <w:szCs w:val="20"/>
          <w:color w:val="auto"/>
        </w:rPr>
      </w:pPr>
      <w:r>
        <w:rPr>
          <w:rFonts w:ascii="Arial" w:cs="Arial" w:eastAsia="Arial" w:hAnsi="Arial"/>
          <w:sz w:val="16"/>
          <w:szCs w:val="16"/>
          <w:color w:val="auto"/>
        </w:rPr>
        <w:t>In fiscal 2020, Ms. Goldstein and Mr. Emerson were compensated through three primary components: base salary, annual incentive and long-term incentives, the majority of which was performance-based and weighted toward long-term incentives.</w:t>
      </w:r>
    </w:p>
    <w:p>
      <w:pPr>
        <w:spacing w:after="0" w:line="208" w:lineRule="exact"/>
        <w:rPr>
          <w:sz w:val="20"/>
          <w:szCs w:val="20"/>
          <w:color w:val="auto"/>
        </w:rPr>
      </w:pPr>
    </w:p>
    <w:tbl>
      <w:tblPr>
        <w:tblLayout w:type="fixed"/>
        <w:tblInd w:w="670" w:type="dxa"/>
        <w:tblCellMar>
          <w:top w:w="0" w:type="dxa"/>
          <w:left w:w="0" w:type="dxa"/>
          <w:bottom w:w="0" w:type="dxa"/>
          <w:right w:w="0" w:type="dxa"/>
        </w:tblCellMar>
      </w:tblPr>
      <w:tr>
        <w:trPr>
          <w:trHeight w:val="161"/>
        </w:trPr>
        <w:tc>
          <w:tcPr>
            <w:tcW w:w="2800" w:type="dxa"/>
            <w:vAlign w:val="bottom"/>
            <w:tcBorders>
              <w:left w:val="single" w:sz="8" w:color="7F7F7F"/>
              <w:right w:val="single" w:sz="8" w:color="7F7F7F"/>
            </w:tcBorders>
            <w:shd w:val="clear" w:color="auto" w:fill="005CB9"/>
          </w:tcPr>
          <w:p>
            <w:pPr>
              <w:jc w:val="center"/>
              <w:ind w:left="83"/>
              <w:spacing w:after="0"/>
              <w:rPr>
                <w:sz w:val="20"/>
                <w:szCs w:val="20"/>
                <w:color w:val="auto"/>
              </w:rPr>
            </w:pPr>
            <w:r>
              <w:rPr>
                <w:rFonts w:ascii="Arial" w:cs="Arial" w:eastAsia="Arial" w:hAnsi="Arial"/>
                <w:sz w:val="14"/>
                <w:szCs w:val="14"/>
                <w:b w:val="1"/>
                <w:bCs w:val="1"/>
                <w:color w:val="FFFFFF"/>
              </w:rPr>
              <w:t>Compensation</w:t>
            </w:r>
          </w:p>
        </w:tc>
        <w:tc>
          <w:tcPr>
            <w:tcW w:w="2240" w:type="dxa"/>
            <w:vAlign w:val="bottom"/>
            <w:tcBorders>
              <w:right w:val="single" w:sz="8" w:color="7F7F7F"/>
            </w:tcBorders>
            <w:shd w:val="clear" w:color="auto" w:fill="005CB9"/>
          </w:tcPr>
          <w:p>
            <w:pPr>
              <w:jc w:val="center"/>
              <w:ind w:left="862"/>
              <w:spacing w:after="0"/>
              <w:rPr>
                <w:sz w:val="20"/>
                <w:szCs w:val="20"/>
                <w:color w:val="auto"/>
              </w:rPr>
            </w:pPr>
            <w:r>
              <w:rPr>
                <w:rFonts w:ascii="Arial" w:cs="Arial" w:eastAsia="Arial" w:hAnsi="Arial"/>
                <w:sz w:val="14"/>
                <w:szCs w:val="14"/>
                <w:b w:val="1"/>
                <w:bCs w:val="1"/>
                <w:color w:val="FFFFFF"/>
              </w:rPr>
              <w:t>% Linked to</w:t>
            </w:r>
          </w:p>
        </w:tc>
        <w:tc>
          <w:tcPr>
            <w:tcW w:w="960" w:type="dxa"/>
            <w:vAlign w:val="bottom"/>
            <w:shd w:val="clear" w:color="auto" w:fill="005CB9"/>
          </w:tcPr>
          <w:p>
            <w:pPr>
              <w:spacing w:after="0"/>
              <w:rPr>
                <w:sz w:val="14"/>
                <w:szCs w:val="14"/>
                <w:color w:val="auto"/>
              </w:rPr>
            </w:pPr>
          </w:p>
        </w:tc>
        <w:tc>
          <w:tcPr>
            <w:tcW w:w="1680" w:type="dxa"/>
            <w:vAlign w:val="bottom"/>
            <w:tcBorders>
              <w:right w:val="single" w:sz="8" w:color="7F7F7F"/>
            </w:tcBorders>
            <w:shd w:val="clear" w:color="auto" w:fill="005CB9"/>
          </w:tcPr>
          <w:p>
            <w:pPr>
              <w:spacing w:after="0"/>
              <w:rPr>
                <w:sz w:val="14"/>
                <w:szCs w:val="14"/>
                <w:color w:val="auto"/>
              </w:rPr>
            </w:pPr>
          </w:p>
        </w:tc>
        <w:tc>
          <w:tcPr>
            <w:tcW w:w="2240" w:type="dxa"/>
            <w:vAlign w:val="bottom"/>
            <w:shd w:val="clear" w:color="auto" w:fill="005CB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00" w:type="dxa"/>
            <w:vAlign w:val="bottom"/>
            <w:tcBorders>
              <w:left w:val="single" w:sz="8" w:color="7F7F7F"/>
              <w:right w:val="single" w:sz="8" w:color="7F7F7F"/>
            </w:tcBorders>
            <w:shd w:val="clear" w:color="auto" w:fill="005CB9"/>
          </w:tcPr>
          <w:p>
            <w:pPr>
              <w:jc w:val="center"/>
              <w:ind w:left="83"/>
              <w:spacing w:after="0"/>
              <w:rPr>
                <w:sz w:val="20"/>
                <w:szCs w:val="20"/>
                <w:color w:val="auto"/>
              </w:rPr>
            </w:pPr>
            <w:r>
              <w:rPr>
                <w:rFonts w:ascii="Arial" w:cs="Arial" w:eastAsia="Arial" w:hAnsi="Arial"/>
                <w:sz w:val="14"/>
                <w:szCs w:val="14"/>
                <w:b w:val="1"/>
                <w:bCs w:val="1"/>
                <w:color w:val="FFFFFF"/>
              </w:rPr>
              <w:t>Component</w:t>
            </w:r>
          </w:p>
        </w:tc>
        <w:tc>
          <w:tcPr>
            <w:tcW w:w="2240" w:type="dxa"/>
            <w:vAlign w:val="bottom"/>
            <w:tcBorders>
              <w:right w:val="single" w:sz="8" w:color="7F7F7F"/>
            </w:tcBorders>
            <w:shd w:val="clear" w:color="auto" w:fill="005CB9"/>
          </w:tcPr>
          <w:p>
            <w:pPr>
              <w:jc w:val="center"/>
              <w:ind w:left="862"/>
              <w:spacing w:after="0"/>
              <w:rPr>
                <w:sz w:val="20"/>
                <w:szCs w:val="20"/>
                <w:color w:val="auto"/>
              </w:rPr>
            </w:pPr>
            <w:r>
              <w:rPr>
                <w:rFonts w:ascii="Arial" w:cs="Arial" w:eastAsia="Arial" w:hAnsi="Arial"/>
                <w:sz w:val="14"/>
                <w:szCs w:val="14"/>
                <w:b w:val="1"/>
                <w:bCs w:val="1"/>
                <w:color w:val="FFFFFF"/>
              </w:rPr>
              <w:t>Performance</w:t>
            </w:r>
          </w:p>
        </w:tc>
        <w:tc>
          <w:tcPr>
            <w:tcW w:w="960" w:type="dxa"/>
            <w:vAlign w:val="bottom"/>
            <w:shd w:val="clear" w:color="auto" w:fill="005CB9"/>
          </w:tcPr>
          <w:p>
            <w:pPr>
              <w:spacing w:after="0"/>
              <w:rPr>
                <w:sz w:val="16"/>
                <w:szCs w:val="16"/>
                <w:color w:val="auto"/>
              </w:rPr>
            </w:pPr>
          </w:p>
        </w:tc>
        <w:tc>
          <w:tcPr>
            <w:tcW w:w="168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Delivery Form</w:t>
            </w:r>
          </w:p>
        </w:tc>
        <w:tc>
          <w:tcPr>
            <w:tcW w:w="2240" w:type="dxa"/>
            <w:vAlign w:val="bottom"/>
            <w:shd w:val="clear" w:color="auto" w:fill="005CB9"/>
          </w:tcPr>
          <w:p>
            <w:pPr>
              <w:jc w:val="center"/>
              <w:ind w:left="861"/>
              <w:spacing w:after="0"/>
              <w:rPr>
                <w:sz w:val="20"/>
                <w:szCs w:val="20"/>
                <w:color w:val="auto"/>
              </w:rPr>
            </w:pPr>
            <w:r>
              <w:rPr>
                <w:rFonts w:ascii="Arial" w:cs="Arial" w:eastAsia="Arial" w:hAnsi="Arial"/>
                <w:sz w:val="14"/>
                <w:szCs w:val="14"/>
                <w:b w:val="1"/>
                <w:bCs w:val="1"/>
                <w:color w:val="FFFFFF"/>
              </w:rPr>
              <w:t>Performance Link</w:t>
            </w:r>
          </w:p>
        </w:tc>
        <w:tc>
          <w:tcPr>
            <w:tcW w:w="0" w:type="dxa"/>
            <w:vAlign w:val="bottom"/>
          </w:tcPr>
          <w:p>
            <w:pPr>
              <w:spacing w:after="0"/>
              <w:rPr>
                <w:sz w:val="1"/>
                <w:szCs w:val="1"/>
                <w:color w:val="auto"/>
              </w:rPr>
            </w:pPr>
          </w:p>
        </w:tc>
      </w:tr>
      <w:tr>
        <w:trPr>
          <w:trHeight w:val="237"/>
        </w:trPr>
        <w:tc>
          <w:tcPr>
            <w:tcW w:w="2800" w:type="dxa"/>
            <w:vAlign w:val="bottom"/>
            <w:tcBorders>
              <w:left w:val="single" w:sz="8" w:color="7F7F7F"/>
              <w:bottom w:val="single" w:sz="8" w:color="7F7F7F"/>
              <w:right w:val="single" w:sz="8" w:color="7F7F7F"/>
            </w:tcBorders>
            <w:shd w:val="clear" w:color="auto" w:fill="EAEAEA"/>
          </w:tcPr>
          <w:p>
            <w:pPr>
              <w:jc w:val="center"/>
              <w:ind w:left="63"/>
              <w:spacing w:after="0"/>
              <w:rPr>
                <w:sz w:val="20"/>
                <w:szCs w:val="20"/>
                <w:color w:val="auto"/>
              </w:rPr>
            </w:pPr>
            <w:r>
              <w:rPr>
                <w:rFonts w:ascii="Arial" w:cs="Arial" w:eastAsia="Arial" w:hAnsi="Arial"/>
                <w:sz w:val="16"/>
                <w:szCs w:val="16"/>
                <w:b w:val="1"/>
                <w:bCs w:val="1"/>
                <w:color w:val="auto"/>
              </w:rPr>
              <w:t>Annual Base Salary</w:t>
            </w:r>
          </w:p>
        </w:tc>
        <w:tc>
          <w:tcPr>
            <w:tcW w:w="2240" w:type="dxa"/>
            <w:vAlign w:val="bottom"/>
            <w:tcBorders>
              <w:bottom w:val="single" w:sz="8" w:color="7F7F7F"/>
              <w:right w:val="single" w:sz="8" w:color="7F7F7F"/>
            </w:tcBorders>
            <w:shd w:val="clear" w:color="auto" w:fill="EAEAEA"/>
          </w:tcPr>
          <w:p>
            <w:pPr>
              <w:jc w:val="center"/>
              <w:ind w:left="86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7F7F7F"/>
            </w:tcBorders>
            <w:shd w:val="clear" w:color="auto" w:fill="EAEAEA"/>
          </w:tcPr>
          <w:p>
            <w:pPr>
              <w:spacing w:after="0"/>
              <w:rPr>
                <w:sz w:val="20"/>
                <w:szCs w:val="20"/>
                <w:color w:val="auto"/>
              </w:rPr>
            </w:pPr>
          </w:p>
        </w:tc>
        <w:tc>
          <w:tcPr>
            <w:tcW w:w="1680" w:type="dxa"/>
            <w:vAlign w:val="bottom"/>
            <w:tcBorders>
              <w:bottom w:val="single" w:sz="8" w:color="7F7F7F"/>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Cash</w:t>
            </w:r>
          </w:p>
        </w:tc>
        <w:tc>
          <w:tcPr>
            <w:tcW w:w="2240" w:type="dxa"/>
            <w:vAlign w:val="bottom"/>
            <w:tcBorders>
              <w:bottom w:val="single" w:sz="8" w:color="7F7F7F"/>
            </w:tcBorders>
            <w:shd w:val="clear" w:color="auto" w:fill="EAEAEA"/>
          </w:tcPr>
          <w:p>
            <w:pPr>
              <w:jc w:val="center"/>
              <w:ind w:left="881"/>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800" w:type="dxa"/>
            <w:vAlign w:val="bottom"/>
            <w:tcBorders>
              <w:left w:val="single" w:sz="8" w:color="7F7F7F"/>
              <w:bottom w:val="single" w:sz="8" w:color="7F7F7F"/>
              <w:right w:val="single" w:sz="8" w:color="7F7F7F"/>
            </w:tcBorders>
            <w:shd w:val="clear" w:color="auto" w:fill="EAEAEA"/>
          </w:tcPr>
          <w:p>
            <w:pPr>
              <w:jc w:val="center"/>
              <w:ind w:left="63"/>
              <w:spacing w:after="0"/>
              <w:rPr>
                <w:sz w:val="20"/>
                <w:szCs w:val="20"/>
                <w:color w:val="auto"/>
              </w:rPr>
            </w:pPr>
            <w:r>
              <w:rPr>
                <w:rFonts w:ascii="Arial" w:cs="Arial" w:eastAsia="Arial" w:hAnsi="Arial"/>
                <w:sz w:val="16"/>
                <w:szCs w:val="16"/>
                <w:b w:val="1"/>
                <w:bCs w:val="1"/>
                <w:color w:val="auto"/>
              </w:rPr>
              <w:t>Annual Incentive</w:t>
            </w:r>
          </w:p>
        </w:tc>
        <w:tc>
          <w:tcPr>
            <w:tcW w:w="2240" w:type="dxa"/>
            <w:vAlign w:val="bottom"/>
            <w:tcBorders>
              <w:bottom w:val="single" w:sz="8" w:color="7F7F7F"/>
              <w:right w:val="single" w:sz="8" w:color="7F7F7F"/>
            </w:tcBorders>
            <w:shd w:val="clear" w:color="auto" w:fill="EAEAEA"/>
          </w:tcPr>
          <w:p>
            <w:pPr>
              <w:jc w:val="right"/>
              <w:ind w:right="362"/>
              <w:spacing w:after="0"/>
              <w:rPr>
                <w:sz w:val="20"/>
                <w:szCs w:val="20"/>
                <w:color w:val="auto"/>
              </w:rPr>
            </w:pPr>
            <w:r>
              <w:rPr>
                <w:rFonts w:ascii="Arial" w:cs="Arial" w:eastAsia="Arial" w:hAnsi="Arial"/>
                <w:sz w:val="16"/>
                <w:szCs w:val="16"/>
                <w:color w:val="auto"/>
              </w:rPr>
              <w:t>100%</w:t>
            </w:r>
          </w:p>
        </w:tc>
        <w:tc>
          <w:tcPr>
            <w:tcW w:w="960" w:type="dxa"/>
            <w:vAlign w:val="bottom"/>
            <w:tcBorders>
              <w:bottom w:val="single" w:sz="8" w:color="7F7F7F"/>
            </w:tcBorders>
            <w:shd w:val="clear" w:color="auto" w:fill="EAEAEA"/>
          </w:tcPr>
          <w:p>
            <w:pPr>
              <w:spacing w:after="0"/>
              <w:rPr>
                <w:sz w:val="20"/>
                <w:szCs w:val="20"/>
                <w:color w:val="auto"/>
              </w:rPr>
            </w:pPr>
          </w:p>
        </w:tc>
        <w:tc>
          <w:tcPr>
            <w:tcW w:w="1680" w:type="dxa"/>
            <w:vAlign w:val="bottom"/>
            <w:tcBorders>
              <w:bottom w:val="single" w:sz="8" w:color="7F7F7F"/>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Cash</w:t>
            </w:r>
          </w:p>
        </w:tc>
        <w:tc>
          <w:tcPr>
            <w:tcW w:w="2240" w:type="dxa"/>
            <w:vAlign w:val="bottom"/>
            <w:tcBorders>
              <w:bottom w:val="single" w:sz="8" w:color="7F7F7F"/>
            </w:tcBorders>
            <w:shd w:val="clear" w:color="auto" w:fill="EAEAEA"/>
          </w:tcPr>
          <w:p>
            <w:pPr>
              <w:jc w:val="center"/>
              <w:ind w:left="901"/>
              <w:spacing w:after="0"/>
              <w:rPr>
                <w:sz w:val="20"/>
                <w:szCs w:val="20"/>
                <w:color w:val="auto"/>
              </w:rPr>
            </w:pPr>
            <w:r>
              <w:rPr>
                <w:rFonts w:ascii="Arial" w:cs="Arial" w:eastAsia="Arial" w:hAnsi="Arial"/>
                <w:sz w:val="16"/>
                <w:szCs w:val="16"/>
                <w:color w:val="auto"/>
              </w:rPr>
              <w:t>Adjusted EBITDA</w:t>
            </w:r>
          </w:p>
        </w:tc>
        <w:tc>
          <w:tcPr>
            <w:tcW w:w="0" w:type="dxa"/>
            <w:vAlign w:val="bottom"/>
          </w:tcPr>
          <w:p>
            <w:pPr>
              <w:spacing w:after="0"/>
              <w:rPr>
                <w:sz w:val="1"/>
                <w:szCs w:val="1"/>
                <w:color w:val="auto"/>
              </w:rPr>
            </w:pPr>
          </w:p>
        </w:tc>
      </w:tr>
      <w:tr>
        <w:trPr>
          <w:trHeight w:val="302"/>
        </w:trPr>
        <w:tc>
          <w:tcPr>
            <w:tcW w:w="2800" w:type="dxa"/>
            <w:vAlign w:val="bottom"/>
            <w:tcBorders>
              <w:left w:val="single" w:sz="8" w:color="7F7F7F"/>
              <w:bottom w:val="single" w:sz="8" w:color="EAEAEA"/>
              <w:right w:val="single" w:sz="8" w:color="7F7F7F"/>
            </w:tcBorders>
            <w:vMerge w:val="restart"/>
            <w:shd w:val="clear" w:color="auto" w:fill="EAEAEA"/>
          </w:tcPr>
          <w:p>
            <w:pPr>
              <w:jc w:val="center"/>
              <w:ind w:left="63"/>
              <w:spacing w:after="0"/>
              <w:rPr>
                <w:sz w:val="20"/>
                <w:szCs w:val="20"/>
                <w:color w:val="auto"/>
              </w:rPr>
            </w:pPr>
            <w:r>
              <w:rPr>
                <w:rFonts w:ascii="Arial" w:cs="Arial" w:eastAsia="Arial" w:hAnsi="Arial"/>
                <w:sz w:val="16"/>
                <w:szCs w:val="16"/>
                <w:b w:val="1"/>
                <w:bCs w:val="1"/>
                <w:color w:val="auto"/>
              </w:rPr>
              <w:t>Long-Term Incentive (RSUs)</w:t>
            </w:r>
          </w:p>
        </w:tc>
        <w:tc>
          <w:tcPr>
            <w:tcW w:w="2240" w:type="dxa"/>
            <w:vAlign w:val="bottom"/>
            <w:tcBorders>
              <w:bottom w:val="single" w:sz="8" w:color="EAEAEA"/>
              <w:right w:val="single" w:sz="8" w:color="7F7F7F"/>
            </w:tcBorders>
            <w:shd w:val="clear" w:color="auto" w:fill="EAEAEA"/>
          </w:tcPr>
          <w:p>
            <w:pPr>
              <w:jc w:val="center"/>
              <w:ind w:left="862"/>
              <w:spacing w:after="0"/>
              <w:rPr>
                <w:sz w:val="20"/>
                <w:szCs w:val="20"/>
                <w:color w:val="auto"/>
              </w:rPr>
            </w:pPr>
            <w:r>
              <w:rPr>
                <w:rFonts w:ascii="Arial" w:cs="Arial" w:eastAsia="Arial" w:hAnsi="Arial"/>
                <w:sz w:val="16"/>
                <w:szCs w:val="16"/>
                <w:color w:val="auto"/>
              </w:rPr>
              <w:t>66.7% at target</w:t>
            </w:r>
          </w:p>
        </w:tc>
        <w:tc>
          <w:tcPr>
            <w:tcW w:w="960" w:type="dxa"/>
            <w:vAlign w:val="bottom"/>
            <w:tcBorders>
              <w:bottom w:val="single" w:sz="8" w:color="EAEAEA"/>
            </w:tcBorders>
            <w:shd w:val="clear" w:color="auto" w:fill="EAEAEA"/>
          </w:tcPr>
          <w:p>
            <w:pPr>
              <w:spacing w:after="0"/>
              <w:rPr>
                <w:sz w:val="24"/>
                <w:szCs w:val="24"/>
                <w:color w:val="auto"/>
              </w:rPr>
            </w:pPr>
          </w:p>
        </w:tc>
        <w:tc>
          <w:tcPr>
            <w:tcW w:w="1680" w:type="dxa"/>
            <w:vAlign w:val="bottom"/>
            <w:tcBorders>
              <w:bottom w:val="single" w:sz="8" w:color="EAEAEA"/>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Time-Based Awards(1)</w:t>
            </w:r>
          </w:p>
        </w:tc>
        <w:tc>
          <w:tcPr>
            <w:tcW w:w="2240" w:type="dxa"/>
            <w:vAlign w:val="bottom"/>
            <w:tcBorders>
              <w:bottom w:val="single" w:sz="8" w:color="EAEAEA"/>
            </w:tcBorders>
            <w:shd w:val="clear" w:color="auto" w:fill="EAEAEA"/>
          </w:tcPr>
          <w:p>
            <w:pPr>
              <w:jc w:val="center"/>
              <w:ind w:left="881"/>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50"/>
        </w:trPr>
        <w:tc>
          <w:tcPr>
            <w:tcW w:w="2800" w:type="dxa"/>
            <w:vAlign w:val="bottom"/>
            <w:tcBorders>
              <w:top w:val="single" w:sz="8" w:color="EAEAEA"/>
              <w:left w:val="single" w:sz="8" w:color="7F7F7F"/>
              <w:right w:val="single" w:sz="8" w:color="7F7F7F"/>
            </w:tcBorders>
            <w:vMerge w:val="continue"/>
            <w:shd w:val="clear" w:color="auto" w:fill="EAEAEA"/>
          </w:tcPr>
          <w:p>
            <w:pPr>
              <w:spacing w:after="0"/>
              <w:rPr>
                <w:sz w:val="13"/>
                <w:szCs w:val="13"/>
                <w:color w:val="auto"/>
              </w:rPr>
            </w:pPr>
          </w:p>
        </w:tc>
        <w:tc>
          <w:tcPr>
            <w:tcW w:w="2240" w:type="dxa"/>
            <w:vAlign w:val="bottom"/>
            <w:tcBorders>
              <w:top w:val="single" w:sz="8" w:color="EAEAEA"/>
              <w:right w:val="single" w:sz="8" w:color="7F7F7F"/>
            </w:tcBorders>
            <w:vMerge w:val="restart"/>
            <w:shd w:val="clear" w:color="auto" w:fill="EAEAEA"/>
          </w:tcPr>
          <w:p>
            <w:pPr>
              <w:jc w:val="center"/>
              <w:ind w:left="862"/>
              <w:spacing w:after="0"/>
              <w:rPr>
                <w:sz w:val="20"/>
                <w:szCs w:val="20"/>
                <w:color w:val="auto"/>
              </w:rPr>
            </w:pPr>
            <w:r>
              <w:rPr>
                <w:rFonts w:ascii="Arial" w:cs="Arial" w:eastAsia="Arial" w:hAnsi="Arial"/>
                <w:sz w:val="16"/>
                <w:szCs w:val="16"/>
                <w:color w:val="auto"/>
              </w:rPr>
              <w:t>80% at maximum</w:t>
            </w:r>
          </w:p>
        </w:tc>
        <w:tc>
          <w:tcPr>
            <w:tcW w:w="960" w:type="dxa"/>
            <w:vAlign w:val="bottom"/>
            <w:tcBorders>
              <w:top w:val="single" w:sz="8" w:color="7F7F7F"/>
            </w:tcBorders>
            <w:shd w:val="clear" w:color="auto" w:fill="EAEAEA"/>
          </w:tcPr>
          <w:p>
            <w:pPr>
              <w:spacing w:after="0"/>
              <w:rPr>
                <w:sz w:val="13"/>
                <w:szCs w:val="13"/>
                <w:color w:val="auto"/>
              </w:rPr>
            </w:pPr>
          </w:p>
        </w:tc>
        <w:tc>
          <w:tcPr>
            <w:tcW w:w="1680" w:type="dxa"/>
            <w:vAlign w:val="bottom"/>
            <w:tcBorders>
              <w:top w:val="single" w:sz="8" w:color="7F7F7F"/>
              <w:right w:val="single" w:sz="8" w:color="7F7F7F"/>
            </w:tcBorders>
            <w:vMerge w:val="restart"/>
            <w:shd w:val="clear" w:color="auto" w:fill="EAEAEA"/>
          </w:tcPr>
          <w:p>
            <w:pPr>
              <w:jc w:val="center"/>
              <w:spacing w:after="0"/>
              <w:rPr>
                <w:sz w:val="20"/>
                <w:szCs w:val="20"/>
                <w:color w:val="auto"/>
              </w:rPr>
            </w:pPr>
            <w:r>
              <w:rPr>
                <w:rFonts w:ascii="Arial" w:cs="Arial" w:eastAsia="Arial" w:hAnsi="Arial"/>
                <w:sz w:val="16"/>
                <w:szCs w:val="16"/>
                <w:color w:val="auto"/>
              </w:rPr>
              <w:t>Performance-Based</w:t>
            </w:r>
          </w:p>
        </w:tc>
        <w:tc>
          <w:tcPr>
            <w:tcW w:w="2240" w:type="dxa"/>
            <w:vAlign w:val="bottom"/>
            <w:tcBorders>
              <w:top w:val="single" w:sz="8" w:color="7F7F7F"/>
            </w:tcBorders>
            <w:vMerge w:val="restart"/>
            <w:shd w:val="clear" w:color="auto" w:fill="EAEAEA"/>
          </w:tcPr>
          <w:p>
            <w:pPr>
              <w:jc w:val="center"/>
              <w:ind w:left="881"/>
              <w:spacing w:after="0"/>
              <w:rPr>
                <w:sz w:val="20"/>
                <w:szCs w:val="20"/>
                <w:color w:val="auto"/>
              </w:rPr>
            </w:pPr>
            <w:r>
              <w:rPr>
                <w:rFonts w:ascii="Arial" w:cs="Arial" w:eastAsia="Arial" w:hAnsi="Arial"/>
                <w:sz w:val="16"/>
                <w:szCs w:val="16"/>
                <w:color w:val="auto"/>
              </w:rPr>
              <w:t>Relative TSR</w:t>
            </w:r>
          </w:p>
        </w:tc>
        <w:tc>
          <w:tcPr>
            <w:tcW w:w="0" w:type="dxa"/>
            <w:vAlign w:val="bottom"/>
          </w:tcPr>
          <w:p>
            <w:pPr>
              <w:spacing w:after="0"/>
              <w:rPr>
                <w:sz w:val="1"/>
                <w:szCs w:val="1"/>
                <w:color w:val="auto"/>
              </w:rPr>
            </w:pPr>
          </w:p>
        </w:tc>
      </w:tr>
      <w:tr>
        <w:trPr>
          <w:trHeight w:val="75"/>
        </w:trPr>
        <w:tc>
          <w:tcPr>
            <w:tcW w:w="2800" w:type="dxa"/>
            <w:vAlign w:val="bottom"/>
            <w:tcBorders>
              <w:left w:val="single" w:sz="8" w:color="7F7F7F"/>
              <w:right w:val="single" w:sz="8" w:color="7F7F7F"/>
            </w:tcBorders>
            <w:shd w:val="clear" w:color="auto" w:fill="EAEAEA"/>
          </w:tcPr>
          <w:p>
            <w:pPr>
              <w:spacing w:after="0"/>
              <w:rPr>
                <w:sz w:val="6"/>
                <w:szCs w:val="6"/>
                <w:color w:val="auto"/>
              </w:rPr>
            </w:pPr>
          </w:p>
        </w:tc>
        <w:tc>
          <w:tcPr>
            <w:tcW w:w="2240" w:type="dxa"/>
            <w:vAlign w:val="bottom"/>
            <w:tcBorders>
              <w:right w:val="single" w:sz="8" w:color="7F7F7F"/>
            </w:tcBorders>
            <w:vMerge w:val="continue"/>
            <w:shd w:val="clear" w:color="auto" w:fill="EAEAEA"/>
          </w:tcPr>
          <w:p>
            <w:pPr>
              <w:spacing w:after="0"/>
              <w:rPr>
                <w:sz w:val="6"/>
                <w:szCs w:val="6"/>
                <w:color w:val="auto"/>
              </w:rPr>
            </w:pPr>
          </w:p>
        </w:tc>
        <w:tc>
          <w:tcPr>
            <w:tcW w:w="960" w:type="dxa"/>
            <w:vAlign w:val="bottom"/>
            <w:shd w:val="clear" w:color="auto" w:fill="EAEAEA"/>
          </w:tcPr>
          <w:p>
            <w:pPr>
              <w:spacing w:after="0"/>
              <w:rPr>
                <w:sz w:val="6"/>
                <w:szCs w:val="6"/>
                <w:color w:val="auto"/>
              </w:rPr>
            </w:pPr>
          </w:p>
        </w:tc>
        <w:tc>
          <w:tcPr>
            <w:tcW w:w="1680" w:type="dxa"/>
            <w:vAlign w:val="bottom"/>
            <w:tcBorders>
              <w:right w:val="single" w:sz="8" w:color="7F7F7F"/>
            </w:tcBorders>
            <w:vMerge w:val="continue"/>
            <w:shd w:val="clear" w:color="auto" w:fill="EAEAEA"/>
          </w:tcPr>
          <w:p>
            <w:pPr>
              <w:spacing w:after="0"/>
              <w:rPr>
                <w:sz w:val="6"/>
                <w:szCs w:val="6"/>
                <w:color w:val="auto"/>
              </w:rPr>
            </w:pPr>
          </w:p>
        </w:tc>
        <w:tc>
          <w:tcPr>
            <w:tcW w:w="2240" w:type="dxa"/>
            <w:vAlign w:val="bottom"/>
            <w:vMerge w:val="continue"/>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800" w:type="dxa"/>
            <w:vAlign w:val="bottom"/>
            <w:tcBorders>
              <w:left w:val="single" w:sz="8" w:color="7F7F7F"/>
              <w:right w:val="single" w:sz="8" w:color="7F7F7F"/>
            </w:tcBorders>
            <w:shd w:val="clear" w:color="auto" w:fill="EAEAEA"/>
          </w:tcPr>
          <w:p>
            <w:pPr>
              <w:spacing w:after="0"/>
              <w:rPr>
                <w:sz w:val="7"/>
                <w:szCs w:val="7"/>
                <w:color w:val="auto"/>
              </w:rPr>
            </w:pPr>
          </w:p>
        </w:tc>
        <w:tc>
          <w:tcPr>
            <w:tcW w:w="2240" w:type="dxa"/>
            <w:vAlign w:val="bottom"/>
            <w:tcBorders>
              <w:right w:val="single" w:sz="8" w:color="7F7F7F"/>
            </w:tcBorders>
            <w:vMerge w:val="continue"/>
            <w:shd w:val="clear" w:color="auto" w:fill="EAEAEA"/>
          </w:tcPr>
          <w:p>
            <w:pPr>
              <w:spacing w:after="0"/>
              <w:rPr>
                <w:sz w:val="7"/>
                <w:szCs w:val="7"/>
                <w:color w:val="auto"/>
              </w:rPr>
            </w:pPr>
          </w:p>
        </w:tc>
        <w:tc>
          <w:tcPr>
            <w:tcW w:w="960" w:type="dxa"/>
            <w:vAlign w:val="bottom"/>
            <w:shd w:val="clear" w:color="auto" w:fill="EAEAEA"/>
          </w:tcPr>
          <w:p>
            <w:pPr>
              <w:spacing w:after="0"/>
              <w:rPr>
                <w:sz w:val="7"/>
                <w:szCs w:val="7"/>
                <w:color w:val="auto"/>
              </w:rPr>
            </w:pPr>
          </w:p>
        </w:tc>
        <w:tc>
          <w:tcPr>
            <w:tcW w:w="1680" w:type="dxa"/>
            <w:vAlign w:val="bottom"/>
            <w:tcBorders>
              <w:right w:val="single" w:sz="8" w:color="7F7F7F"/>
            </w:tcBorders>
            <w:vMerge w:val="restart"/>
            <w:shd w:val="clear" w:color="auto" w:fill="EAEAEA"/>
          </w:tcPr>
          <w:p>
            <w:pPr>
              <w:jc w:val="center"/>
              <w:spacing w:after="0"/>
              <w:rPr>
                <w:sz w:val="20"/>
                <w:szCs w:val="20"/>
                <w:color w:val="auto"/>
              </w:rPr>
            </w:pPr>
            <w:r>
              <w:rPr>
                <w:rFonts w:ascii="Arial" w:cs="Arial" w:eastAsia="Arial" w:hAnsi="Arial"/>
                <w:sz w:val="16"/>
                <w:szCs w:val="16"/>
                <w:color w:val="auto"/>
              </w:rPr>
              <w:t>Awards(2)</w:t>
            </w:r>
          </w:p>
        </w:tc>
        <w:tc>
          <w:tcPr>
            <w:tcW w:w="2240" w:type="dxa"/>
            <w:vAlign w:val="bottom"/>
            <w:vMerge w:val="continue"/>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800" w:type="dxa"/>
            <w:vAlign w:val="bottom"/>
            <w:tcBorders>
              <w:left w:val="single" w:sz="8" w:color="7F7F7F"/>
              <w:bottom w:val="single" w:sz="8" w:color="7F7F7F"/>
              <w:right w:val="single" w:sz="8" w:color="7F7F7F"/>
            </w:tcBorders>
            <w:shd w:val="clear" w:color="auto" w:fill="EAEAEA"/>
          </w:tcPr>
          <w:p>
            <w:pPr>
              <w:spacing w:after="0"/>
              <w:rPr>
                <w:sz w:val="9"/>
                <w:szCs w:val="9"/>
                <w:color w:val="auto"/>
              </w:rPr>
            </w:pPr>
          </w:p>
        </w:tc>
        <w:tc>
          <w:tcPr>
            <w:tcW w:w="2240" w:type="dxa"/>
            <w:vAlign w:val="bottom"/>
            <w:tcBorders>
              <w:bottom w:val="single" w:sz="8" w:color="7F7F7F"/>
              <w:right w:val="single" w:sz="8" w:color="7F7F7F"/>
            </w:tcBorders>
            <w:vMerge w:val="continue"/>
            <w:shd w:val="clear" w:color="auto" w:fill="EAEAEA"/>
          </w:tcPr>
          <w:p>
            <w:pPr>
              <w:spacing w:after="0"/>
              <w:rPr>
                <w:sz w:val="9"/>
                <w:szCs w:val="9"/>
                <w:color w:val="auto"/>
              </w:rPr>
            </w:pPr>
          </w:p>
        </w:tc>
        <w:tc>
          <w:tcPr>
            <w:tcW w:w="960" w:type="dxa"/>
            <w:vAlign w:val="bottom"/>
            <w:tcBorders>
              <w:bottom w:val="single" w:sz="8" w:color="7F7F7F"/>
            </w:tcBorders>
            <w:shd w:val="clear" w:color="auto" w:fill="EAEAEA"/>
          </w:tcPr>
          <w:p>
            <w:pPr>
              <w:spacing w:after="0"/>
              <w:rPr>
                <w:sz w:val="9"/>
                <w:szCs w:val="9"/>
                <w:color w:val="auto"/>
              </w:rPr>
            </w:pPr>
          </w:p>
        </w:tc>
        <w:tc>
          <w:tcPr>
            <w:tcW w:w="1680" w:type="dxa"/>
            <w:vAlign w:val="bottom"/>
            <w:tcBorders>
              <w:bottom w:val="single" w:sz="8" w:color="7F7F7F"/>
              <w:right w:val="single" w:sz="8" w:color="7F7F7F"/>
            </w:tcBorders>
            <w:vMerge w:val="continue"/>
            <w:shd w:val="clear" w:color="auto" w:fill="EAEAEA"/>
          </w:tcPr>
          <w:p>
            <w:pPr>
              <w:spacing w:after="0"/>
              <w:rPr>
                <w:sz w:val="9"/>
                <w:szCs w:val="9"/>
                <w:color w:val="auto"/>
              </w:rPr>
            </w:pPr>
          </w:p>
        </w:tc>
        <w:tc>
          <w:tcPr>
            <w:tcW w:w="2240" w:type="dxa"/>
            <w:vAlign w:val="bottom"/>
            <w:tcBorders>
              <w:bottom w:val="single" w:sz="8" w:color="7F7F7F"/>
            </w:tcBorders>
            <w:shd w:val="clear" w:color="auto" w:fill="EAEAEA"/>
          </w:tcPr>
          <w:p>
            <w:pPr>
              <w:spacing w:after="0"/>
              <w:rPr>
                <w:sz w:val="9"/>
                <w:szCs w:val="9"/>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000" w:right="160" w:hanging="331"/>
        <w:spacing w:after="0" w:line="246"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Awards will vest, subject to continued employment, in three (3) equal annual installments commencing in the year following the year in which such grants were made on a date determined by the Compensation Committee at the time of grant.</w:t>
      </w:r>
    </w:p>
    <w:p>
      <w:pPr>
        <w:ind w:left="1000" w:right="120" w:hanging="331"/>
        <w:spacing w:after="0" w:line="246"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Performance-based awards that are earned (based on relative TSR performance over a two-year performance period, determined in the same manner as under the 2017 Management Agreement, as described above) will vest in two (2) equal annual installments commencing in the second year following the year in which such grants were made on a date determined by the Compensation Committee at the time of grant. For example, the performance-based portion of the restricted stock units (“</w:t>
      </w:r>
      <w:r>
        <w:rPr>
          <w:rFonts w:ascii="Arial" w:cs="Arial" w:eastAsia="Arial" w:hAnsi="Arial"/>
          <w:sz w:val="16"/>
          <w:szCs w:val="16"/>
          <w:i w:val="1"/>
          <w:iCs w:val="1"/>
          <w:color w:val="auto"/>
        </w:rPr>
        <w:t>RSUs</w:t>
      </w:r>
      <w:r>
        <w:rPr>
          <w:rFonts w:ascii="Arial" w:cs="Arial" w:eastAsia="Arial" w:hAnsi="Arial"/>
          <w:sz w:val="16"/>
          <w:szCs w:val="16"/>
          <w:color w:val="auto"/>
        </w:rPr>
        <w:t>”) granted to</w:t>
      </w:r>
    </w:p>
    <w:p>
      <w:pPr>
        <w:spacing w:after="0" w:line="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6"/>
          <w:szCs w:val="16"/>
          <w:color w:val="auto"/>
        </w:rPr>
        <w:t>Ms. Goldstein and Mr. Emerson on June 1, 2019 will vest, if at all, 50% on June 1, 2021 and 50% on June 1, 2022.</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Structural Pay and Performance Alignment for All NEOs</w:t>
      </w:r>
    </w:p>
    <w:p>
      <w:pPr>
        <w:spacing w:after="0" w:line="133"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Our NEOs receive a mix of compensation that is appropriately weighted towards at-risk pay in the form of annual incentives and long-term incentives. The Compensation Committee believes this creates strong alignment with the Company’s stated compensation philosophy of providing compensation commensurate with individual and corporate performance. The majority of incentive compensation is also delivered in the form of equity, which provides strong alignment between executives’ incentives and the interests of our shareholders. ZelnickMedia’s compensation under the 2017 Management Agreement is also predominantly weighted towards at-risk compensation consisting of: (1) RSUs, of which 55% vest subject to the satisfaction of performance criteria, and (2) cash compensation, with over 70% of the maximum aggregate cash compensation in the form of an annual incentive based upon the Company’s performance.</w:t>
      </w:r>
    </w:p>
    <w:p>
      <w:pPr>
        <w:spacing w:after="0" w:line="208" w:lineRule="exact"/>
        <w:rPr>
          <w:sz w:val="20"/>
          <w:szCs w:val="20"/>
          <w:color w:val="auto"/>
        </w:rPr>
      </w:pPr>
    </w:p>
    <w:p>
      <w:pPr>
        <w:ind w:left="660" w:right="20"/>
        <w:spacing w:after="0" w:line="260" w:lineRule="auto"/>
        <w:rPr>
          <w:sz w:val="20"/>
          <w:szCs w:val="20"/>
          <w:color w:val="auto"/>
        </w:rPr>
      </w:pPr>
      <w:r>
        <w:rPr>
          <w:rFonts w:ascii="Arial" w:cs="Arial" w:eastAsia="Arial" w:hAnsi="Arial"/>
          <w:sz w:val="16"/>
          <w:szCs w:val="16"/>
          <w:color w:val="auto"/>
        </w:rPr>
        <w:t>The following chart illustrates the fiscal 2020 compensation mix, based on maximum compensation opportunities, for ZelnickMedia and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1845945</wp:posOffset>
            </wp:positionV>
            <wp:extent cx="291465"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1465" cy="27432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139700</wp:posOffset>
            </wp:positionV>
            <wp:extent cx="5623560" cy="1423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2356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29</w:t>
            </w:r>
          </w:p>
        </w:tc>
      </w:tr>
    </w:tbl>
    <w:p>
      <w:pPr>
        <w:sectPr>
          <w:pgSz w:w="11900" w:h="16838" w:orient="portrait"/>
          <w:cols w:equalWidth="0" w:num="1">
            <w:col w:w="10580"/>
          </w:cols>
          <w:pgMar w:left="320" w:top="459" w:right="9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97150" cy="128905"/>
                    </a:xfrm>
                    <a:prstGeom prst="rect">
                      <a:avLst/>
                    </a:prstGeom>
                    <a:noFill/>
                  </pic:spPr>
                </pic:pic>
              </a:graphicData>
            </a:graphic>
          </wp:anchor>
        </w:drawing>
      </w:r>
    </w:p>
    <w:p>
      <w:pPr>
        <w:spacing w:after="0" w:line="31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Fiscal 2020 Variable Compensation Targets and Performance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right="440"/>
        <w:spacing w:after="0" w:line="253" w:lineRule="auto"/>
        <w:rPr>
          <w:sz w:val="20"/>
          <w:szCs w:val="20"/>
          <w:color w:val="auto"/>
        </w:rPr>
      </w:pPr>
      <w:r>
        <w:rPr>
          <w:rFonts w:ascii="Arial" w:cs="Arial" w:eastAsia="Arial" w:hAnsi="Arial"/>
          <w:sz w:val="16"/>
          <w:szCs w:val="16"/>
          <w:color w:val="auto"/>
        </w:rPr>
        <w:t>Annual and long-term incentives for ZelnickMedia and our NEOs (other than Messrs. Zelnick and Slatoff) are based on measurable financial and share price performance metrics. The following table summarizes the Company-wide targets and actual results for both ZelnickMedia and NEO performance-based cash compensation paid and equity compensation granted in fiscal 2020.</w:t>
      </w:r>
    </w:p>
    <w:p>
      <w:pPr>
        <w:spacing w:after="0" w:line="214" w:lineRule="exact"/>
        <w:rPr>
          <w:sz w:val="20"/>
          <w:szCs w:val="20"/>
          <w:color w:val="auto"/>
        </w:rPr>
      </w:pPr>
    </w:p>
    <w:tbl>
      <w:tblPr>
        <w:tblLayout w:type="fixed"/>
        <w:tblInd w:w="670" w:type="dxa"/>
        <w:tblCellMar>
          <w:top w:w="0" w:type="dxa"/>
          <w:left w:w="0" w:type="dxa"/>
          <w:bottom w:w="0" w:type="dxa"/>
          <w:right w:w="0" w:type="dxa"/>
        </w:tblCellMar>
      </w:tblPr>
      <w:tr>
        <w:trPr>
          <w:trHeight w:val="161"/>
        </w:trPr>
        <w:tc>
          <w:tcPr>
            <w:tcW w:w="1700" w:type="dxa"/>
            <w:vAlign w:val="bottom"/>
            <w:tcBorders>
              <w:left w:val="single" w:sz="8" w:color="7F7F7F"/>
              <w:right w:val="single" w:sz="8" w:color="7F7F7F"/>
            </w:tcBorders>
            <w:vMerge w:val="restart"/>
            <w:shd w:val="clear" w:color="auto" w:fill="005CB9"/>
          </w:tcPr>
          <w:p>
            <w:pPr>
              <w:jc w:val="center"/>
              <w:ind w:left="82"/>
              <w:spacing w:after="0"/>
              <w:rPr>
                <w:sz w:val="20"/>
                <w:szCs w:val="20"/>
                <w:color w:val="auto"/>
              </w:rPr>
            </w:pPr>
            <w:r>
              <w:rPr>
                <w:rFonts w:ascii="Arial" w:cs="Arial" w:eastAsia="Arial" w:hAnsi="Arial"/>
                <w:sz w:val="14"/>
                <w:szCs w:val="14"/>
                <w:b w:val="1"/>
                <w:bCs w:val="1"/>
                <w:color w:val="FFFFFF"/>
              </w:rPr>
              <w:t>Incentive</w:t>
            </w:r>
          </w:p>
        </w:tc>
        <w:tc>
          <w:tcPr>
            <w:tcW w:w="168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Financial</w:t>
            </w:r>
          </w:p>
        </w:tc>
        <w:tc>
          <w:tcPr>
            <w:tcW w:w="1600" w:type="dxa"/>
            <w:vAlign w:val="bottom"/>
            <w:tcBorders>
              <w:right w:val="single" w:sz="8" w:color="7F7F7F"/>
            </w:tcBorders>
            <w:shd w:val="clear" w:color="auto" w:fill="005CB9"/>
          </w:tcPr>
          <w:p>
            <w:pPr>
              <w:spacing w:after="0"/>
              <w:rPr>
                <w:sz w:val="14"/>
                <w:szCs w:val="14"/>
                <w:color w:val="auto"/>
              </w:rPr>
            </w:pPr>
          </w:p>
        </w:tc>
        <w:tc>
          <w:tcPr>
            <w:tcW w:w="1580" w:type="dxa"/>
            <w:vAlign w:val="bottom"/>
            <w:tcBorders>
              <w:right w:val="single" w:sz="8" w:color="7F7F7F"/>
            </w:tcBorders>
            <w:shd w:val="clear" w:color="auto" w:fill="005CB9"/>
          </w:tcPr>
          <w:p>
            <w:pPr>
              <w:spacing w:after="0"/>
              <w:rPr>
                <w:sz w:val="14"/>
                <w:szCs w:val="14"/>
                <w:color w:val="auto"/>
              </w:rPr>
            </w:pPr>
          </w:p>
        </w:tc>
        <w:tc>
          <w:tcPr>
            <w:tcW w:w="1600" w:type="dxa"/>
            <w:vAlign w:val="bottom"/>
            <w:tcBorders>
              <w:right w:val="single" w:sz="8" w:color="7F7F7F"/>
            </w:tcBorders>
            <w:shd w:val="clear" w:color="auto" w:fill="005CB9"/>
          </w:tcPr>
          <w:p>
            <w:pPr>
              <w:spacing w:after="0"/>
              <w:rPr>
                <w:sz w:val="14"/>
                <w:szCs w:val="14"/>
                <w:color w:val="auto"/>
              </w:rPr>
            </w:pPr>
          </w:p>
        </w:tc>
        <w:tc>
          <w:tcPr>
            <w:tcW w:w="1760" w:type="dxa"/>
            <w:vAlign w:val="bottom"/>
            <w:shd w:val="clear" w:color="auto" w:fill="005CB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7F7F7F"/>
              <w:right w:val="single" w:sz="8" w:color="7F7F7F"/>
            </w:tcBorders>
            <w:vMerge w:val="continue"/>
            <w:shd w:val="clear" w:color="auto" w:fill="005CB9"/>
          </w:tcPr>
          <w:p>
            <w:pPr>
              <w:spacing w:after="0"/>
              <w:rPr>
                <w:sz w:val="12"/>
                <w:szCs w:val="12"/>
                <w:color w:val="auto"/>
              </w:rPr>
            </w:pPr>
          </w:p>
        </w:tc>
        <w:tc>
          <w:tcPr>
            <w:tcW w:w="1680" w:type="dxa"/>
            <w:vAlign w:val="bottom"/>
            <w:tcBorders>
              <w:right w:val="single" w:sz="8" w:color="7F7F7F"/>
            </w:tcBorders>
            <w:shd w:val="clear" w:color="auto" w:fill="005CB9"/>
          </w:tcPr>
          <w:p>
            <w:pPr>
              <w:jc w:val="center"/>
              <w:spacing w:after="0" w:line="149" w:lineRule="exact"/>
              <w:rPr>
                <w:sz w:val="20"/>
                <w:szCs w:val="20"/>
                <w:color w:val="auto"/>
              </w:rPr>
            </w:pPr>
            <w:r>
              <w:rPr>
                <w:rFonts w:ascii="Arial" w:cs="Arial" w:eastAsia="Arial" w:hAnsi="Arial"/>
                <w:sz w:val="14"/>
                <w:szCs w:val="14"/>
                <w:b w:val="1"/>
                <w:bCs w:val="1"/>
                <w:color w:val="FFFFFF"/>
              </w:rPr>
              <w:t>Performance</w:t>
            </w:r>
          </w:p>
        </w:tc>
        <w:tc>
          <w:tcPr>
            <w:tcW w:w="1600" w:type="dxa"/>
            <w:vAlign w:val="bottom"/>
            <w:tcBorders>
              <w:right w:val="single" w:sz="8" w:color="7F7F7F"/>
            </w:tcBorders>
            <w:shd w:val="clear" w:color="auto" w:fill="005CB9"/>
          </w:tcPr>
          <w:p>
            <w:pPr>
              <w:jc w:val="center"/>
              <w:spacing w:after="0" w:line="149" w:lineRule="exact"/>
              <w:rPr>
                <w:sz w:val="20"/>
                <w:szCs w:val="20"/>
                <w:color w:val="auto"/>
              </w:rPr>
            </w:pPr>
            <w:r>
              <w:rPr>
                <w:rFonts w:ascii="Arial" w:cs="Arial" w:eastAsia="Arial" w:hAnsi="Arial"/>
                <w:sz w:val="14"/>
                <w:szCs w:val="14"/>
                <w:b w:val="1"/>
                <w:bCs w:val="1"/>
                <w:color w:val="FFFFFF"/>
              </w:rPr>
              <w:t>2020 Performance</w:t>
            </w:r>
          </w:p>
        </w:tc>
        <w:tc>
          <w:tcPr>
            <w:tcW w:w="1580" w:type="dxa"/>
            <w:vAlign w:val="bottom"/>
            <w:tcBorders>
              <w:right w:val="single" w:sz="8" w:color="7F7F7F"/>
            </w:tcBorders>
            <w:shd w:val="clear" w:color="auto" w:fill="005CB9"/>
          </w:tcPr>
          <w:p>
            <w:pPr>
              <w:jc w:val="center"/>
              <w:spacing w:after="0" w:line="149" w:lineRule="exact"/>
              <w:rPr>
                <w:sz w:val="20"/>
                <w:szCs w:val="20"/>
                <w:color w:val="auto"/>
              </w:rPr>
            </w:pPr>
            <w:r>
              <w:rPr>
                <w:rFonts w:ascii="Arial" w:cs="Arial" w:eastAsia="Arial" w:hAnsi="Arial"/>
                <w:sz w:val="14"/>
                <w:szCs w:val="14"/>
                <w:b w:val="1"/>
                <w:bCs w:val="1"/>
                <w:color w:val="FFFFFF"/>
              </w:rPr>
              <w:t>2020 Performance</w:t>
            </w:r>
          </w:p>
        </w:tc>
        <w:tc>
          <w:tcPr>
            <w:tcW w:w="1600" w:type="dxa"/>
            <w:vAlign w:val="bottom"/>
            <w:tcBorders>
              <w:right w:val="single" w:sz="8" w:color="7F7F7F"/>
            </w:tcBorders>
            <w:shd w:val="clear" w:color="auto" w:fill="005CB9"/>
          </w:tcPr>
          <w:p>
            <w:pPr>
              <w:jc w:val="center"/>
              <w:ind w:left="4"/>
              <w:spacing w:after="0" w:line="149" w:lineRule="exact"/>
              <w:rPr>
                <w:sz w:val="20"/>
                <w:szCs w:val="20"/>
                <w:color w:val="auto"/>
              </w:rPr>
            </w:pPr>
            <w:r>
              <w:rPr>
                <w:rFonts w:ascii="Arial" w:cs="Arial" w:eastAsia="Arial" w:hAnsi="Arial"/>
                <w:sz w:val="14"/>
                <w:szCs w:val="14"/>
                <w:b w:val="1"/>
                <w:bCs w:val="1"/>
                <w:color w:val="FFFFFF"/>
              </w:rPr>
              <w:t>2020 Performance</w:t>
            </w:r>
          </w:p>
        </w:tc>
        <w:tc>
          <w:tcPr>
            <w:tcW w:w="1760" w:type="dxa"/>
            <w:vAlign w:val="bottom"/>
            <w:shd w:val="clear" w:color="auto" w:fill="005CB9"/>
          </w:tcPr>
          <w:p>
            <w:pPr>
              <w:jc w:val="center"/>
              <w:spacing w:after="0" w:line="149" w:lineRule="exact"/>
              <w:rPr>
                <w:sz w:val="20"/>
                <w:szCs w:val="20"/>
                <w:color w:val="auto"/>
              </w:rPr>
            </w:pPr>
            <w:r>
              <w:rPr>
                <w:rFonts w:ascii="Arial" w:cs="Arial" w:eastAsia="Arial" w:hAnsi="Arial"/>
                <w:sz w:val="14"/>
                <w:szCs w:val="14"/>
                <w:b w:val="1"/>
                <w:bCs w:val="1"/>
                <w:color w:val="FFFFFF"/>
              </w:rPr>
              <w:t>2020 Actual</w:t>
            </w:r>
          </w:p>
        </w:tc>
        <w:tc>
          <w:tcPr>
            <w:tcW w:w="0" w:type="dxa"/>
            <w:vAlign w:val="bottom"/>
          </w:tcPr>
          <w:p>
            <w:pPr>
              <w:spacing w:after="0"/>
              <w:rPr>
                <w:sz w:val="1"/>
                <w:szCs w:val="1"/>
                <w:color w:val="auto"/>
              </w:rPr>
            </w:pPr>
          </w:p>
        </w:tc>
      </w:tr>
      <w:tr>
        <w:trPr>
          <w:trHeight w:val="189"/>
        </w:trPr>
        <w:tc>
          <w:tcPr>
            <w:tcW w:w="1700" w:type="dxa"/>
            <w:vAlign w:val="bottom"/>
            <w:tcBorders>
              <w:left w:val="single" w:sz="8" w:color="7F7F7F"/>
              <w:right w:val="single" w:sz="8" w:color="7F7F7F"/>
            </w:tcBorders>
            <w:shd w:val="clear" w:color="auto" w:fill="005CB9"/>
          </w:tcPr>
          <w:p>
            <w:pPr>
              <w:jc w:val="center"/>
              <w:ind w:left="62"/>
              <w:spacing w:after="0"/>
              <w:rPr>
                <w:sz w:val="20"/>
                <w:szCs w:val="20"/>
                <w:color w:val="auto"/>
              </w:rPr>
            </w:pPr>
            <w:r>
              <w:rPr>
                <w:rFonts w:ascii="Arial" w:cs="Arial" w:eastAsia="Arial" w:hAnsi="Arial"/>
                <w:sz w:val="14"/>
                <w:szCs w:val="14"/>
                <w:b w:val="1"/>
                <w:bCs w:val="1"/>
                <w:color w:val="FFFFFF"/>
              </w:rPr>
              <w:t>Component</w:t>
            </w:r>
          </w:p>
        </w:tc>
        <w:tc>
          <w:tcPr>
            <w:tcW w:w="168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Metrics</w:t>
            </w:r>
          </w:p>
        </w:tc>
        <w:tc>
          <w:tcPr>
            <w:tcW w:w="160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Threshold</w:t>
            </w:r>
          </w:p>
        </w:tc>
        <w:tc>
          <w:tcPr>
            <w:tcW w:w="158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Target</w:t>
            </w:r>
          </w:p>
        </w:tc>
        <w:tc>
          <w:tcPr>
            <w:tcW w:w="160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Maximum</w:t>
            </w:r>
          </w:p>
        </w:tc>
        <w:tc>
          <w:tcPr>
            <w:tcW w:w="17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191"/>
        </w:trPr>
        <w:tc>
          <w:tcPr>
            <w:tcW w:w="1700" w:type="dxa"/>
            <w:vAlign w:val="bottom"/>
            <w:tcBorders>
              <w:left w:val="single" w:sz="8" w:color="7F7F7F"/>
              <w:right w:val="single" w:sz="8" w:color="7F7F7F"/>
            </w:tcBorders>
            <w:vMerge w:val="restart"/>
            <w:shd w:val="clear" w:color="auto" w:fill="EAEAEA"/>
          </w:tcPr>
          <w:p>
            <w:pPr>
              <w:jc w:val="center"/>
              <w:ind w:left="42"/>
              <w:spacing w:after="0"/>
              <w:rPr>
                <w:sz w:val="20"/>
                <w:szCs w:val="20"/>
                <w:color w:val="auto"/>
              </w:rPr>
            </w:pPr>
            <w:r>
              <w:rPr>
                <w:rFonts w:ascii="Arial" w:cs="Arial" w:eastAsia="Arial" w:hAnsi="Arial"/>
                <w:sz w:val="16"/>
                <w:szCs w:val="16"/>
                <w:b w:val="1"/>
                <w:bCs w:val="1"/>
                <w:color w:val="auto"/>
              </w:rPr>
              <w:t>Annual Incentive</w:t>
            </w:r>
          </w:p>
        </w:tc>
        <w:tc>
          <w:tcPr>
            <w:tcW w:w="1680" w:type="dxa"/>
            <w:vAlign w:val="bottom"/>
            <w:tcBorders>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w w:val="99"/>
              </w:rPr>
              <w:t>Adjusted</w:t>
            </w:r>
          </w:p>
        </w:tc>
        <w:tc>
          <w:tcPr>
            <w:tcW w:w="1600" w:type="dxa"/>
            <w:vAlign w:val="bottom"/>
            <w:tcBorders>
              <w:right w:val="single" w:sz="8" w:color="7F7F7F"/>
            </w:tcBorders>
            <w:vMerge w:val="restart"/>
            <w:shd w:val="clear" w:color="auto" w:fill="EAEAEA"/>
          </w:tcPr>
          <w:p>
            <w:pPr>
              <w:jc w:val="center"/>
              <w:spacing w:after="0"/>
              <w:rPr>
                <w:sz w:val="20"/>
                <w:szCs w:val="20"/>
                <w:color w:val="auto"/>
              </w:rPr>
            </w:pPr>
            <w:r>
              <w:rPr>
                <w:rFonts w:ascii="Arial" w:cs="Arial" w:eastAsia="Arial" w:hAnsi="Arial"/>
                <w:sz w:val="16"/>
                <w:szCs w:val="16"/>
                <w:color w:val="auto"/>
              </w:rPr>
              <w:t>$416.3 million</w:t>
            </w:r>
          </w:p>
        </w:tc>
        <w:tc>
          <w:tcPr>
            <w:tcW w:w="1580" w:type="dxa"/>
            <w:vAlign w:val="bottom"/>
            <w:tcBorders>
              <w:right w:val="single" w:sz="8" w:color="7F7F7F"/>
            </w:tcBorders>
            <w:vMerge w:val="restart"/>
            <w:shd w:val="clear" w:color="auto" w:fill="EAEAEA"/>
          </w:tcPr>
          <w:p>
            <w:pPr>
              <w:jc w:val="center"/>
              <w:spacing w:after="0"/>
              <w:rPr>
                <w:sz w:val="20"/>
                <w:szCs w:val="20"/>
                <w:color w:val="auto"/>
              </w:rPr>
            </w:pPr>
            <w:r>
              <w:rPr>
                <w:rFonts w:ascii="Arial" w:cs="Arial" w:eastAsia="Arial" w:hAnsi="Arial"/>
                <w:sz w:val="16"/>
                <w:szCs w:val="16"/>
                <w:color w:val="auto"/>
              </w:rPr>
              <w:t>$520.4 million</w:t>
            </w:r>
          </w:p>
        </w:tc>
        <w:tc>
          <w:tcPr>
            <w:tcW w:w="1600" w:type="dxa"/>
            <w:vAlign w:val="bottom"/>
            <w:tcBorders>
              <w:right w:val="single" w:sz="8" w:color="7F7F7F"/>
            </w:tcBorders>
            <w:vMerge w:val="restart"/>
            <w:shd w:val="clear" w:color="auto" w:fill="EAEAEA"/>
          </w:tcPr>
          <w:p>
            <w:pPr>
              <w:jc w:val="center"/>
              <w:ind w:left="4"/>
              <w:spacing w:after="0"/>
              <w:rPr>
                <w:sz w:val="20"/>
                <w:szCs w:val="20"/>
                <w:color w:val="auto"/>
              </w:rPr>
            </w:pPr>
            <w:r>
              <w:rPr>
                <w:rFonts w:ascii="Arial" w:cs="Arial" w:eastAsia="Arial" w:hAnsi="Arial"/>
                <w:sz w:val="16"/>
                <w:szCs w:val="16"/>
                <w:color w:val="auto"/>
              </w:rPr>
              <w:t>$780.6 million</w:t>
            </w:r>
          </w:p>
        </w:tc>
        <w:tc>
          <w:tcPr>
            <w:tcW w:w="176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rPr>
              <w:t>$787.4 million</w:t>
            </w:r>
          </w:p>
        </w:tc>
        <w:tc>
          <w:tcPr>
            <w:tcW w:w="0" w:type="dxa"/>
            <w:vAlign w:val="bottom"/>
          </w:tcPr>
          <w:p>
            <w:pPr>
              <w:spacing w:after="0"/>
              <w:rPr>
                <w:sz w:val="1"/>
                <w:szCs w:val="1"/>
                <w:color w:val="auto"/>
              </w:rPr>
            </w:pPr>
          </w:p>
        </w:tc>
      </w:tr>
      <w:tr>
        <w:trPr>
          <w:trHeight w:val="100"/>
        </w:trPr>
        <w:tc>
          <w:tcPr>
            <w:tcW w:w="1700" w:type="dxa"/>
            <w:vAlign w:val="bottom"/>
            <w:tcBorders>
              <w:left w:val="single" w:sz="8" w:color="7F7F7F"/>
              <w:right w:val="single" w:sz="8" w:color="7F7F7F"/>
            </w:tcBorders>
            <w:vMerge w:val="continue"/>
            <w:shd w:val="clear" w:color="auto" w:fill="EAEAEA"/>
          </w:tcPr>
          <w:p>
            <w:pPr>
              <w:spacing w:after="0"/>
              <w:rPr>
                <w:sz w:val="8"/>
                <w:szCs w:val="8"/>
                <w:color w:val="auto"/>
              </w:rPr>
            </w:pPr>
          </w:p>
        </w:tc>
        <w:tc>
          <w:tcPr>
            <w:tcW w:w="1680" w:type="dxa"/>
            <w:vAlign w:val="bottom"/>
            <w:tcBorders>
              <w:right w:val="single" w:sz="8" w:color="7F7F7F"/>
            </w:tcBorders>
            <w:vMerge w:val="restart"/>
            <w:shd w:val="clear" w:color="auto" w:fill="EAEAEA"/>
          </w:tcPr>
          <w:p>
            <w:pPr>
              <w:jc w:val="center"/>
              <w:spacing w:after="0"/>
              <w:rPr>
                <w:sz w:val="20"/>
                <w:szCs w:val="20"/>
                <w:color w:val="auto"/>
              </w:rPr>
            </w:pPr>
            <w:r>
              <w:rPr>
                <w:rFonts w:ascii="Arial" w:cs="Arial" w:eastAsia="Arial" w:hAnsi="Arial"/>
                <w:sz w:val="16"/>
                <w:szCs w:val="16"/>
                <w:color w:val="auto"/>
              </w:rPr>
              <w:t>EBITDA</w:t>
            </w:r>
          </w:p>
        </w:tc>
        <w:tc>
          <w:tcPr>
            <w:tcW w:w="1600" w:type="dxa"/>
            <w:vAlign w:val="bottom"/>
            <w:tcBorders>
              <w:right w:val="single" w:sz="8" w:color="7F7F7F"/>
            </w:tcBorders>
            <w:vMerge w:val="continue"/>
            <w:shd w:val="clear" w:color="auto" w:fill="EAEAEA"/>
          </w:tcPr>
          <w:p>
            <w:pPr>
              <w:spacing w:after="0"/>
              <w:rPr>
                <w:sz w:val="8"/>
                <w:szCs w:val="8"/>
                <w:color w:val="auto"/>
              </w:rPr>
            </w:pPr>
          </w:p>
        </w:tc>
        <w:tc>
          <w:tcPr>
            <w:tcW w:w="1580" w:type="dxa"/>
            <w:vAlign w:val="bottom"/>
            <w:tcBorders>
              <w:right w:val="single" w:sz="8" w:color="7F7F7F"/>
            </w:tcBorders>
            <w:vMerge w:val="continue"/>
            <w:shd w:val="clear" w:color="auto" w:fill="EAEAEA"/>
          </w:tcPr>
          <w:p>
            <w:pPr>
              <w:spacing w:after="0"/>
              <w:rPr>
                <w:sz w:val="8"/>
                <w:szCs w:val="8"/>
                <w:color w:val="auto"/>
              </w:rPr>
            </w:pPr>
          </w:p>
        </w:tc>
        <w:tc>
          <w:tcPr>
            <w:tcW w:w="1600" w:type="dxa"/>
            <w:vAlign w:val="bottom"/>
            <w:tcBorders>
              <w:right w:val="single" w:sz="8" w:color="7F7F7F"/>
            </w:tcBorders>
            <w:vMerge w:val="continue"/>
            <w:shd w:val="clear" w:color="auto" w:fill="EAEAEA"/>
          </w:tcPr>
          <w:p>
            <w:pPr>
              <w:spacing w:after="0"/>
              <w:rPr>
                <w:sz w:val="8"/>
                <w:szCs w:val="8"/>
                <w:color w:val="auto"/>
              </w:rPr>
            </w:pPr>
          </w:p>
        </w:tc>
        <w:tc>
          <w:tcPr>
            <w:tcW w:w="1760" w:type="dxa"/>
            <w:vAlign w:val="bottom"/>
            <w:vMerge w:val="continue"/>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700" w:type="dxa"/>
            <w:vAlign w:val="bottom"/>
            <w:tcBorders>
              <w:left w:val="single" w:sz="8" w:color="7F7F7F"/>
              <w:bottom w:val="single" w:sz="8" w:color="7F7F7F"/>
              <w:right w:val="single" w:sz="8" w:color="7F7F7F"/>
            </w:tcBorders>
            <w:shd w:val="clear" w:color="auto" w:fill="EAEAEA"/>
          </w:tcPr>
          <w:p>
            <w:pPr>
              <w:spacing w:after="0"/>
              <w:rPr>
                <w:sz w:val="7"/>
                <w:szCs w:val="7"/>
                <w:color w:val="auto"/>
              </w:rPr>
            </w:pPr>
          </w:p>
        </w:tc>
        <w:tc>
          <w:tcPr>
            <w:tcW w:w="1680" w:type="dxa"/>
            <w:vAlign w:val="bottom"/>
            <w:tcBorders>
              <w:bottom w:val="single" w:sz="8" w:color="7F7F7F"/>
              <w:right w:val="single" w:sz="8" w:color="7F7F7F"/>
            </w:tcBorders>
            <w:vMerge w:val="continue"/>
            <w:shd w:val="clear" w:color="auto" w:fill="EAEAEA"/>
          </w:tcPr>
          <w:p>
            <w:pPr>
              <w:spacing w:after="0"/>
              <w:rPr>
                <w:sz w:val="7"/>
                <w:szCs w:val="7"/>
                <w:color w:val="auto"/>
              </w:rPr>
            </w:pPr>
          </w:p>
        </w:tc>
        <w:tc>
          <w:tcPr>
            <w:tcW w:w="1600" w:type="dxa"/>
            <w:vAlign w:val="bottom"/>
            <w:tcBorders>
              <w:bottom w:val="single" w:sz="8" w:color="7F7F7F"/>
              <w:right w:val="single" w:sz="8" w:color="7F7F7F"/>
            </w:tcBorders>
            <w:shd w:val="clear" w:color="auto" w:fill="EAEAEA"/>
          </w:tcPr>
          <w:p>
            <w:pPr>
              <w:spacing w:after="0"/>
              <w:rPr>
                <w:sz w:val="7"/>
                <w:szCs w:val="7"/>
                <w:color w:val="auto"/>
              </w:rPr>
            </w:pPr>
          </w:p>
        </w:tc>
        <w:tc>
          <w:tcPr>
            <w:tcW w:w="1580" w:type="dxa"/>
            <w:vAlign w:val="bottom"/>
            <w:tcBorders>
              <w:bottom w:val="single" w:sz="8" w:color="7F7F7F"/>
              <w:right w:val="single" w:sz="8" w:color="7F7F7F"/>
            </w:tcBorders>
            <w:shd w:val="clear" w:color="auto" w:fill="EAEAEA"/>
          </w:tcPr>
          <w:p>
            <w:pPr>
              <w:spacing w:after="0"/>
              <w:rPr>
                <w:sz w:val="7"/>
                <w:szCs w:val="7"/>
                <w:color w:val="auto"/>
              </w:rPr>
            </w:pPr>
          </w:p>
        </w:tc>
        <w:tc>
          <w:tcPr>
            <w:tcW w:w="1600" w:type="dxa"/>
            <w:vAlign w:val="bottom"/>
            <w:tcBorders>
              <w:bottom w:val="single" w:sz="8" w:color="7F7F7F"/>
              <w:right w:val="single" w:sz="8" w:color="7F7F7F"/>
            </w:tcBorders>
            <w:shd w:val="clear" w:color="auto" w:fill="EAEAEA"/>
          </w:tcPr>
          <w:p>
            <w:pPr>
              <w:spacing w:after="0"/>
              <w:rPr>
                <w:sz w:val="7"/>
                <w:szCs w:val="7"/>
                <w:color w:val="auto"/>
              </w:rPr>
            </w:pPr>
          </w:p>
        </w:tc>
        <w:tc>
          <w:tcPr>
            <w:tcW w:w="1760" w:type="dxa"/>
            <w:vAlign w:val="bottom"/>
            <w:tcBorders>
              <w:bottom w:val="single" w:sz="8" w:color="7F7F7F"/>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700" w:type="dxa"/>
            <w:vAlign w:val="bottom"/>
            <w:tcBorders>
              <w:left w:val="single" w:sz="8" w:color="7F7F7F"/>
              <w:right w:val="single" w:sz="8" w:color="7F7F7F"/>
            </w:tcBorders>
            <w:shd w:val="clear" w:color="auto" w:fill="EAEAEA"/>
          </w:tcPr>
          <w:p>
            <w:pPr>
              <w:jc w:val="center"/>
              <w:ind w:left="62"/>
              <w:spacing w:after="0"/>
              <w:rPr>
                <w:sz w:val="20"/>
                <w:szCs w:val="20"/>
                <w:color w:val="auto"/>
              </w:rPr>
            </w:pPr>
            <w:r>
              <w:rPr>
                <w:rFonts w:ascii="Arial" w:cs="Arial" w:eastAsia="Arial" w:hAnsi="Arial"/>
                <w:sz w:val="16"/>
                <w:szCs w:val="16"/>
                <w:b w:val="1"/>
                <w:bCs w:val="1"/>
                <w:color w:val="auto"/>
              </w:rPr>
              <w:t>Performance-</w:t>
            </w:r>
          </w:p>
        </w:tc>
        <w:tc>
          <w:tcPr>
            <w:tcW w:w="1680" w:type="dxa"/>
            <w:vAlign w:val="bottom"/>
            <w:tcBorders>
              <w:right w:val="single" w:sz="8" w:color="7F7F7F"/>
            </w:tcBorders>
            <w:shd w:val="clear" w:color="auto" w:fill="EAEAEA"/>
          </w:tcPr>
          <w:p>
            <w:pPr>
              <w:spacing w:after="0"/>
              <w:rPr>
                <w:sz w:val="18"/>
                <w:szCs w:val="18"/>
                <w:color w:val="auto"/>
              </w:rPr>
            </w:pPr>
          </w:p>
        </w:tc>
        <w:tc>
          <w:tcPr>
            <w:tcW w:w="1600" w:type="dxa"/>
            <w:vAlign w:val="bottom"/>
            <w:tcBorders>
              <w:right w:val="single" w:sz="8" w:color="7F7F7F"/>
            </w:tcBorders>
            <w:shd w:val="clear" w:color="auto" w:fill="EAEAEA"/>
          </w:tcPr>
          <w:p>
            <w:pPr>
              <w:spacing w:after="0"/>
              <w:rPr>
                <w:sz w:val="18"/>
                <w:szCs w:val="18"/>
                <w:color w:val="auto"/>
              </w:rPr>
            </w:pPr>
          </w:p>
        </w:tc>
        <w:tc>
          <w:tcPr>
            <w:tcW w:w="1580" w:type="dxa"/>
            <w:vAlign w:val="bottom"/>
            <w:tcBorders>
              <w:right w:val="single" w:sz="8" w:color="7F7F7F"/>
            </w:tcBorders>
            <w:shd w:val="clear" w:color="auto" w:fill="EAEAEA"/>
          </w:tcPr>
          <w:p>
            <w:pPr>
              <w:spacing w:after="0"/>
              <w:rPr>
                <w:sz w:val="18"/>
                <w:szCs w:val="18"/>
                <w:color w:val="auto"/>
              </w:rPr>
            </w:pPr>
          </w:p>
        </w:tc>
        <w:tc>
          <w:tcPr>
            <w:tcW w:w="1600" w:type="dxa"/>
            <w:vAlign w:val="bottom"/>
            <w:tcBorders>
              <w:right w:val="single" w:sz="8" w:color="7F7F7F"/>
            </w:tcBorders>
            <w:shd w:val="clear" w:color="auto" w:fill="EAEAEA"/>
          </w:tcPr>
          <w:p>
            <w:pPr>
              <w:spacing w:after="0"/>
              <w:rPr>
                <w:sz w:val="18"/>
                <w:szCs w:val="18"/>
                <w:color w:val="auto"/>
              </w:rPr>
            </w:pPr>
          </w:p>
        </w:tc>
        <w:tc>
          <w:tcPr>
            <w:tcW w:w="1760" w:type="dxa"/>
            <w:vAlign w:val="bottom"/>
            <w:shd w:val="clear" w:color="auto" w:fill="EAEAEA"/>
          </w:tcPr>
          <w:p>
            <w:pPr>
              <w:jc w:val="center"/>
              <w:spacing w:after="0"/>
              <w:rPr>
                <w:sz w:val="20"/>
                <w:szCs w:val="20"/>
                <w:color w:val="auto"/>
              </w:rPr>
            </w:pPr>
            <w:r>
              <w:rPr>
                <w:rFonts w:ascii="Arial" w:cs="Arial" w:eastAsia="Arial" w:hAnsi="Arial"/>
                <w:sz w:val="16"/>
                <w:szCs w:val="16"/>
                <w:color w:val="auto"/>
              </w:rPr>
              <w:t>N/A: Relative</w:t>
            </w:r>
          </w:p>
        </w:tc>
        <w:tc>
          <w:tcPr>
            <w:tcW w:w="0" w:type="dxa"/>
            <w:vAlign w:val="bottom"/>
          </w:tcPr>
          <w:p>
            <w:pPr>
              <w:spacing w:after="0"/>
              <w:rPr>
                <w:sz w:val="1"/>
                <w:szCs w:val="1"/>
                <w:color w:val="auto"/>
              </w:rPr>
            </w:pPr>
          </w:p>
        </w:tc>
      </w:tr>
      <w:tr>
        <w:trPr>
          <w:trHeight w:val="189"/>
        </w:trPr>
        <w:tc>
          <w:tcPr>
            <w:tcW w:w="1700" w:type="dxa"/>
            <w:vAlign w:val="bottom"/>
            <w:tcBorders>
              <w:left w:val="single" w:sz="8" w:color="7F7F7F"/>
              <w:right w:val="single" w:sz="8" w:color="7F7F7F"/>
            </w:tcBorders>
            <w:shd w:val="clear" w:color="auto" w:fill="EAEAEA"/>
          </w:tcPr>
          <w:p>
            <w:pPr>
              <w:jc w:val="center"/>
              <w:ind w:left="62"/>
              <w:spacing w:after="0"/>
              <w:rPr>
                <w:sz w:val="20"/>
                <w:szCs w:val="20"/>
                <w:color w:val="auto"/>
              </w:rPr>
            </w:pPr>
            <w:r>
              <w:rPr>
                <w:rFonts w:ascii="Arial" w:cs="Arial" w:eastAsia="Arial" w:hAnsi="Arial"/>
                <w:sz w:val="16"/>
                <w:szCs w:val="16"/>
                <w:b w:val="1"/>
                <w:bCs w:val="1"/>
                <w:color w:val="auto"/>
              </w:rPr>
              <w:t>Based RSUs</w:t>
            </w:r>
          </w:p>
        </w:tc>
        <w:tc>
          <w:tcPr>
            <w:tcW w:w="1680" w:type="dxa"/>
            <w:vAlign w:val="bottom"/>
            <w:tcBorders>
              <w:right w:val="single" w:sz="8" w:color="7F7F7F"/>
            </w:tcBorders>
            <w:shd w:val="clear" w:color="auto" w:fill="EAEAEA"/>
          </w:tcPr>
          <w:p>
            <w:pPr>
              <w:spacing w:after="0"/>
              <w:rPr>
                <w:sz w:val="16"/>
                <w:szCs w:val="16"/>
                <w:color w:val="auto"/>
              </w:rPr>
            </w:pPr>
          </w:p>
        </w:tc>
        <w:tc>
          <w:tcPr>
            <w:tcW w:w="1600" w:type="dxa"/>
            <w:vAlign w:val="bottom"/>
            <w:tcBorders>
              <w:right w:val="single" w:sz="8" w:color="7F7F7F"/>
            </w:tcBorders>
            <w:shd w:val="clear" w:color="auto" w:fill="EAEAEA"/>
          </w:tcPr>
          <w:p>
            <w:pPr>
              <w:spacing w:after="0"/>
              <w:rPr>
                <w:sz w:val="16"/>
                <w:szCs w:val="16"/>
                <w:color w:val="auto"/>
              </w:rPr>
            </w:pPr>
          </w:p>
        </w:tc>
        <w:tc>
          <w:tcPr>
            <w:tcW w:w="1580" w:type="dxa"/>
            <w:vAlign w:val="bottom"/>
            <w:tcBorders>
              <w:right w:val="single" w:sz="8" w:color="7F7F7F"/>
            </w:tcBorders>
            <w:shd w:val="clear" w:color="auto" w:fill="EAEAEA"/>
          </w:tcPr>
          <w:p>
            <w:pPr>
              <w:spacing w:after="0"/>
              <w:rPr>
                <w:sz w:val="16"/>
                <w:szCs w:val="16"/>
                <w:color w:val="auto"/>
              </w:rPr>
            </w:pPr>
          </w:p>
        </w:tc>
        <w:tc>
          <w:tcPr>
            <w:tcW w:w="1600" w:type="dxa"/>
            <w:vAlign w:val="bottom"/>
            <w:tcBorders>
              <w:right w:val="single" w:sz="8" w:color="7F7F7F"/>
            </w:tcBorders>
            <w:shd w:val="clear" w:color="auto" w:fill="EAEAEA"/>
          </w:tcPr>
          <w:p>
            <w:pPr>
              <w:spacing w:after="0"/>
              <w:rPr>
                <w:sz w:val="16"/>
                <w:szCs w:val="16"/>
                <w:color w:val="auto"/>
              </w:rPr>
            </w:pPr>
          </w:p>
        </w:tc>
        <w:tc>
          <w:tcPr>
            <w:tcW w:w="1760" w:type="dxa"/>
            <w:vAlign w:val="bottom"/>
            <w:shd w:val="clear" w:color="auto" w:fill="EAEAEA"/>
          </w:tcPr>
          <w:p>
            <w:pPr>
              <w:jc w:val="center"/>
              <w:spacing w:after="0"/>
              <w:rPr>
                <w:sz w:val="20"/>
                <w:szCs w:val="20"/>
                <w:color w:val="auto"/>
              </w:rPr>
            </w:pPr>
            <w:r>
              <w:rPr>
                <w:rFonts w:ascii="Arial" w:cs="Arial" w:eastAsia="Arial" w:hAnsi="Arial"/>
                <w:sz w:val="16"/>
                <w:szCs w:val="16"/>
                <w:color w:val="auto"/>
              </w:rPr>
              <w:t>TSR is measured</w:t>
            </w:r>
          </w:p>
        </w:tc>
        <w:tc>
          <w:tcPr>
            <w:tcW w:w="0" w:type="dxa"/>
            <w:vAlign w:val="bottom"/>
          </w:tcPr>
          <w:p>
            <w:pPr>
              <w:spacing w:after="0"/>
              <w:rPr>
                <w:sz w:val="1"/>
                <w:szCs w:val="1"/>
                <w:color w:val="auto"/>
              </w:rPr>
            </w:pPr>
          </w:p>
        </w:tc>
      </w:tr>
      <w:tr>
        <w:trPr>
          <w:trHeight w:val="164"/>
        </w:trPr>
        <w:tc>
          <w:tcPr>
            <w:tcW w:w="1700" w:type="dxa"/>
            <w:vAlign w:val="bottom"/>
            <w:tcBorders>
              <w:left w:val="single" w:sz="8" w:color="7F7F7F"/>
              <w:right w:val="single" w:sz="8" w:color="7F7F7F"/>
            </w:tcBorders>
            <w:shd w:val="clear" w:color="auto" w:fill="EAEAEA"/>
          </w:tcPr>
          <w:p>
            <w:pPr>
              <w:spacing w:after="0"/>
              <w:rPr>
                <w:sz w:val="14"/>
                <w:szCs w:val="14"/>
                <w:color w:val="auto"/>
              </w:rPr>
            </w:pPr>
          </w:p>
        </w:tc>
        <w:tc>
          <w:tcPr>
            <w:tcW w:w="1680" w:type="dxa"/>
            <w:vAlign w:val="bottom"/>
            <w:tcBorders>
              <w:right w:val="single" w:sz="8" w:color="7F7F7F"/>
            </w:tcBorders>
            <w:vMerge w:val="restart"/>
            <w:shd w:val="clear" w:color="auto" w:fill="EAEAEA"/>
          </w:tcPr>
          <w:p>
            <w:pPr>
              <w:jc w:val="center"/>
              <w:spacing w:after="0"/>
              <w:rPr>
                <w:sz w:val="20"/>
                <w:szCs w:val="20"/>
                <w:color w:val="auto"/>
              </w:rPr>
            </w:pPr>
            <w:r>
              <w:rPr>
                <w:rFonts w:ascii="Arial" w:cs="Arial" w:eastAsia="Arial" w:hAnsi="Arial"/>
                <w:sz w:val="16"/>
                <w:szCs w:val="16"/>
                <w:color w:val="auto"/>
                <w:w w:val="99"/>
              </w:rPr>
              <w:t>Relative TSR</w:t>
            </w:r>
          </w:p>
        </w:tc>
        <w:tc>
          <w:tcPr>
            <w:tcW w:w="1600" w:type="dxa"/>
            <w:vAlign w:val="bottom"/>
            <w:tcBorders>
              <w:right w:val="single" w:sz="8" w:color="7F7F7F"/>
            </w:tcBorders>
            <w:vMerge w:val="restart"/>
            <w:shd w:val="clear" w:color="auto" w:fill="EAEAEA"/>
          </w:tcPr>
          <w:p>
            <w:pPr>
              <w:jc w:val="center"/>
              <w:spacing w:after="0"/>
              <w:rPr>
                <w:sz w:val="20"/>
                <w:szCs w:val="20"/>
                <w:color w:val="auto"/>
              </w:rPr>
            </w:pPr>
            <w:r>
              <w:rPr>
                <w:rFonts w:ascii="Arial" w:cs="Arial" w:eastAsia="Arial" w:hAnsi="Arial"/>
                <w:sz w:val="16"/>
                <w:szCs w:val="16"/>
                <w:color w:val="auto"/>
                <w:w w:val="97"/>
              </w:rPr>
              <w:t>40</w:t>
            </w:r>
            <w:r>
              <w:rPr>
                <w:rFonts w:ascii="Arial" w:cs="Arial" w:eastAsia="Arial" w:hAnsi="Arial"/>
                <w:sz w:val="27"/>
                <w:szCs w:val="27"/>
                <w:color w:val="auto"/>
                <w:w w:val="97"/>
                <w:vertAlign w:val="superscript"/>
              </w:rPr>
              <w:t>th</w:t>
            </w:r>
            <w:r>
              <w:rPr>
                <w:rFonts w:ascii="Arial" w:cs="Arial" w:eastAsia="Arial" w:hAnsi="Arial"/>
                <w:sz w:val="16"/>
                <w:szCs w:val="16"/>
                <w:color w:val="auto"/>
                <w:w w:val="97"/>
              </w:rPr>
              <w:t xml:space="preserve"> Percentile</w:t>
            </w:r>
          </w:p>
        </w:tc>
        <w:tc>
          <w:tcPr>
            <w:tcW w:w="1580" w:type="dxa"/>
            <w:vAlign w:val="bottom"/>
            <w:tcBorders>
              <w:right w:val="single" w:sz="8" w:color="7F7F7F"/>
            </w:tcBorders>
            <w:vMerge w:val="restart"/>
            <w:shd w:val="clear" w:color="auto" w:fill="EAEAEA"/>
          </w:tcPr>
          <w:p>
            <w:pPr>
              <w:jc w:val="center"/>
              <w:ind w:left="4"/>
              <w:spacing w:after="0"/>
              <w:rPr>
                <w:sz w:val="20"/>
                <w:szCs w:val="20"/>
                <w:color w:val="auto"/>
              </w:rPr>
            </w:pPr>
            <w:r>
              <w:rPr>
                <w:rFonts w:ascii="Arial" w:cs="Arial" w:eastAsia="Arial" w:hAnsi="Arial"/>
                <w:sz w:val="16"/>
                <w:szCs w:val="16"/>
                <w:color w:val="auto"/>
                <w:w w:val="97"/>
              </w:rPr>
              <w:t>50</w:t>
            </w:r>
            <w:r>
              <w:rPr>
                <w:rFonts w:ascii="Arial" w:cs="Arial" w:eastAsia="Arial" w:hAnsi="Arial"/>
                <w:sz w:val="27"/>
                <w:szCs w:val="27"/>
                <w:color w:val="auto"/>
                <w:w w:val="97"/>
                <w:vertAlign w:val="superscript"/>
              </w:rPr>
              <w:t>th</w:t>
            </w:r>
            <w:r>
              <w:rPr>
                <w:rFonts w:ascii="Arial" w:cs="Arial" w:eastAsia="Arial" w:hAnsi="Arial"/>
                <w:sz w:val="16"/>
                <w:szCs w:val="16"/>
                <w:color w:val="auto"/>
                <w:w w:val="97"/>
              </w:rPr>
              <w:t xml:space="preserve"> Percentile</w:t>
            </w:r>
          </w:p>
        </w:tc>
        <w:tc>
          <w:tcPr>
            <w:tcW w:w="1600" w:type="dxa"/>
            <w:vAlign w:val="bottom"/>
            <w:tcBorders>
              <w:right w:val="single" w:sz="8" w:color="7F7F7F"/>
            </w:tcBorders>
            <w:vMerge w:val="restart"/>
            <w:shd w:val="clear" w:color="auto" w:fill="EAEAEA"/>
          </w:tcPr>
          <w:p>
            <w:pPr>
              <w:jc w:val="center"/>
              <w:spacing w:after="0"/>
              <w:rPr>
                <w:sz w:val="20"/>
                <w:szCs w:val="20"/>
                <w:color w:val="auto"/>
              </w:rPr>
            </w:pPr>
            <w:r>
              <w:rPr>
                <w:rFonts w:ascii="Arial" w:cs="Arial" w:eastAsia="Arial" w:hAnsi="Arial"/>
                <w:sz w:val="16"/>
                <w:szCs w:val="16"/>
                <w:color w:val="auto"/>
                <w:w w:val="97"/>
              </w:rPr>
              <w:t>75</w:t>
            </w:r>
            <w:r>
              <w:rPr>
                <w:rFonts w:ascii="Arial" w:cs="Arial" w:eastAsia="Arial" w:hAnsi="Arial"/>
                <w:sz w:val="27"/>
                <w:szCs w:val="27"/>
                <w:color w:val="auto"/>
                <w:w w:val="97"/>
                <w:vertAlign w:val="superscript"/>
              </w:rPr>
              <w:t>th</w:t>
            </w:r>
            <w:r>
              <w:rPr>
                <w:rFonts w:ascii="Arial" w:cs="Arial" w:eastAsia="Arial" w:hAnsi="Arial"/>
                <w:sz w:val="16"/>
                <w:szCs w:val="16"/>
                <w:color w:val="auto"/>
                <w:w w:val="97"/>
              </w:rPr>
              <w:t xml:space="preserve"> Percentile</w:t>
            </w:r>
          </w:p>
        </w:tc>
        <w:tc>
          <w:tcPr>
            <w:tcW w:w="1760" w:type="dxa"/>
            <w:vAlign w:val="bottom"/>
            <w:shd w:val="clear" w:color="auto" w:fill="EAEAEA"/>
          </w:tcPr>
          <w:p>
            <w:pPr>
              <w:jc w:val="center"/>
              <w:spacing w:after="0" w:line="164" w:lineRule="exact"/>
              <w:rPr>
                <w:sz w:val="20"/>
                <w:szCs w:val="20"/>
                <w:color w:val="auto"/>
              </w:rPr>
            </w:pPr>
            <w:r>
              <w:rPr>
                <w:rFonts w:ascii="Arial" w:cs="Arial" w:eastAsia="Arial" w:hAnsi="Arial"/>
                <w:sz w:val="16"/>
                <w:szCs w:val="16"/>
                <w:color w:val="auto"/>
              </w:rPr>
              <w:t>over the</w:t>
            </w:r>
          </w:p>
        </w:tc>
        <w:tc>
          <w:tcPr>
            <w:tcW w:w="0" w:type="dxa"/>
            <w:vAlign w:val="bottom"/>
          </w:tcPr>
          <w:p>
            <w:pPr>
              <w:spacing w:after="0"/>
              <w:rPr>
                <w:sz w:val="1"/>
                <w:szCs w:val="1"/>
                <w:color w:val="auto"/>
              </w:rPr>
            </w:pPr>
          </w:p>
        </w:tc>
      </w:tr>
      <w:tr>
        <w:trPr>
          <w:trHeight w:val="147"/>
        </w:trPr>
        <w:tc>
          <w:tcPr>
            <w:tcW w:w="1700" w:type="dxa"/>
            <w:vAlign w:val="bottom"/>
            <w:tcBorders>
              <w:left w:val="single" w:sz="8" w:color="7F7F7F"/>
              <w:right w:val="single" w:sz="8" w:color="7F7F7F"/>
            </w:tcBorders>
            <w:vMerge w:val="restart"/>
            <w:shd w:val="clear" w:color="auto" w:fill="EAEAEA"/>
          </w:tcPr>
          <w:p>
            <w:pPr>
              <w:jc w:val="center"/>
              <w:ind w:left="62"/>
              <w:spacing w:after="0"/>
              <w:rPr>
                <w:sz w:val="20"/>
                <w:szCs w:val="20"/>
                <w:color w:val="auto"/>
              </w:rPr>
            </w:pPr>
            <w:r>
              <w:rPr>
                <w:rFonts w:ascii="Arial" w:cs="Arial" w:eastAsia="Arial" w:hAnsi="Arial"/>
                <w:sz w:val="16"/>
                <w:szCs w:val="16"/>
                <w:b w:val="1"/>
                <w:bCs w:val="1"/>
                <w:color w:val="auto"/>
              </w:rPr>
              <w:t>(Fiscal 2020</w:t>
            </w:r>
          </w:p>
        </w:tc>
        <w:tc>
          <w:tcPr>
            <w:tcW w:w="1680" w:type="dxa"/>
            <w:vAlign w:val="bottom"/>
            <w:tcBorders>
              <w:right w:val="single" w:sz="8" w:color="7F7F7F"/>
            </w:tcBorders>
            <w:vMerge w:val="continue"/>
            <w:shd w:val="clear" w:color="auto" w:fill="EAEAEA"/>
          </w:tcPr>
          <w:p>
            <w:pPr>
              <w:spacing w:after="0"/>
              <w:rPr>
                <w:sz w:val="12"/>
                <w:szCs w:val="12"/>
                <w:color w:val="auto"/>
              </w:rPr>
            </w:pPr>
          </w:p>
        </w:tc>
        <w:tc>
          <w:tcPr>
            <w:tcW w:w="1600" w:type="dxa"/>
            <w:vAlign w:val="bottom"/>
            <w:tcBorders>
              <w:right w:val="single" w:sz="8" w:color="7F7F7F"/>
            </w:tcBorders>
            <w:vMerge w:val="continue"/>
            <w:shd w:val="clear" w:color="auto" w:fill="EAEAEA"/>
          </w:tcPr>
          <w:p>
            <w:pPr>
              <w:spacing w:after="0"/>
              <w:rPr>
                <w:sz w:val="12"/>
                <w:szCs w:val="12"/>
                <w:color w:val="auto"/>
              </w:rPr>
            </w:pPr>
          </w:p>
        </w:tc>
        <w:tc>
          <w:tcPr>
            <w:tcW w:w="1580" w:type="dxa"/>
            <w:vAlign w:val="bottom"/>
            <w:tcBorders>
              <w:right w:val="single" w:sz="8" w:color="7F7F7F"/>
            </w:tcBorders>
            <w:vMerge w:val="continue"/>
            <w:shd w:val="clear" w:color="auto" w:fill="EAEAEA"/>
          </w:tcPr>
          <w:p>
            <w:pPr>
              <w:spacing w:after="0"/>
              <w:rPr>
                <w:sz w:val="12"/>
                <w:szCs w:val="12"/>
                <w:color w:val="auto"/>
              </w:rPr>
            </w:pPr>
          </w:p>
        </w:tc>
        <w:tc>
          <w:tcPr>
            <w:tcW w:w="1600" w:type="dxa"/>
            <w:vAlign w:val="bottom"/>
            <w:tcBorders>
              <w:right w:val="single" w:sz="8" w:color="7F7F7F"/>
            </w:tcBorders>
            <w:vMerge w:val="continue"/>
            <w:shd w:val="clear" w:color="auto" w:fill="EAEAEA"/>
          </w:tcPr>
          <w:p>
            <w:pPr>
              <w:spacing w:after="0"/>
              <w:rPr>
                <w:sz w:val="12"/>
                <w:szCs w:val="12"/>
                <w:color w:val="auto"/>
              </w:rPr>
            </w:pPr>
          </w:p>
        </w:tc>
        <w:tc>
          <w:tcPr>
            <w:tcW w:w="176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rPr>
              <w:t>approximate two-</w:t>
            </w:r>
          </w:p>
        </w:tc>
        <w:tc>
          <w:tcPr>
            <w:tcW w:w="0" w:type="dxa"/>
            <w:vAlign w:val="bottom"/>
          </w:tcPr>
          <w:p>
            <w:pPr>
              <w:spacing w:after="0"/>
              <w:rPr>
                <w:sz w:val="1"/>
                <w:szCs w:val="1"/>
                <w:color w:val="auto"/>
              </w:rPr>
            </w:pPr>
          </w:p>
        </w:tc>
      </w:tr>
      <w:tr>
        <w:trPr>
          <w:trHeight w:val="42"/>
        </w:trPr>
        <w:tc>
          <w:tcPr>
            <w:tcW w:w="1700" w:type="dxa"/>
            <w:vAlign w:val="bottom"/>
            <w:tcBorders>
              <w:left w:val="single" w:sz="8" w:color="7F7F7F"/>
              <w:right w:val="single" w:sz="8" w:color="7F7F7F"/>
            </w:tcBorders>
            <w:vMerge w:val="continue"/>
            <w:shd w:val="clear" w:color="auto" w:fill="EAEAEA"/>
          </w:tcPr>
          <w:p>
            <w:pPr>
              <w:spacing w:after="0"/>
              <w:rPr>
                <w:sz w:val="3"/>
                <w:szCs w:val="3"/>
                <w:color w:val="auto"/>
              </w:rPr>
            </w:pPr>
          </w:p>
        </w:tc>
        <w:tc>
          <w:tcPr>
            <w:tcW w:w="1680" w:type="dxa"/>
            <w:vAlign w:val="bottom"/>
            <w:tcBorders>
              <w:right w:val="single" w:sz="8" w:color="7F7F7F"/>
            </w:tcBorders>
            <w:shd w:val="clear" w:color="auto" w:fill="EAEAEA"/>
          </w:tcPr>
          <w:p>
            <w:pPr>
              <w:spacing w:after="0"/>
              <w:rPr>
                <w:sz w:val="3"/>
                <w:szCs w:val="3"/>
                <w:color w:val="auto"/>
              </w:rPr>
            </w:pPr>
          </w:p>
        </w:tc>
        <w:tc>
          <w:tcPr>
            <w:tcW w:w="1600" w:type="dxa"/>
            <w:vAlign w:val="bottom"/>
            <w:tcBorders>
              <w:right w:val="single" w:sz="8" w:color="7F7F7F"/>
            </w:tcBorders>
            <w:shd w:val="clear" w:color="auto" w:fill="EAEAEA"/>
          </w:tcPr>
          <w:p>
            <w:pPr>
              <w:spacing w:after="0"/>
              <w:rPr>
                <w:sz w:val="3"/>
                <w:szCs w:val="3"/>
                <w:color w:val="auto"/>
              </w:rPr>
            </w:pPr>
          </w:p>
        </w:tc>
        <w:tc>
          <w:tcPr>
            <w:tcW w:w="1580" w:type="dxa"/>
            <w:vAlign w:val="bottom"/>
            <w:tcBorders>
              <w:right w:val="single" w:sz="8" w:color="7F7F7F"/>
            </w:tcBorders>
            <w:shd w:val="clear" w:color="auto" w:fill="EAEAEA"/>
          </w:tcPr>
          <w:p>
            <w:pPr>
              <w:spacing w:after="0"/>
              <w:rPr>
                <w:sz w:val="3"/>
                <w:szCs w:val="3"/>
                <w:color w:val="auto"/>
              </w:rPr>
            </w:pPr>
          </w:p>
        </w:tc>
        <w:tc>
          <w:tcPr>
            <w:tcW w:w="1600" w:type="dxa"/>
            <w:vAlign w:val="bottom"/>
            <w:tcBorders>
              <w:right w:val="single" w:sz="8" w:color="7F7F7F"/>
            </w:tcBorders>
            <w:shd w:val="clear" w:color="auto" w:fill="EAEAEA"/>
          </w:tcPr>
          <w:p>
            <w:pPr>
              <w:spacing w:after="0"/>
              <w:rPr>
                <w:sz w:val="3"/>
                <w:szCs w:val="3"/>
                <w:color w:val="auto"/>
              </w:rPr>
            </w:pPr>
          </w:p>
        </w:tc>
        <w:tc>
          <w:tcPr>
            <w:tcW w:w="1760" w:type="dxa"/>
            <w:vAlign w:val="bottom"/>
            <w:vMerge w:val="continue"/>
            <w:shd w:val="clear" w:color="auto" w:fill="EAEAEA"/>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700" w:type="dxa"/>
            <w:vAlign w:val="bottom"/>
            <w:tcBorders>
              <w:left w:val="single" w:sz="8" w:color="7F7F7F"/>
              <w:right w:val="single" w:sz="8" w:color="7F7F7F"/>
            </w:tcBorders>
            <w:vMerge w:val="continue"/>
            <w:shd w:val="clear" w:color="auto" w:fill="EAEAEA"/>
          </w:tcPr>
          <w:p>
            <w:pPr>
              <w:spacing w:after="0"/>
              <w:rPr>
                <w:sz w:val="7"/>
                <w:szCs w:val="7"/>
                <w:color w:val="auto"/>
              </w:rPr>
            </w:pPr>
          </w:p>
        </w:tc>
        <w:tc>
          <w:tcPr>
            <w:tcW w:w="1680" w:type="dxa"/>
            <w:vAlign w:val="bottom"/>
            <w:tcBorders>
              <w:right w:val="single" w:sz="8" w:color="7F7F7F"/>
            </w:tcBorders>
            <w:shd w:val="clear" w:color="auto" w:fill="EAEAEA"/>
          </w:tcPr>
          <w:p>
            <w:pPr>
              <w:spacing w:after="0"/>
              <w:rPr>
                <w:sz w:val="7"/>
                <w:szCs w:val="7"/>
                <w:color w:val="auto"/>
              </w:rPr>
            </w:pPr>
          </w:p>
        </w:tc>
        <w:tc>
          <w:tcPr>
            <w:tcW w:w="1600" w:type="dxa"/>
            <w:vAlign w:val="bottom"/>
            <w:tcBorders>
              <w:right w:val="single" w:sz="8" w:color="7F7F7F"/>
            </w:tcBorders>
            <w:shd w:val="clear" w:color="auto" w:fill="EAEAEA"/>
          </w:tcPr>
          <w:p>
            <w:pPr>
              <w:spacing w:after="0"/>
              <w:rPr>
                <w:sz w:val="7"/>
                <w:szCs w:val="7"/>
                <w:color w:val="auto"/>
              </w:rPr>
            </w:pPr>
          </w:p>
        </w:tc>
        <w:tc>
          <w:tcPr>
            <w:tcW w:w="1580" w:type="dxa"/>
            <w:vAlign w:val="bottom"/>
            <w:tcBorders>
              <w:right w:val="single" w:sz="8" w:color="7F7F7F"/>
            </w:tcBorders>
            <w:shd w:val="clear" w:color="auto" w:fill="EAEAEA"/>
          </w:tcPr>
          <w:p>
            <w:pPr>
              <w:spacing w:after="0"/>
              <w:rPr>
                <w:sz w:val="7"/>
                <w:szCs w:val="7"/>
                <w:color w:val="auto"/>
              </w:rPr>
            </w:pPr>
          </w:p>
        </w:tc>
        <w:tc>
          <w:tcPr>
            <w:tcW w:w="1600" w:type="dxa"/>
            <w:vAlign w:val="bottom"/>
            <w:tcBorders>
              <w:right w:val="single" w:sz="8" w:color="7F7F7F"/>
            </w:tcBorders>
            <w:shd w:val="clear" w:color="auto" w:fill="EAEAEA"/>
          </w:tcPr>
          <w:p>
            <w:pPr>
              <w:spacing w:after="0"/>
              <w:rPr>
                <w:sz w:val="7"/>
                <w:szCs w:val="7"/>
                <w:color w:val="auto"/>
              </w:rPr>
            </w:pPr>
          </w:p>
        </w:tc>
        <w:tc>
          <w:tcPr>
            <w:tcW w:w="176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rPr>
              <w:t>year period ending</w:t>
            </w:r>
          </w:p>
        </w:tc>
        <w:tc>
          <w:tcPr>
            <w:tcW w:w="0" w:type="dxa"/>
            <w:vAlign w:val="bottom"/>
          </w:tcPr>
          <w:p>
            <w:pPr>
              <w:spacing w:after="0"/>
              <w:rPr>
                <w:sz w:val="1"/>
                <w:szCs w:val="1"/>
                <w:color w:val="auto"/>
              </w:rPr>
            </w:pPr>
          </w:p>
        </w:tc>
      </w:tr>
      <w:tr>
        <w:trPr>
          <w:trHeight w:val="101"/>
        </w:trPr>
        <w:tc>
          <w:tcPr>
            <w:tcW w:w="1700" w:type="dxa"/>
            <w:vAlign w:val="bottom"/>
            <w:tcBorders>
              <w:left w:val="single" w:sz="8" w:color="7F7F7F"/>
              <w:right w:val="single" w:sz="8" w:color="7F7F7F"/>
            </w:tcBorders>
            <w:vMerge w:val="restart"/>
            <w:shd w:val="clear" w:color="auto" w:fill="EAEAEA"/>
          </w:tcPr>
          <w:p>
            <w:pPr>
              <w:jc w:val="center"/>
              <w:ind w:left="62"/>
              <w:spacing w:after="0"/>
              <w:rPr>
                <w:sz w:val="20"/>
                <w:szCs w:val="20"/>
                <w:color w:val="auto"/>
              </w:rPr>
            </w:pPr>
            <w:r>
              <w:rPr>
                <w:rFonts w:ascii="Arial" w:cs="Arial" w:eastAsia="Arial" w:hAnsi="Arial"/>
                <w:sz w:val="16"/>
                <w:szCs w:val="16"/>
                <w:b w:val="1"/>
                <w:bCs w:val="1"/>
                <w:color w:val="auto"/>
                <w:w w:val="99"/>
              </w:rPr>
              <w:t>Grant)</w:t>
            </w:r>
          </w:p>
        </w:tc>
        <w:tc>
          <w:tcPr>
            <w:tcW w:w="1680" w:type="dxa"/>
            <w:vAlign w:val="bottom"/>
            <w:tcBorders>
              <w:right w:val="single" w:sz="8" w:color="7F7F7F"/>
            </w:tcBorders>
            <w:shd w:val="clear" w:color="auto" w:fill="EAEAEA"/>
          </w:tcPr>
          <w:p>
            <w:pPr>
              <w:spacing w:after="0"/>
              <w:rPr>
                <w:sz w:val="8"/>
                <w:szCs w:val="8"/>
                <w:color w:val="auto"/>
              </w:rPr>
            </w:pPr>
          </w:p>
        </w:tc>
        <w:tc>
          <w:tcPr>
            <w:tcW w:w="1600" w:type="dxa"/>
            <w:vAlign w:val="bottom"/>
            <w:tcBorders>
              <w:right w:val="single" w:sz="8" w:color="7F7F7F"/>
            </w:tcBorders>
            <w:shd w:val="clear" w:color="auto" w:fill="EAEAEA"/>
          </w:tcPr>
          <w:p>
            <w:pPr>
              <w:spacing w:after="0"/>
              <w:rPr>
                <w:sz w:val="8"/>
                <w:szCs w:val="8"/>
                <w:color w:val="auto"/>
              </w:rPr>
            </w:pPr>
          </w:p>
        </w:tc>
        <w:tc>
          <w:tcPr>
            <w:tcW w:w="1580" w:type="dxa"/>
            <w:vAlign w:val="bottom"/>
            <w:tcBorders>
              <w:right w:val="single" w:sz="8" w:color="7F7F7F"/>
            </w:tcBorders>
            <w:shd w:val="clear" w:color="auto" w:fill="EAEAEA"/>
          </w:tcPr>
          <w:p>
            <w:pPr>
              <w:spacing w:after="0"/>
              <w:rPr>
                <w:sz w:val="8"/>
                <w:szCs w:val="8"/>
                <w:color w:val="auto"/>
              </w:rPr>
            </w:pPr>
          </w:p>
        </w:tc>
        <w:tc>
          <w:tcPr>
            <w:tcW w:w="1600" w:type="dxa"/>
            <w:vAlign w:val="bottom"/>
            <w:tcBorders>
              <w:right w:val="single" w:sz="8" w:color="7F7F7F"/>
            </w:tcBorders>
            <w:shd w:val="clear" w:color="auto" w:fill="EAEAEA"/>
          </w:tcPr>
          <w:p>
            <w:pPr>
              <w:spacing w:after="0"/>
              <w:rPr>
                <w:sz w:val="8"/>
                <w:szCs w:val="8"/>
                <w:color w:val="auto"/>
              </w:rPr>
            </w:pPr>
          </w:p>
        </w:tc>
        <w:tc>
          <w:tcPr>
            <w:tcW w:w="1760" w:type="dxa"/>
            <w:vAlign w:val="bottom"/>
            <w:vMerge w:val="continue"/>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tcBorders>
              <w:left w:val="single" w:sz="8" w:color="7F7F7F"/>
              <w:right w:val="single" w:sz="8" w:color="7F7F7F"/>
            </w:tcBorders>
            <w:vMerge w:val="continue"/>
            <w:shd w:val="clear" w:color="auto" w:fill="EAEAEA"/>
          </w:tcPr>
          <w:p>
            <w:pPr>
              <w:spacing w:after="0"/>
              <w:rPr>
                <w:sz w:val="9"/>
                <w:szCs w:val="9"/>
                <w:color w:val="auto"/>
              </w:rPr>
            </w:pPr>
          </w:p>
        </w:tc>
        <w:tc>
          <w:tcPr>
            <w:tcW w:w="1680" w:type="dxa"/>
            <w:vAlign w:val="bottom"/>
            <w:tcBorders>
              <w:right w:val="single" w:sz="8" w:color="7F7F7F"/>
            </w:tcBorders>
            <w:shd w:val="clear" w:color="auto" w:fill="EAEAEA"/>
          </w:tcPr>
          <w:p>
            <w:pPr>
              <w:spacing w:after="0"/>
              <w:rPr>
                <w:sz w:val="9"/>
                <w:szCs w:val="9"/>
                <w:color w:val="auto"/>
              </w:rPr>
            </w:pPr>
          </w:p>
        </w:tc>
        <w:tc>
          <w:tcPr>
            <w:tcW w:w="1600" w:type="dxa"/>
            <w:vAlign w:val="bottom"/>
            <w:tcBorders>
              <w:right w:val="single" w:sz="8" w:color="7F7F7F"/>
            </w:tcBorders>
            <w:shd w:val="clear" w:color="auto" w:fill="EAEAEA"/>
          </w:tcPr>
          <w:p>
            <w:pPr>
              <w:spacing w:after="0"/>
              <w:rPr>
                <w:sz w:val="9"/>
                <w:szCs w:val="9"/>
                <w:color w:val="auto"/>
              </w:rPr>
            </w:pPr>
          </w:p>
        </w:tc>
        <w:tc>
          <w:tcPr>
            <w:tcW w:w="1580" w:type="dxa"/>
            <w:vAlign w:val="bottom"/>
            <w:tcBorders>
              <w:right w:val="single" w:sz="8" w:color="7F7F7F"/>
            </w:tcBorders>
            <w:shd w:val="clear" w:color="auto" w:fill="EAEAEA"/>
          </w:tcPr>
          <w:p>
            <w:pPr>
              <w:spacing w:after="0"/>
              <w:rPr>
                <w:sz w:val="9"/>
                <w:szCs w:val="9"/>
                <w:color w:val="auto"/>
              </w:rPr>
            </w:pPr>
          </w:p>
        </w:tc>
        <w:tc>
          <w:tcPr>
            <w:tcW w:w="1600" w:type="dxa"/>
            <w:vAlign w:val="bottom"/>
            <w:tcBorders>
              <w:right w:val="single" w:sz="8" w:color="7F7F7F"/>
            </w:tcBorders>
            <w:shd w:val="clear" w:color="auto" w:fill="EAEAEA"/>
          </w:tcPr>
          <w:p>
            <w:pPr>
              <w:spacing w:after="0"/>
              <w:rPr>
                <w:sz w:val="9"/>
                <w:szCs w:val="9"/>
                <w:color w:val="auto"/>
              </w:rPr>
            </w:pPr>
          </w:p>
        </w:tc>
        <w:tc>
          <w:tcPr>
            <w:tcW w:w="176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rPr>
              <w:t>March 31, 2021</w:t>
            </w:r>
          </w:p>
        </w:tc>
        <w:tc>
          <w:tcPr>
            <w:tcW w:w="0" w:type="dxa"/>
            <w:vAlign w:val="bottom"/>
          </w:tcPr>
          <w:p>
            <w:pPr>
              <w:spacing w:after="0"/>
              <w:rPr>
                <w:sz w:val="1"/>
                <w:szCs w:val="1"/>
                <w:color w:val="auto"/>
              </w:rPr>
            </w:pPr>
          </w:p>
        </w:tc>
      </w:tr>
      <w:tr>
        <w:trPr>
          <w:trHeight w:val="84"/>
        </w:trPr>
        <w:tc>
          <w:tcPr>
            <w:tcW w:w="1700" w:type="dxa"/>
            <w:vAlign w:val="bottom"/>
            <w:tcBorders>
              <w:left w:val="single" w:sz="8" w:color="7F7F7F"/>
              <w:bottom w:val="single" w:sz="8" w:color="7F7F7F"/>
              <w:right w:val="single" w:sz="8" w:color="7F7F7F"/>
            </w:tcBorders>
            <w:shd w:val="clear" w:color="auto" w:fill="EAEAEA"/>
          </w:tcPr>
          <w:p>
            <w:pPr>
              <w:spacing w:after="0"/>
              <w:rPr>
                <w:sz w:val="7"/>
                <w:szCs w:val="7"/>
                <w:color w:val="auto"/>
              </w:rPr>
            </w:pPr>
          </w:p>
        </w:tc>
        <w:tc>
          <w:tcPr>
            <w:tcW w:w="1680" w:type="dxa"/>
            <w:vAlign w:val="bottom"/>
            <w:tcBorders>
              <w:bottom w:val="single" w:sz="8" w:color="7F7F7F"/>
              <w:right w:val="single" w:sz="8" w:color="7F7F7F"/>
            </w:tcBorders>
            <w:shd w:val="clear" w:color="auto" w:fill="EAEAEA"/>
          </w:tcPr>
          <w:p>
            <w:pPr>
              <w:spacing w:after="0"/>
              <w:rPr>
                <w:sz w:val="7"/>
                <w:szCs w:val="7"/>
                <w:color w:val="auto"/>
              </w:rPr>
            </w:pPr>
          </w:p>
        </w:tc>
        <w:tc>
          <w:tcPr>
            <w:tcW w:w="1600" w:type="dxa"/>
            <w:vAlign w:val="bottom"/>
            <w:tcBorders>
              <w:bottom w:val="single" w:sz="8" w:color="7F7F7F"/>
              <w:right w:val="single" w:sz="8" w:color="7F7F7F"/>
            </w:tcBorders>
            <w:shd w:val="clear" w:color="auto" w:fill="EAEAEA"/>
          </w:tcPr>
          <w:p>
            <w:pPr>
              <w:spacing w:after="0"/>
              <w:rPr>
                <w:sz w:val="7"/>
                <w:szCs w:val="7"/>
                <w:color w:val="auto"/>
              </w:rPr>
            </w:pPr>
          </w:p>
        </w:tc>
        <w:tc>
          <w:tcPr>
            <w:tcW w:w="1580" w:type="dxa"/>
            <w:vAlign w:val="bottom"/>
            <w:tcBorders>
              <w:bottom w:val="single" w:sz="8" w:color="7F7F7F"/>
              <w:right w:val="single" w:sz="8" w:color="7F7F7F"/>
            </w:tcBorders>
            <w:shd w:val="clear" w:color="auto" w:fill="EAEAEA"/>
          </w:tcPr>
          <w:p>
            <w:pPr>
              <w:spacing w:after="0"/>
              <w:rPr>
                <w:sz w:val="7"/>
                <w:szCs w:val="7"/>
                <w:color w:val="auto"/>
              </w:rPr>
            </w:pPr>
          </w:p>
        </w:tc>
        <w:tc>
          <w:tcPr>
            <w:tcW w:w="1600" w:type="dxa"/>
            <w:vAlign w:val="bottom"/>
            <w:tcBorders>
              <w:bottom w:val="single" w:sz="8" w:color="7F7F7F"/>
              <w:right w:val="single" w:sz="8" w:color="7F7F7F"/>
            </w:tcBorders>
            <w:shd w:val="clear" w:color="auto" w:fill="EAEAEA"/>
          </w:tcPr>
          <w:p>
            <w:pPr>
              <w:spacing w:after="0"/>
              <w:rPr>
                <w:sz w:val="7"/>
                <w:szCs w:val="7"/>
                <w:color w:val="auto"/>
              </w:rPr>
            </w:pPr>
          </w:p>
        </w:tc>
        <w:tc>
          <w:tcPr>
            <w:tcW w:w="1760" w:type="dxa"/>
            <w:vAlign w:val="bottom"/>
            <w:tcBorders>
              <w:bottom w:val="single" w:sz="8" w:color="7F7F7F"/>
            </w:tcBorders>
            <w:vMerge w:val="continue"/>
            <w:shd w:val="clear" w:color="auto" w:fill="EAEAEA"/>
          </w:tcPr>
          <w:p>
            <w:pPr>
              <w:spacing w:after="0"/>
              <w:rPr>
                <w:sz w:val="7"/>
                <w:szCs w:val="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60" w:right="40"/>
        <w:spacing w:after="0" w:line="251" w:lineRule="auto"/>
        <w:rPr>
          <w:sz w:val="20"/>
          <w:szCs w:val="20"/>
          <w:color w:val="auto"/>
        </w:rPr>
      </w:pPr>
      <w:r>
        <w:rPr>
          <w:rFonts w:ascii="Arial" w:cs="Arial" w:eastAsia="Arial" w:hAnsi="Arial"/>
          <w:sz w:val="16"/>
          <w:szCs w:val="16"/>
          <w:color w:val="auto"/>
        </w:rPr>
        <w:t>For a description of the results and payout levels for performance-based RSUs previously granted to ZelnickMedia and the NEOs that vested, or failed to vest, in fiscal 2020, see “Detailed Discussion and Analysis—Principal Elements of Executive Compensation—Long Term Equity Incentives—NEO Long-Term Incentive Awards Vested in Fiscal 2020” and “Certain Relationships and Related Transactions— Management Agreement—Awards under the 2014 Management Agreement.”</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Highlights of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jc w:val="both"/>
        <w:ind w:left="660" w:right="160"/>
        <w:spacing w:after="0" w:line="253" w:lineRule="auto"/>
        <w:rPr>
          <w:sz w:val="20"/>
          <w:szCs w:val="20"/>
          <w:color w:val="auto"/>
        </w:rPr>
      </w:pPr>
      <w:r>
        <w:rPr>
          <w:rFonts w:ascii="Arial" w:cs="Arial" w:eastAsia="Arial" w:hAnsi="Arial"/>
          <w:sz w:val="16"/>
          <w:szCs w:val="16"/>
          <w:color w:val="auto"/>
        </w:rPr>
        <w:t>Take-Two maintains strong compensation governance practices that support our pay-for-performance principles and align management incentives with the interests of our shareholders. We have adopted a number of “best practices” with respect to executive compensation,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143510</wp:posOffset>
            </wp:positionV>
            <wp:extent cx="6292215" cy="1791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9133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1000" w:right="160" w:hanging="171"/>
        <w:spacing w:after="0" w:line="260" w:lineRule="auto"/>
        <w:tabs>
          <w:tab w:leader="none" w:pos="1000" w:val="left"/>
        </w:tabs>
        <w:numPr>
          <w:ilvl w:val="0"/>
          <w:numId w:val="42"/>
        </w:numPr>
        <w:rPr>
          <w:rFonts w:ascii="MS PGothic" w:cs="MS PGothic" w:eastAsia="MS PGothic" w:hAnsi="MS PGothic"/>
          <w:sz w:val="16"/>
          <w:szCs w:val="16"/>
          <w:color w:val="auto"/>
        </w:rPr>
      </w:pPr>
      <w:r>
        <w:rPr>
          <w:rFonts w:ascii="Arial" w:cs="Arial" w:eastAsia="Arial" w:hAnsi="Arial"/>
          <w:sz w:val="16"/>
          <w:szCs w:val="16"/>
          <w:color w:val="auto"/>
        </w:rPr>
        <w:t>Clawback policy applicable to NEOs, including those under the 2017 Management Agreement with ZelnickMedia</w:t>
      </w:r>
    </w:p>
    <w:p>
      <w:pPr>
        <w:spacing w:after="0" w:line="60" w:lineRule="exact"/>
        <w:rPr>
          <w:rFonts w:ascii="MS PGothic" w:cs="MS PGothic" w:eastAsia="MS PGothic" w:hAnsi="MS PGothic"/>
          <w:sz w:val="16"/>
          <w:szCs w:val="16"/>
          <w:color w:val="auto"/>
        </w:rPr>
      </w:pPr>
    </w:p>
    <w:p>
      <w:pPr>
        <w:ind w:left="1000" w:hanging="171"/>
        <w:spacing w:after="0"/>
        <w:tabs>
          <w:tab w:leader="none" w:pos="1000" w:val="left"/>
        </w:tabs>
        <w:numPr>
          <w:ilvl w:val="0"/>
          <w:numId w:val="42"/>
        </w:numPr>
        <w:rPr>
          <w:rFonts w:ascii="MS PGothic" w:cs="MS PGothic" w:eastAsia="MS PGothic" w:hAnsi="MS PGothic"/>
          <w:sz w:val="16"/>
          <w:szCs w:val="16"/>
          <w:color w:val="auto"/>
        </w:rPr>
      </w:pPr>
      <w:r>
        <w:rPr>
          <w:rFonts w:ascii="Arial" w:cs="Arial" w:eastAsia="Arial" w:hAnsi="Arial"/>
          <w:sz w:val="16"/>
          <w:szCs w:val="16"/>
          <w:color w:val="auto"/>
        </w:rPr>
        <w:t>Incentive caps on annual bonuses to NEOs</w:t>
      </w:r>
    </w:p>
    <w:p>
      <w:pPr>
        <w:spacing w:after="0" w:line="99" w:lineRule="exact"/>
        <w:rPr>
          <w:rFonts w:ascii="MS PGothic" w:cs="MS PGothic" w:eastAsia="MS PGothic" w:hAnsi="MS PGothic"/>
          <w:sz w:val="16"/>
          <w:szCs w:val="16"/>
          <w:color w:val="auto"/>
        </w:rPr>
      </w:pPr>
    </w:p>
    <w:p>
      <w:pPr>
        <w:ind w:left="1000" w:hanging="171"/>
        <w:spacing w:after="0"/>
        <w:tabs>
          <w:tab w:leader="none" w:pos="1000" w:val="left"/>
        </w:tabs>
        <w:numPr>
          <w:ilvl w:val="0"/>
          <w:numId w:val="42"/>
        </w:numPr>
        <w:rPr>
          <w:rFonts w:ascii="MS PGothic" w:cs="MS PGothic" w:eastAsia="MS PGothic" w:hAnsi="MS PGothic"/>
          <w:sz w:val="16"/>
          <w:szCs w:val="16"/>
          <w:color w:val="auto"/>
        </w:rPr>
      </w:pPr>
      <w:r>
        <w:rPr>
          <w:rFonts w:ascii="Arial" w:cs="Arial" w:eastAsia="Arial" w:hAnsi="Arial"/>
          <w:sz w:val="16"/>
          <w:szCs w:val="16"/>
          <w:color w:val="auto"/>
        </w:rPr>
        <w:t>Strong anti-hedging and anti-pledging policies</w:t>
      </w:r>
    </w:p>
    <w:p>
      <w:pPr>
        <w:spacing w:after="0" w:line="99" w:lineRule="exact"/>
        <w:rPr>
          <w:rFonts w:ascii="MS PGothic" w:cs="MS PGothic" w:eastAsia="MS PGothic" w:hAnsi="MS PGothic"/>
          <w:sz w:val="16"/>
          <w:szCs w:val="16"/>
          <w:color w:val="auto"/>
        </w:rPr>
      </w:pPr>
    </w:p>
    <w:p>
      <w:pPr>
        <w:ind w:left="1000" w:hanging="171"/>
        <w:spacing w:after="0"/>
        <w:tabs>
          <w:tab w:leader="none" w:pos="1000" w:val="left"/>
        </w:tabs>
        <w:numPr>
          <w:ilvl w:val="0"/>
          <w:numId w:val="42"/>
        </w:numPr>
        <w:rPr>
          <w:rFonts w:ascii="MS PGothic" w:cs="MS PGothic" w:eastAsia="MS PGothic" w:hAnsi="MS PGothic"/>
          <w:sz w:val="16"/>
          <w:szCs w:val="16"/>
          <w:color w:val="auto"/>
        </w:rPr>
      </w:pPr>
      <w:r>
        <w:rPr>
          <w:rFonts w:ascii="Arial" w:cs="Arial" w:eastAsia="Arial" w:hAnsi="Arial"/>
          <w:sz w:val="16"/>
          <w:szCs w:val="16"/>
          <w:color w:val="auto"/>
        </w:rPr>
        <w:t>Double-trigger acceleration of vesting on a change in control</w:t>
      </w:r>
    </w:p>
    <w:p>
      <w:pPr>
        <w:spacing w:after="0" w:line="99" w:lineRule="exact"/>
        <w:rPr>
          <w:rFonts w:ascii="MS PGothic" w:cs="MS PGothic" w:eastAsia="MS PGothic" w:hAnsi="MS PGothic"/>
          <w:sz w:val="16"/>
          <w:szCs w:val="16"/>
          <w:color w:val="auto"/>
        </w:rPr>
      </w:pPr>
    </w:p>
    <w:p>
      <w:pPr>
        <w:ind w:left="1000" w:hanging="171"/>
        <w:spacing w:after="0" w:line="251" w:lineRule="auto"/>
        <w:tabs>
          <w:tab w:leader="none" w:pos="1000" w:val="left"/>
        </w:tabs>
        <w:numPr>
          <w:ilvl w:val="0"/>
          <w:numId w:val="42"/>
        </w:numPr>
        <w:rPr>
          <w:rFonts w:ascii="MS PGothic" w:cs="MS PGothic" w:eastAsia="MS PGothic" w:hAnsi="MS PGothic"/>
          <w:sz w:val="16"/>
          <w:szCs w:val="16"/>
          <w:color w:val="auto"/>
        </w:rPr>
      </w:pPr>
      <w:r>
        <w:rPr>
          <w:rFonts w:ascii="Arial" w:cs="Arial" w:eastAsia="Arial" w:hAnsi="Arial"/>
          <w:sz w:val="16"/>
          <w:szCs w:val="16"/>
          <w:color w:val="auto"/>
        </w:rPr>
        <w:t>Meaningful stock ownership requirements (6x per annum management fee (excluding any bonuses) for CEO/Chairman and President; 3x annual base salary for other NEOs; and 5x annual cash retainer for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155" w:right="480" w:hanging="155"/>
        <w:spacing w:after="0" w:line="290" w:lineRule="auto"/>
        <w:tabs>
          <w:tab w:leader="none" w:pos="155" w:val="left"/>
        </w:tabs>
        <w:numPr>
          <w:ilvl w:val="0"/>
          <w:numId w:val="43"/>
        </w:numPr>
        <w:rPr>
          <w:rFonts w:ascii="MS PGothic" w:cs="MS PGothic" w:eastAsia="MS PGothic" w:hAnsi="MS PGothic"/>
          <w:sz w:val="15"/>
          <w:szCs w:val="15"/>
          <w:color w:val="auto"/>
        </w:rPr>
      </w:pPr>
      <w:r>
        <w:rPr>
          <w:rFonts w:ascii="Arial" w:cs="Arial" w:eastAsia="Arial" w:hAnsi="Arial"/>
          <w:sz w:val="15"/>
          <w:szCs w:val="15"/>
          <w:color w:val="auto"/>
        </w:rPr>
        <w:t>Equity incentive plan provisions that prohibit re-pricing of stock options without shareholder approval</w:t>
      </w:r>
    </w:p>
    <w:p>
      <w:pPr>
        <w:spacing w:after="0" w:line="42" w:lineRule="exact"/>
        <w:rPr>
          <w:rFonts w:ascii="MS PGothic" w:cs="MS PGothic" w:eastAsia="MS PGothic" w:hAnsi="MS PGothic"/>
          <w:sz w:val="15"/>
          <w:szCs w:val="15"/>
          <w:color w:val="auto"/>
        </w:rPr>
      </w:pPr>
    </w:p>
    <w:p>
      <w:pPr>
        <w:ind w:left="155" w:hanging="155"/>
        <w:spacing w:after="0"/>
        <w:tabs>
          <w:tab w:leader="none" w:pos="155" w:val="left"/>
        </w:tabs>
        <w:numPr>
          <w:ilvl w:val="0"/>
          <w:numId w:val="43"/>
        </w:numPr>
        <w:rPr>
          <w:rFonts w:ascii="MS PGothic" w:cs="MS PGothic" w:eastAsia="MS PGothic" w:hAnsi="MS PGothic"/>
          <w:sz w:val="15"/>
          <w:szCs w:val="15"/>
          <w:color w:val="auto"/>
        </w:rPr>
      </w:pPr>
      <w:r>
        <w:rPr>
          <w:rFonts w:ascii="Arial" w:cs="Arial" w:eastAsia="Arial" w:hAnsi="Arial"/>
          <w:sz w:val="15"/>
          <w:szCs w:val="15"/>
          <w:color w:val="auto"/>
        </w:rPr>
        <w:t>Limited perquisites</w:t>
      </w:r>
    </w:p>
    <w:p>
      <w:pPr>
        <w:spacing w:after="0" w:line="111" w:lineRule="exact"/>
        <w:rPr>
          <w:rFonts w:ascii="MS PGothic" w:cs="MS PGothic" w:eastAsia="MS PGothic" w:hAnsi="MS PGothic"/>
          <w:sz w:val="15"/>
          <w:szCs w:val="15"/>
          <w:color w:val="auto"/>
        </w:rPr>
      </w:pPr>
    </w:p>
    <w:p>
      <w:pPr>
        <w:ind w:left="155" w:right="160" w:hanging="155"/>
        <w:spacing w:after="0" w:line="290" w:lineRule="auto"/>
        <w:tabs>
          <w:tab w:leader="none" w:pos="155" w:val="left"/>
        </w:tabs>
        <w:numPr>
          <w:ilvl w:val="0"/>
          <w:numId w:val="43"/>
        </w:numPr>
        <w:rPr>
          <w:rFonts w:ascii="MS PGothic" w:cs="MS PGothic" w:eastAsia="MS PGothic" w:hAnsi="MS PGothic"/>
          <w:sz w:val="15"/>
          <w:szCs w:val="15"/>
          <w:color w:val="auto"/>
        </w:rPr>
      </w:pPr>
      <w:r>
        <w:rPr>
          <w:rFonts w:ascii="Arial" w:cs="Arial" w:eastAsia="Arial" w:hAnsi="Arial"/>
          <w:sz w:val="15"/>
          <w:szCs w:val="15"/>
          <w:color w:val="auto"/>
        </w:rPr>
        <w:t>No tax gross ups in respect of any excise taxes on parachute payments</w:t>
      </w:r>
    </w:p>
    <w:p>
      <w:pPr>
        <w:spacing w:after="0" w:line="42" w:lineRule="exact"/>
        <w:rPr>
          <w:rFonts w:ascii="MS PGothic" w:cs="MS PGothic" w:eastAsia="MS PGothic" w:hAnsi="MS PGothic"/>
          <w:sz w:val="15"/>
          <w:szCs w:val="15"/>
          <w:color w:val="auto"/>
        </w:rPr>
      </w:pPr>
    </w:p>
    <w:p>
      <w:pPr>
        <w:ind w:left="155" w:hanging="155"/>
        <w:spacing w:after="0"/>
        <w:tabs>
          <w:tab w:leader="none" w:pos="155" w:val="left"/>
        </w:tabs>
        <w:numPr>
          <w:ilvl w:val="0"/>
          <w:numId w:val="43"/>
        </w:numPr>
        <w:rPr>
          <w:rFonts w:ascii="MS PGothic" w:cs="MS PGothic" w:eastAsia="MS PGothic" w:hAnsi="MS PGothic"/>
          <w:sz w:val="15"/>
          <w:szCs w:val="15"/>
          <w:color w:val="auto"/>
        </w:rPr>
      </w:pPr>
      <w:r>
        <w:rPr>
          <w:rFonts w:ascii="Arial" w:cs="Arial" w:eastAsia="Arial" w:hAnsi="Arial"/>
          <w:sz w:val="15"/>
          <w:szCs w:val="15"/>
          <w:color w:val="auto"/>
        </w:rPr>
        <w:t>Annual compensation risk assessment for employee plans</w:t>
      </w:r>
    </w:p>
    <w:p>
      <w:pPr>
        <w:spacing w:after="0" w:line="111" w:lineRule="exact"/>
        <w:rPr>
          <w:rFonts w:ascii="MS PGothic" w:cs="MS PGothic" w:eastAsia="MS PGothic" w:hAnsi="MS PGothic"/>
          <w:sz w:val="15"/>
          <w:szCs w:val="15"/>
          <w:color w:val="auto"/>
        </w:rPr>
      </w:pPr>
    </w:p>
    <w:p>
      <w:pPr>
        <w:ind w:left="155" w:right="320" w:hanging="155"/>
        <w:spacing w:after="0" w:line="290" w:lineRule="auto"/>
        <w:tabs>
          <w:tab w:leader="none" w:pos="155" w:val="left"/>
        </w:tabs>
        <w:numPr>
          <w:ilvl w:val="0"/>
          <w:numId w:val="43"/>
        </w:numPr>
        <w:rPr>
          <w:rFonts w:ascii="MS PGothic" w:cs="MS PGothic" w:eastAsia="MS PGothic" w:hAnsi="MS PGothic"/>
          <w:sz w:val="15"/>
          <w:szCs w:val="15"/>
          <w:color w:val="auto"/>
        </w:rPr>
      </w:pPr>
      <w:r>
        <w:rPr>
          <w:rFonts w:ascii="Arial" w:cs="Arial" w:eastAsia="Arial" w:hAnsi="Arial"/>
          <w:sz w:val="15"/>
          <w:szCs w:val="15"/>
          <w:color w:val="auto"/>
        </w:rPr>
        <w:t>Retention of independent compensation consultants by the Compensation Committee</w:t>
      </w:r>
    </w:p>
    <w:p>
      <w:pPr>
        <w:spacing w:after="0" w:line="42" w:lineRule="exact"/>
        <w:rPr>
          <w:rFonts w:ascii="MS PGothic" w:cs="MS PGothic" w:eastAsia="MS PGothic" w:hAnsi="MS PGothic"/>
          <w:sz w:val="15"/>
          <w:szCs w:val="15"/>
          <w:color w:val="auto"/>
        </w:rPr>
      </w:pPr>
    </w:p>
    <w:p>
      <w:pPr>
        <w:ind w:left="155" w:right="240" w:hanging="155"/>
        <w:spacing w:after="0" w:line="293" w:lineRule="auto"/>
        <w:tabs>
          <w:tab w:leader="none" w:pos="155" w:val="left"/>
        </w:tabs>
        <w:numPr>
          <w:ilvl w:val="0"/>
          <w:numId w:val="43"/>
        </w:numPr>
        <w:rPr>
          <w:rFonts w:ascii="MS PGothic" w:cs="MS PGothic" w:eastAsia="MS PGothic" w:hAnsi="MS PGothic"/>
          <w:sz w:val="15"/>
          <w:szCs w:val="15"/>
          <w:color w:val="auto"/>
        </w:rPr>
      </w:pPr>
      <w:r>
        <w:rPr>
          <w:rFonts w:ascii="Arial" w:cs="Arial" w:eastAsia="Arial" w:hAnsi="Arial"/>
          <w:sz w:val="15"/>
          <w:szCs w:val="15"/>
          <w:color w:val="auto"/>
        </w:rPr>
        <w:t>Balanced compensation approach between short- and long-term incentive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425450</wp:posOffset>
            </wp:positionV>
            <wp:extent cx="291465" cy="274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505"/>
            <w:col w:w="4695"/>
          </w:cols>
          <w:pgMar w:left="320" w:top="459" w:right="999"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ind w:left="1140" w:hanging="471"/>
        <w:spacing w:after="0"/>
        <w:tabs>
          <w:tab w:leader="none" w:pos="1140" w:val="left"/>
        </w:tabs>
        <w:numPr>
          <w:ilvl w:val="0"/>
          <w:numId w:val="44"/>
        </w:numPr>
        <w:rPr>
          <w:rFonts w:ascii="Arial" w:cs="Arial" w:eastAsia="Arial" w:hAnsi="Arial"/>
          <w:sz w:val="16"/>
          <w:szCs w:val="16"/>
          <w:b w:val="1"/>
          <w:bCs w:val="1"/>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57475" cy="128905"/>
                    </a:xfrm>
                    <a:prstGeom prst="rect">
                      <a:avLst/>
                    </a:prstGeom>
                    <a:noFill/>
                  </pic:spPr>
                </pic:pic>
              </a:graphicData>
            </a:graphic>
          </wp:anchor>
        </w:drawing>
      </w:r>
    </w:p>
    <w:p>
      <w:pPr>
        <w:spacing w:after="0" w:line="318"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005CB9"/>
        </w:rPr>
        <w:t>DETAILED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34290</wp:posOffset>
            </wp:positionV>
            <wp:extent cx="62922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65" w:lineRule="exact"/>
        <w:rPr>
          <w:sz w:val="20"/>
          <w:szCs w:val="20"/>
          <w:color w:val="auto"/>
        </w:rPr>
      </w:pPr>
    </w:p>
    <w:p>
      <w:pPr>
        <w:ind w:left="660" w:right="20"/>
        <w:spacing w:after="0" w:line="253" w:lineRule="auto"/>
        <w:rPr>
          <w:sz w:val="20"/>
          <w:szCs w:val="20"/>
          <w:color w:val="auto"/>
        </w:rPr>
      </w:pPr>
      <w:r>
        <w:rPr>
          <w:rFonts w:ascii="Arial" w:cs="Arial" w:eastAsia="Arial" w:hAnsi="Arial"/>
          <w:sz w:val="16"/>
          <w:szCs w:val="16"/>
          <w:color w:val="auto"/>
        </w:rPr>
        <w:t>The main body of this Compensation Discussion and Analysis provides details on the principles and objectives of our executive compensation program and the Compensation Committee’s key fiscal 2020 compensation-related decisions. This section is organized into the following categories:</w:t>
      </w:r>
    </w:p>
    <w:p>
      <w:pPr>
        <w:spacing w:after="0" w:line="87" w:lineRule="exact"/>
        <w:rPr>
          <w:sz w:val="20"/>
          <w:szCs w:val="20"/>
          <w:color w:val="auto"/>
        </w:rPr>
      </w:pPr>
    </w:p>
    <w:p>
      <w:pPr>
        <w:ind w:left="1000" w:hanging="331"/>
        <w:spacing w:after="0"/>
        <w:tabs>
          <w:tab w:leader="none" w:pos="100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Objectives and Philosophy of Executive Compensation</w:t>
      </w:r>
    </w:p>
    <w:p>
      <w:pPr>
        <w:spacing w:after="0" w:line="127" w:lineRule="exact"/>
        <w:rPr>
          <w:sz w:val="20"/>
          <w:szCs w:val="20"/>
          <w:color w:val="auto"/>
        </w:rPr>
      </w:pPr>
    </w:p>
    <w:p>
      <w:pPr>
        <w:ind w:left="1000" w:hanging="331"/>
        <w:spacing w:after="0"/>
        <w:tabs>
          <w:tab w:leader="none" w:pos="100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to Executive Chairman and CEO and President</w:t>
      </w:r>
    </w:p>
    <w:p>
      <w:pPr>
        <w:spacing w:after="0" w:line="127"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6"/>
          <w:szCs w:val="16"/>
          <w:b w:val="1"/>
          <w:bCs w:val="1"/>
          <w:color w:val="auto"/>
        </w:rPr>
        <w:t>III.</w:t>
        <w:tab/>
        <w:t>Other NEO Compensation</w:t>
      </w:r>
    </w:p>
    <w:p>
      <w:pPr>
        <w:spacing w:after="0" w:line="127"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6"/>
          <w:szCs w:val="16"/>
          <w:b w:val="1"/>
          <w:bCs w:val="1"/>
          <w:color w:val="auto"/>
        </w:rPr>
        <w:t>IV.</w:t>
        <w:tab/>
        <w:t>Competitive Market Positioning</w:t>
      </w:r>
    </w:p>
    <w:p>
      <w:pPr>
        <w:spacing w:after="0" w:line="127" w:lineRule="exact"/>
        <w:rPr>
          <w:sz w:val="20"/>
          <w:szCs w:val="20"/>
          <w:color w:val="auto"/>
        </w:rPr>
      </w:pPr>
    </w:p>
    <w:p>
      <w:pPr>
        <w:ind w:left="660" w:right="5980" w:firstLine="9"/>
        <w:spacing w:after="0" w:line="425" w:lineRule="auto"/>
        <w:tabs>
          <w:tab w:leader="none" w:pos="981"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Elements of Executive Compensation VI. Operation of the Compensation Committee VII. Compensation Governance Practices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005CB9"/>
        </w:rPr>
        <w:t>I. Objectives and Philosophy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76835</wp:posOffset>
            </wp:positionV>
            <wp:extent cx="62922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24" w:lineRule="exact"/>
        <w:rPr>
          <w:sz w:val="20"/>
          <w:szCs w:val="20"/>
          <w:color w:val="auto"/>
        </w:rPr>
      </w:pPr>
    </w:p>
    <w:p>
      <w:pPr>
        <w:jc w:val="both"/>
        <w:ind w:left="660" w:right="260"/>
        <w:spacing w:after="0" w:line="251" w:lineRule="auto"/>
        <w:rPr>
          <w:sz w:val="20"/>
          <w:szCs w:val="20"/>
          <w:color w:val="auto"/>
        </w:rPr>
      </w:pPr>
      <w:r>
        <w:rPr>
          <w:rFonts w:ascii="Arial" w:cs="Arial" w:eastAsia="Arial" w:hAnsi="Arial"/>
          <w:sz w:val="16"/>
          <w:szCs w:val="16"/>
          <w:color w:val="auto"/>
        </w:rPr>
        <w:t>Our executive compensation program is designed to drive Take-Two’s mission of producing strong, sustainable financial results for its shareholders by pursuing a strategy of capitalizing on the widespread popularity of interactive entertainment. We focus on publishing a select number of high quality titles for which we can create sequels and build successful franchises. To achieve this, it is critical that we have the resources available to attract and retain executives who are committed to creativity, efficiency and innovation.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Accordingly, the Compensation Committee has established a compensation plan for our NEOs that is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156210</wp:posOffset>
            </wp:positionV>
            <wp:extent cx="6292215" cy="1148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14871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1000" w:right="640" w:hanging="171"/>
        <w:spacing w:after="0" w:line="260" w:lineRule="auto"/>
        <w:tabs>
          <w:tab w:leader="none" w:pos="1000" w:val="left"/>
        </w:tabs>
        <w:numPr>
          <w:ilvl w:val="0"/>
          <w:numId w:val="48"/>
        </w:numPr>
        <w:rPr>
          <w:rFonts w:ascii="MS PGothic" w:cs="MS PGothic" w:eastAsia="MS PGothic" w:hAnsi="MS PGothic"/>
          <w:sz w:val="16"/>
          <w:szCs w:val="16"/>
          <w:color w:val="auto"/>
        </w:rPr>
      </w:pPr>
      <w:r>
        <w:rPr>
          <w:rFonts w:ascii="Arial" w:cs="Arial" w:eastAsia="Arial" w:hAnsi="Arial"/>
          <w:sz w:val="16"/>
          <w:szCs w:val="16"/>
          <w:color w:val="auto"/>
        </w:rPr>
        <w:t>Enhance the profitability of the Company and drive shareholder value creation;</w:t>
      </w:r>
    </w:p>
    <w:p>
      <w:pPr>
        <w:spacing w:after="0" w:line="60" w:lineRule="exact"/>
        <w:rPr>
          <w:rFonts w:ascii="MS PGothic" w:cs="MS PGothic" w:eastAsia="MS PGothic" w:hAnsi="MS PGothic"/>
          <w:sz w:val="16"/>
          <w:szCs w:val="16"/>
          <w:color w:val="auto"/>
        </w:rPr>
      </w:pPr>
    </w:p>
    <w:p>
      <w:pPr>
        <w:ind w:left="1000" w:hanging="171"/>
        <w:spacing w:after="0" w:line="253" w:lineRule="auto"/>
        <w:tabs>
          <w:tab w:leader="none" w:pos="1000" w:val="left"/>
        </w:tabs>
        <w:numPr>
          <w:ilvl w:val="0"/>
          <w:numId w:val="48"/>
        </w:numPr>
        <w:rPr>
          <w:rFonts w:ascii="MS PGothic" w:cs="MS PGothic" w:eastAsia="MS PGothic" w:hAnsi="MS PGothic"/>
          <w:sz w:val="16"/>
          <w:szCs w:val="16"/>
          <w:color w:val="auto"/>
        </w:rPr>
      </w:pPr>
      <w:r>
        <w:rPr>
          <w:rFonts w:ascii="Arial" w:cs="Arial" w:eastAsia="Arial" w:hAnsi="Arial"/>
          <w:sz w:val="16"/>
          <w:szCs w:val="16"/>
          <w:color w:val="auto"/>
        </w:rPr>
        <w:t>Link a significant portion of compensation to the Company’s long-term financial and stock price performance, thereby creating long-term shareholder value;</w:t>
      </w:r>
    </w:p>
    <w:p>
      <w:pPr>
        <w:spacing w:after="0" w:line="66" w:lineRule="exact"/>
        <w:rPr>
          <w:rFonts w:ascii="MS PGothic" w:cs="MS PGothic" w:eastAsia="MS PGothic" w:hAnsi="MS PGothic"/>
          <w:sz w:val="16"/>
          <w:szCs w:val="16"/>
          <w:color w:val="auto"/>
        </w:rPr>
      </w:pPr>
    </w:p>
    <w:p>
      <w:pPr>
        <w:ind w:left="1000" w:hanging="171"/>
        <w:spacing w:after="0"/>
        <w:tabs>
          <w:tab w:leader="none" w:pos="1000" w:val="left"/>
        </w:tabs>
        <w:numPr>
          <w:ilvl w:val="0"/>
          <w:numId w:val="48"/>
        </w:numPr>
        <w:rPr>
          <w:rFonts w:ascii="MS PGothic" w:cs="MS PGothic" w:eastAsia="MS PGothic" w:hAnsi="MS PGothic"/>
          <w:sz w:val="16"/>
          <w:szCs w:val="16"/>
          <w:color w:val="auto"/>
        </w:rPr>
      </w:pPr>
      <w:r>
        <w:rPr>
          <w:rFonts w:ascii="Arial" w:cs="Arial" w:eastAsia="Arial" w:hAnsi="Arial"/>
          <w:sz w:val="16"/>
          <w:szCs w:val="16"/>
          <w:color w:val="auto"/>
        </w:rPr>
        <w:t>Attract, motivate, and retain highly qualified individuals;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both"/>
        <w:ind w:left="155" w:right="60" w:hanging="155"/>
        <w:spacing w:after="0" w:line="278" w:lineRule="auto"/>
        <w:tabs>
          <w:tab w:leader="none" w:pos="155" w:val="left"/>
        </w:tabs>
        <w:numPr>
          <w:ilvl w:val="0"/>
          <w:numId w:val="49"/>
        </w:numPr>
        <w:rPr>
          <w:rFonts w:ascii="MS PGothic" w:cs="MS PGothic" w:eastAsia="MS PGothic" w:hAnsi="MS PGothic"/>
          <w:sz w:val="15"/>
          <w:szCs w:val="15"/>
          <w:color w:val="auto"/>
        </w:rPr>
      </w:pPr>
      <w:r>
        <w:rPr>
          <w:rFonts w:ascii="Arial" w:cs="Arial" w:eastAsia="Arial" w:hAnsi="Arial"/>
          <w:sz w:val="15"/>
          <w:szCs w:val="15"/>
          <w:color w:val="auto"/>
        </w:rPr>
        <w:t>Reward each NEO’s contribution to the Company’s profitability and growth; individual initiative, leadership and achievements; and management of risks; and</w:t>
      </w:r>
    </w:p>
    <w:p>
      <w:pPr>
        <w:spacing w:after="0" w:line="48" w:lineRule="exact"/>
        <w:rPr>
          <w:rFonts w:ascii="MS PGothic" w:cs="MS PGothic" w:eastAsia="MS PGothic" w:hAnsi="MS PGothic"/>
          <w:sz w:val="15"/>
          <w:szCs w:val="15"/>
          <w:color w:val="auto"/>
        </w:rPr>
      </w:pPr>
    </w:p>
    <w:p>
      <w:pPr>
        <w:ind w:left="155" w:right="560" w:hanging="155"/>
        <w:spacing w:after="0" w:line="293" w:lineRule="auto"/>
        <w:tabs>
          <w:tab w:leader="none" w:pos="155" w:val="left"/>
        </w:tabs>
        <w:numPr>
          <w:ilvl w:val="0"/>
          <w:numId w:val="49"/>
        </w:numPr>
        <w:rPr>
          <w:rFonts w:ascii="MS PGothic" w:cs="MS PGothic" w:eastAsia="MS PGothic" w:hAnsi="MS PGothic"/>
          <w:sz w:val="15"/>
          <w:szCs w:val="15"/>
          <w:color w:val="auto"/>
        </w:rPr>
      </w:pPr>
      <w:r>
        <w:rPr>
          <w:rFonts w:ascii="Arial" w:cs="Arial" w:eastAsia="Arial" w:hAnsi="Arial"/>
          <w:sz w:val="15"/>
          <w:szCs w:val="15"/>
          <w:color w:val="auto"/>
        </w:rPr>
        <w:t>Motivate NEOs to build a career at the Company and to contribute to our future success.</w:t>
      </w:r>
    </w:p>
    <w:p>
      <w:pPr>
        <w:spacing w:after="0" w:line="421" w:lineRule="exact"/>
        <w:rPr>
          <w:sz w:val="20"/>
          <w:szCs w:val="20"/>
          <w:color w:val="auto"/>
        </w:rPr>
      </w:pPr>
    </w:p>
    <w:p>
      <w:pPr>
        <w:sectPr>
          <w:pgSz w:w="11900" w:h="16838" w:orient="portrait"/>
          <w:cols w:equalWidth="0" w:num="2">
            <w:col w:w="5260" w:space="625"/>
            <w:col w:w="4695"/>
          </w:cols>
          <w:pgMar w:left="320" w:top="459" w:right="999" w:bottom="1440" w:gutter="0" w:footer="0" w:header="0"/>
          <w:type w:val="continuous"/>
        </w:sectPr>
      </w:pPr>
    </w:p>
    <w:p>
      <w:pPr>
        <w:spacing w:after="0" w:line="318" w:lineRule="exact"/>
        <w:rPr>
          <w:sz w:val="20"/>
          <w:szCs w:val="20"/>
          <w:color w:val="auto"/>
        </w:rPr>
      </w:pPr>
    </w:p>
    <w:p>
      <w:pPr>
        <w:ind w:left="660" w:right="20"/>
        <w:spacing w:after="0" w:line="251" w:lineRule="auto"/>
        <w:rPr>
          <w:sz w:val="20"/>
          <w:szCs w:val="20"/>
          <w:color w:val="auto"/>
        </w:rPr>
      </w:pPr>
      <w:r>
        <w:rPr>
          <w:rFonts w:ascii="Arial" w:cs="Arial" w:eastAsia="Arial" w:hAnsi="Arial"/>
          <w:sz w:val="16"/>
          <w:szCs w:val="16"/>
          <w:color w:val="auto"/>
        </w:rPr>
        <w:t>The Company seeks to provide competitive compensation that is commensurate with performance and integrates individual efforts, Company and business unit results, and financial rewards. Accordingly, a significant portion of the total compensation paid to NEOs is placed at risk through annual and long-term incentives, which combination of incentives is designed to align the performance of NEOs and the Company’s annual operating objectives and earnings performance with long-term shareholder value creation.</w:t>
      </w:r>
    </w:p>
    <w:p>
      <w:pPr>
        <w:spacing w:after="0" w:line="202" w:lineRule="exact"/>
        <w:rPr>
          <w:sz w:val="20"/>
          <w:szCs w:val="20"/>
          <w:color w:val="auto"/>
        </w:rPr>
      </w:pPr>
    </w:p>
    <w:p>
      <w:pPr>
        <w:ind w:left="660" w:right="80"/>
        <w:spacing w:after="0" w:line="249" w:lineRule="auto"/>
        <w:rPr>
          <w:sz w:val="20"/>
          <w:szCs w:val="20"/>
          <w:color w:val="auto"/>
        </w:rPr>
      </w:pPr>
      <w:r>
        <w:rPr>
          <w:rFonts w:ascii="Arial" w:cs="Arial" w:eastAsia="Arial" w:hAnsi="Arial"/>
          <w:sz w:val="16"/>
          <w:szCs w:val="16"/>
          <w:color w:val="auto"/>
        </w:rPr>
        <w:t>Our compensation program’s design, and in particular the use of equity awards as a key incentive element, establishes strong links between our creative teams and long-term value creation for shareholders. Our compensation program reflects the importance of creative talent to our business and enables us to retain and incentivize these groups. As a result of the importance we place on equity incentives, Take-Two may, in some years, have higher equity usage for share plans than some of our peers. The Board of Directors periodically authorizes share repurchases when it believes such actions are in the best interests of the shareholders; these repurchases directly reduce the number of the Company’s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266065</wp:posOffset>
            </wp:positionV>
            <wp:extent cx="291465" cy="274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31</w:t>
            </w:r>
          </w:p>
        </w:tc>
      </w:tr>
    </w:tbl>
    <w:p>
      <w:pPr>
        <w:sectPr>
          <w:pgSz w:w="11900" w:h="16838" w:orient="portrait"/>
          <w:cols w:equalWidth="0" w:num="1">
            <w:col w:w="10580"/>
          </w:cols>
          <w:pgMar w:left="320" w:top="459" w:right="9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II. Compensation to Executive Chairman and CEO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48895</wp:posOffset>
            </wp:positionV>
            <wp:extent cx="62922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80"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Take-Two has had a long-standing management relationship with ZelnickMedia, under which ZelnickMedia provides executive management and other services to Take-Two. This relationship was first established in 2007 and has been maintained, with several amendments and restatements, since that time. Our Executive Chairman and CEO, Strauss Zelnick, and our President, Karl Slatoff, serve in their current roles pursuant to the 2017 Management Agreement with ZelnickMedia. Mr. Zelnick has been our Executive Chairman since 2008 and our CEO since 2011. Mr. Slatoff has been our President since May 2013 and previously served in other executive roles at the Company.</w:t>
      </w:r>
    </w:p>
    <w:p>
      <w:pPr>
        <w:spacing w:after="0" w:line="396" w:lineRule="exact"/>
        <w:rPr>
          <w:sz w:val="20"/>
          <w:szCs w:val="20"/>
          <w:color w:val="auto"/>
        </w:rPr>
      </w:pPr>
    </w:p>
    <w:p>
      <w:pPr>
        <w:ind w:left="660" w:right="60"/>
        <w:spacing w:after="0" w:line="250" w:lineRule="auto"/>
        <w:rPr>
          <w:sz w:val="20"/>
          <w:szCs w:val="20"/>
          <w:color w:val="auto"/>
        </w:rPr>
      </w:pPr>
      <w:r>
        <w:rPr>
          <w:rFonts w:ascii="Arial" w:cs="Arial" w:eastAsia="Arial" w:hAnsi="Arial"/>
          <w:sz w:val="16"/>
          <w:szCs w:val="16"/>
          <w:color w:val="auto"/>
        </w:rPr>
        <w:t>On November 17, 2017, the Company and ZelnickMedia entered into the 2017 Management Agreement, effective January 1, 2018, which superseded the prior 2014 Management Agreement. Like the 2014 Management Agreement, the 2017 Management Agreement emphasizes performance-based, at-risk compensation and equity with greater than one-year vesting, to ensure it is closely aligned with the compensation of other Take-Two executives, the performance of the Company and the interests of our shareholders. Fees and incentives paid to ZelnickMedia during fiscal 2020 are detailed below under “Fiscal 2020 Fees and Incentives to ZelnickMedia.”</w:t>
      </w:r>
    </w:p>
    <w:p>
      <w:pPr>
        <w:spacing w:after="0" w:line="203" w:lineRule="exact"/>
        <w:rPr>
          <w:sz w:val="20"/>
          <w:szCs w:val="20"/>
          <w:color w:val="auto"/>
        </w:rPr>
      </w:pPr>
    </w:p>
    <w:p>
      <w:pPr>
        <w:ind w:left="660" w:right="60"/>
        <w:spacing w:after="0" w:line="251" w:lineRule="auto"/>
        <w:rPr>
          <w:sz w:val="20"/>
          <w:szCs w:val="20"/>
          <w:color w:val="auto"/>
        </w:rPr>
      </w:pPr>
      <w:r>
        <w:rPr>
          <w:rFonts w:ascii="Arial" w:cs="Arial" w:eastAsia="Arial" w:hAnsi="Arial"/>
          <w:sz w:val="16"/>
          <w:szCs w:val="16"/>
          <w:color w:val="auto"/>
        </w:rPr>
        <w:t>The target compensation opportunity for ZelnickMedia under the 2017 Management Agreement considered the Company’s need for a senior leadership team that can provide financial and technology acumen as well as management of creative talent. This is a unique combination of skills that creates a limited pool of candidates, and has resulted in the Board of Directors’ decision to provide a competitive compensation opportunity for ZelnickMedia. However, this compensation opportunity is contingent on achieving superior performance.</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Services Provided by ZelnickMedia</w:t>
      </w:r>
    </w:p>
    <w:p>
      <w:pPr>
        <w:spacing w:after="0" w:line="133" w:lineRule="exact"/>
        <w:rPr>
          <w:sz w:val="20"/>
          <w:szCs w:val="20"/>
          <w:color w:val="auto"/>
        </w:rPr>
      </w:pPr>
    </w:p>
    <w:p>
      <w:pPr>
        <w:ind w:left="660" w:right="960"/>
        <w:spacing w:after="0" w:line="260" w:lineRule="auto"/>
        <w:rPr>
          <w:sz w:val="20"/>
          <w:szCs w:val="20"/>
          <w:color w:val="auto"/>
        </w:rPr>
      </w:pPr>
      <w:r>
        <w:rPr>
          <w:rFonts w:ascii="Arial" w:cs="Arial" w:eastAsia="Arial" w:hAnsi="Arial"/>
          <w:sz w:val="16"/>
          <w:szCs w:val="16"/>
          <w:color w:val="auto"/>
        </w:rPr>
        <w:t>The provisions of the 2017 Management Agreement establish the payments and benefits to which ZelnickMedia is entitled as consideration for providing certain valuable and unique services. These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62865</wp:posOffset>
            </wp:positionV>
            <wp:extent cx="6292215" cy="916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916940"/>
                    </a:xfrm>
                    <a:prstGeom prst="rect">
                      <a:avLst/>
                    </a:prstGeom>
                    <a:noFill/>
                  </pic:spPr>
                </pic:pic>
              </a:graphicData>
            </a:graphic>
          </wp:anchor>
        </w:drawing>
      </w:r>
    </w:p>
    <w:p>
      <w:pPr>
        <w:spacing w:after="0" w:line="202" w:lineRule="exact"/>
        <w:rPr>
          <w:sz w:val="20"/>
          <w:szCs w:val="20"/>
          <w:color w:val="auto"/>
        </w:rPr>
      </w:pPr>
    </w:p>
    <w:p>
      <w:pPr>
        <w:ind w:left="1000" w:right="20" w:hanging="250"/>
        <w:spacing w:after="0" w:line="260" w:lineRule="auto"/>
        <w:tabs>
          <w:tab w:leader="none" w:pos="976" w:val="left"/>
        </w:tabs>
        <w:numPr>
          <w:ilvl w:val="0"/>
          <w:numId w:val="50"/>
        </w:numPr>
        <w:rPr>
          <w:rFonts w:ascii="Arial" w:cs="Arial" w:eastAsia="Arial" w:hAnsi="Arial"/>
          <w:sz w:val="16"/>
          <w:szCs w:val="16"/>
          <w:color w:val="005CB9"/>
        </w:rPr>
      </w:pPr>
      <w:r>
        <w:rPr>
          <w:rFonts w:ascii="Arial" w:cs="Arial" w:eastAsia="Arial" w:hAnsi="Arial"/>
          <w:sz w:val="16"/>
          <w:szCs w:val="16"/>
          <w:color w:val="auto"/>
        </w:rPr>
        <w:t>Executive management and leadership delivered through the services of Executive Chairman and CEO Strauss Zelnick and President Karl Slatoff.</w:t>
      </w:r>
    </w:p>
    <w:p>
      <w:pPr>
        <w:spacing w:after="0" w:line="60" w:lineRule="exact"/>
        <w:rPr>
          <w:rFonts w:ascii="Arial" w:cs="Arial" w:eastAsia="Arial" w:hAnsi="Arial"/>
          <w:sz w:val="16"/>
          <w:szCs w:val="16"/>
          <w:color w:val="005CB9"/>
        </w:rPr>
      </w:pPr>
    </w:p>
    <w:p>
      <w:pPr>
        <w:ind w:left="960" w:hanging="210"/>
        <w:spacing w:after="0"/>
        <w:tabs>
          <w:tab w:leader="none" w:pos="960" w:val="left"/>
        </w:tabs>
        <w:numPr>
          <w:ilvl w:val="0"/>
          <w:numId w:val="50"/>
        </w:numPr>
        <w:rPr>
          <w:rFonts w:ascii="Arial" w:cs="Arial" w:eastAsia="Arial" w:hAnsi="Arial"/>
          <w:sz w:val="16"/>
          <w:szCs w:val="16"/>
          <w:color w:val="005CB9"/>
        </w:rPr>
      </w:pPr>
      <w:r>
        <w:rPr>
          <w:rFonts w:ascii="Arial" w:cs="Arial" w:eastAsia="Arial" w:hAnsi="Arial"/>
          <w:sz w:val="16"/>
          <w:szCs w:val="16"/>
          <w:color w:val="auto"/>
        </w:rPr>
        <w:t>Resources of other ZelnickMedia partners that may provide services and advice to the Company on an as-needed basis.</w:t>
      </w:r>
    </w:p>
    <w:p>
      <w:pPr>
        <w:spacing w:after="0" w:line="86" w:lineRule="exact"/>
        <w:rPr>
          <w:rFonts w:ascii="Arial" w:cs="Arial" w:eastAsia="Arial" w:hAnsi="Arial"/>
          <w:sz w:val="16"/>
          <w:szCs w:val="16"/>
          <w:color w:val="005CB9"/>
        </w:rPr>
      </w:pPr>
    </w:p>
    <w:p>
      <w:pPr>
        <w:ind w:left="960" w:hanging="210"/>
        <w:spacing w:after="0"/>
        <w:tabs>
          <w:tab w:leader="none" w:pos="960" w:val="left"/>
        </w:tabs>
        <w:numPr>
          <w:ilvl w:val="0"/>
          <w:numId w:val="50"/>
        </w:numPr>
        <w:rPr>
          <w:rFonts w:ascii="Arial" w:cs="Arial" w:eastAsia="Arial" w:hAnsi="Arial"/>
          <w:sz w:val="16"/>
          <w:szCs w:val="16"/>
          <w:color w:val="005CB9"/>
        </w:rPr>
      </w:pPr>
      <w:r>
        <w:rPr>
          <w:rFonts w:ascii="Arial" w:cs="Arial" w:eastAsia="Arial" w:hAnsi="Arial"/>
          <w:sz w:val="16"/>
          <w:szCs w:val="16"/>
          <w:color w:val="auto"/>
        </w:rPr>
        <w:t>First access to certain deal opportunities as they are identified by ZelnickMedia.</w:t>
      </w:r>
    </w:p>
    <w:p>
      <w:pPr>
        <w:spacing w:after="0" w:line="86" w:lineRule="exact"/>
        <w:rPr>
          <w:rFonts w:ascii="Arial" w:cs="Arial" w:eastAsia="Arial" w:hAnsi="Arial"/>
          <w:sz w:val="16"/>
          <w:szCs w:val="16"/>
          <w:color w:val="005CB9"/>
        </w:rPr>
      </w:pPr>
    </w:p>
    <w:p>
      <w:pPr>
        <w:ind w:left="960" w:hanging="210"/>
        <w:spacing w:after="0"/>
        <w:tabs>
          <w:tab w:leader="none" w:pos="960" w:val="left"/>
        </w:tabs>
        <w:numPr>
          <w:ilvl w:val="0"/>
          <w:numId w:val="50"/>
        </w:numPr>
        <w:rPr>
          <w:rFonts w:ascii="Arial" w:cs="Arial" w:eastAsia="Arial" w:hAnsi="Arial"/>
          <w:sz w:val="16"/>
          <w:szCs w:val="16"/>
          <w:color w:val="005CB9"/>
        </w:rPr>
      </w:pPr>
      <w:r>
        <w:rPr>
          <w:rFonts w:ascii="Arial" w:cs="Arial" w:eastAsia="Arial" w:hAnsi="Arial"/>
          <w:sz w:val="16"/>
          <w:szCs w:val="16"/>
          <w:color w:val="auto"/>
        </w:rPr>
        <w:t>Elevated market positioning due to the industry relationships of ZelnickMedia.</w:t>
      </w:r>
    </w:p>
    <w:p>
      <w:pPr>
        <w:spacing w:after="0" w:line="248" w:lineRule="exact"/>
        <w:rPr>
          <w:sz w:val="20"/>
          <w:szCs w:val="20"/>
          <w:color w:val="auto"/>
        </w:rPr>
      </w:pPr>
    </w:p>
    <w:p>
      <w:pPr>
        <w:ind w:left="660" w:right="120"/>
        <w:spacing w:after="0" w:line="251" w:lineRule="auto"/>
        <w:rPr>
          <w:sz w:val="20"/>
          <w:szCs w:val="20"/>
          <w:color w:val="auto"/>
        </w:rPr>
      </w:pPr>
      <w:r>
        <w:rPr>
          <w:rFonts w:ascii="Arial" w:cs="Arial" w:eastAsia="Arial" w:hAnsi="Arial"/>
          <w:sz w:val="16"/>
          <w:szCs w:val="16"/>
          <w:color w:val="auto"/>
        </w:rPr>
        <w:t>The Board of Directors and Compensation Committee believe that the services provided by ZelnickMedia, inclusive of the services of Mr. Zelnick and Mr. Slatoff, are a competitive advantage to Take-Two. The Board of Directors and the Compensation Committee regularly evaluate the relationship with ZelnickMedia to ensure that it is still the appropriate management structure for the Company. To facilitate this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67310</wp:posOffset>
            </wp:positionV>
            <wp:extent cx="6292215" cy="916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916940"/>
                    </a:xfrm>
                    <a:prstGeom prst="rect">
                      <a:avLst/>
                    </a:prstGeom>
                    <a:noFill/>
                  </pic:spPr>
                </pic:pic>
              </a:graphicData>
            </a:graphic>
          </wp:anchor>
        </w:drawing>
      </w:r>
    </w:p>
    <w:p>
      <w:pPr>
        <w:spacing w:after="0" w:line="209" w:lineRule="exact"/>
        <w:rPr>
          <w:sz w:val="20"/>
          <w:szCs w:val="20"/>
          <w:color w:val="auto"/>
        </w:rPr>
      </w:pPr>
    </w:p>
    <w:p>
      <w:pPr>
        <w:ind w:left="1000" w:right="460" w:hanging="250"/>
        <w:spacing w:after="0" w:line="260" w:lineRule="auto"/>
        <w:tabs>
          <w:tab w:leader="none" w:pos="967" w:val="left"/>
        </w:tabs>
        <w:numPr>
          <w:ilvl w:val="0"/>
          <w:numId w:val="51"/>
        </w:numPr>
        <w:rPr>
          <w:rFonts w:ascii="Arial" w:cs="Arial" w:eastAsia="Arial" w:hAnsi="Arial"/>
          <w:sz w:val="16"/>
          <w:szCs w:val="16"/>
          <w:color w:val="005CB9"/>
        </w:rPr>
      </w:pPr>
      <w:r>
        <w:rPr>
          <w:rFonts w:ascii="Arial" w:cs="Arial" w:eastAsia="Arial" w:hAnsi="Arial"/>
          <w:sz w:val="16"/>
          <w:szCs w:val="16"/>
          <w:color w:val="auto"/>
        </w:rPr>
        <w:t>At least annually, the Compensation Committee interviews a broad spectrum of Company management to seek feedback on the performance of Mr. Zelnick and Mr. Slatoff and the relationship with ZelnickMedia, generally.</w:t>
      </w:r>
    </w:p>
    <w:p>
      <w:pPr>
        <w:spacing w:after="0" w:line="60" w:lineRule="exact"/>
        <w:rPr>
          <w:rFonts w:ascii="Arial" w:cs="Arial" w:eastAsia="Arial" w:hAnsi="Arial"/>
          <w:sz w:val="16"/>
          <w:szCs w:val="16"/>
          <w:color w:val="005CB9"/>
        </w:rPr>
      </w:pPr>
    </w:p>
    <w:p>
      <w:pPr>
        <w:ind w:left="960" w:hanging="210"/>
        <w:spacing w:after="0"/>
        <w:tabs>
          <w:tab w:leader="none" w:pos="960" w:val="left"/>
        </w:tabs>
        <w:numPr>
          <w:ilvl w:val="0"/>
          <w:numId w:val="51"/>
        </w:numPr>
        <w:rPr>
          <w:rFonts w:ascii="Arial" w:cs="Arial" w:eastAsia="Arial" w:hAnsi="Arial"/>
          <w:sz w:val="16"/>
          <w:szCs w:val="16"/>
          <w:color w:val="005CB9"/>
        </w:rPr>
      </w:pPr>
      <w:r>
        <w:rPr>
          <w:rFonts w:ascii="Arial" w:cs="Arial" w:eastAsia="Arial" w:hAnsi="Arial"/>
          <w:sz w:val="16"/>
          <w:szCs w:val="16"/>
          <w:color w:val="auto"/>
        </w:rPr>
        <w:t>Feedback from Company management is discussed in executive sessions of the Board of Directors.</w:t>
      </w:r>
    </w:p>
    <w:p>
      <w:pPr>
        <w:spacing w:after="0" w:line="86" w:lineRule="exact"/>
        <w:rPr>
          <w:rFonts w:ascii="Arial" w:cs="Arial" w:eastAsia="Arial" w:hAnsi="Arial"/>
          <w:sz w:val="16"/>
          <w:szCs w:val="16"/>
          <w:color w:val="005CB9"/>
        </w:rPr>
      </w:pPr>
    </w:p>
    <w:p>
      <w:pPr>
        <w:ind w:left="1000" w:right="320" w:hanging="250"/>
        <w:spacing w:after="0" w:line="260" w:lineRule="auto"/>
        <w:tabs>
          <w:tab w:leader="none" w:pos="973" w:val="left"/>
        </w:tabs>
        <w:numPr>
          <w:ilvl w:val="0"/>
          <w:numId w:val="51"/>
        </w:numPr>
        <w:rPr>
          <w:rFonts w:ascii="Arial" w:cs="Arial" w:eastAsia="Arial" w:hAnsi="Arial"/>
          <w:sz w:val="16"/>
          <w:szCs w:val="16"/>
          <w:color w:val="005CB9"/>
        </w:rPr>
      </w:pPr>
      <w:r>
        <w:rPr>
          <w:rFonts w:ascii="Arial" w:cs="Arial" w:eastAsia="Arial" w:hAnsi="Arial"/>
          <w:sz w:val="16"/>
          <w:szCs w:val="16"/>
          <w:color w:val="auto"/>
        </w:rPr>
        <w:t>The Lead Independent Director regularly engages with members of the senior management team to discuss the business strategy of the Company in greater detail and provide additional guidance to such members of management.</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Fiscal 2020 Fees and Incentives to ZelnickMedia</w:t>
      </w:r>
    </w:p>
    <w:p>
      <w:pPr>
        <w:spacing w:after="0" w:line="133" w:lineRule="exact"/>
        <w:rPr>
          <w:sz w:val="20"/>
          <w:szCs w:val="20"/>
          <w:color w:val="auto"/>
        </w:rPr>
      </w:pPr>
    </w:p>
    <w:p>
      <w:pPr>
        <w:ind w:left="660" w:right="20"/>
        <w:spacing w:after="0" w:line="251" w:lineRule="auto"/>
        <w:rPr>
          <w:sz w:val="20"/>
          <w:szCs w:val="20"/>
          <w:color w:val="auto"/>
        </w:rPr>
      </w:pPr>
      <w:r>
        <w:rPr>
          <w:rFonts w:ascii="Arial" w:cs="Arial" w:eastAsia="Arial" w:hAnsi="Arial"/>
          <w:sz w:val="16"/>
          <w:szCs w:val="16"/>
          <w:color w:val="auto"/>
        </w:rPr>
        <w:t>During fiscal 2020, in accordance with the 2017 Management Agreement, ZelnickMedia received an annual management fee, had the opportunity to receive an annual performance-based incentive, the payment of which is linked solely to an objective company performance measure, and received a long-term incentive equity grant in a combination of time-based vesting RSUs and performance-based vesting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273050</wp:posOffset>
            </wp:positionV>
            <wp:extent cx="291465" cy="274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Compensation to ZelnickMedia for fiscal 2020 under the 2017 Management Agreement is summarized below:</w:t>
      </w:r>
    </w:p>
    <w:p>
      <w:pPr>
        <w:spacing w:after="0" w:line="234" w:lineRule="exact"/>
        <w:rPr>
          <w:sz w:val="20"/>
          <w:szCs w:val="20"/>
          <w:color w:val="auto"/>
        </w:rPr>
      </w:pPr>
    </w:p>
    <w:tbl>
      <w:tblPr>
        <w:tblLayout w:type="fixed"/>
        <w:tblInd w:w="670" w:type="dxa"/>
        <w:tblCellMar>
          <w:top w:w="0" w:type="dxa"/>
          <w:left w:w="0" w:type="dxa"/>
          <w:bottom w:w="0" w:type="dxa"/>
          <w:right w:w="0" w:type="dxa"/>
        </w:tblCellMar>
      </w:tblPr>
      <w:tr>
        <w:trPr>
          <w:trHeight w:val="161"/>
        </w:trPr>
        <w:tc>
          <w:tcPr>
            <w:tcW w:w="2100" w:type="dxa"/>
            <w:vAlign w:val="bottom"/>
            <w:tcBorders>
              <w:left w:val="single" w:sz="8" w:color="7F7F7F"/>
              <w:right w:val="single" w:sz="8" w:color="7F7F7F"/>
            </w:tcBorders>
            <w:shd w:val="clear" w:color="auto" w:fill="005CB9"/>
          </w:tcPr>
          <w:p>
            <w:pPr>
              <w:jc w:val="center"/>
              <w:ind w:left="85"/>
              <w:spacing w:after="0"/>
              <w:rPr>
                <w:sz w:val="20"/>
                <w:szCs w:val="20"/>
                <w:color w:val="auto"/>
              </w:rPr>
            </w:pPr>
            <w:r>
              <w:rPr>
                <w:rFonts w:ascii="Arial" w:cs="Arial" w:eastAsia="Arial" w:hAnsi="Arial"/>
                <w:sz w:val="14"/>
                <w:szCs w:val="14"/>
                <w:b w:val="1"/>
                <w:bCs w:val="1"/>
                <w:color w:val="FFFFFF"/>
              </w:rPr>
              <w:t>Annual</w:t>
            </w:r>
          </w:p>
        </w:tc>
        <w:tc>
          <w:tcPr>
            <w:tcW w:w="198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Annual Incentive</w:t>
            </w:r>
          </w:p>
        </w:tc>
        <w:tc>
          <w:tcPr>
            <w:tcW w:w="198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Performance-</w:t>
            </w:r>
          </w:p>
        </w:tc>
        <w:tc>
          <w:tcPr>
            <w:tcW w:w="1980" w:type="dxa"/>
            <w:vAlign w:val="bottom"/>
            <w:tcBorders>
              <w:right w:val="single" w:sz="8" w:color="7F7F7F"/>
            </w:tcBorders>
            <w:shd w:val="clear" w:color="auto" w:fill="005CB9"/>
          </w:tcPr>
          <w:p>
            <w:pPr>
              <w:spacing w:after="0"/>
              <w:rPr>
                <w:sz w:val="14"/>
                <w:szCs w:val="14"/>
                <w:color w:val="auto"/>
              </w:rPr>
            </w:pPr>
          </w:p>
        </w:tc>
        <w:tc>
          <w:tcPr>
            <w:tcW w:w="1880" w:type="dxa"/>
            <w:vAlign w:val="bottom"/>
            <w:shd w:val="clear" w:color="auto" w:fill="005CB9"/>
          </w:tcPr>
          <w:p>
            <w:pPr>
              <w:spacing w:after="0"/>
              <w:rPr>
                <w:sz w:val="14"/>
                <w:szCs w:val="14"/>
                <w:color w:val="auto"/>
              </w:rPr>
            </w:pPr>
          </w:p>
        </w:tc>
      </w:tr>
      <w:tr>
        <w:trPr>
          <w:trHeight w:val="175"/>
        </w:trPr>
        <w:tc>
          <w:tcPr>
            <w:tcW w:w="2100" w:type="dxa"/>
            <w:vAlign w:val="bottom"/>
            <w:tcBorders>
              <w:left w:val="single" w:sz="8" w:color="7F7F7F"/>
              <w:right w:val="single" w:sz="8" w:color="7F7F7F"/>
            </w:tcBorders>
            <w:shd w:val="clear" w:color="auto" w:fill="005CB9"/>
          </w:tcPr>
          <w:p>
            <w:pPr>
              <w:jc w:val="center"/>
              <w:ind w:left="85"/>
              <w:spacing w:after="0"/>
              <w:rPr>
                <w:sz w:val="20"/>
                <w:szCs w:val="20"/>
                <w:color w:val="auto"/>
              </w:rPr>
            </w:pPr>
            <w:r>
              <w:rPr>
                <w:rFonts w:ascii="Arial" w:cs="Arial" w:eastAsia="Arial" w:hAnsi="Arial"/>
                <w:sz w:val="14"/>
                <w:szCs w:val="14"/>
                <w:b w:val="1"/>
                <w:bCs w:val="1"/>
                <w:color w:val="FFFFFF"/>
              </w:rPr>
              <w:t>Management Fee</w:t>
            </w:r>
          </w:p>
        </w:tc>
        <w:tc>
          <w:tcPr>
            <w:tcW w:w="198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Compensation</w:t>
            </w:r>
          </w:p>
        </w:tc>
        <w:tc>
          <w:tcPr>
            <w:tcW w:w="1980" w:type="dxa"/>
            <w:vAlign w:val="bottom"/>
            <w:tcBorders>
              <w:right w:val="single" w:sz="8" w:color="7F7F7F"/>
            </w:tcBorders>
            <w:shd w:val="clear" w:color="auto" w:fill="005CB9"/>
          </w:tcPr>
          <w:p>
            <w:pPr>
              <w:jc w:val="center"/>
              <w:ind w:left="5"/>
              <w:spacing w:after="0"/>
              <w:rPr>
                <w:sz w:val="20"/>
                <w:szCs w:val="20"/>
                <w:color w:val="auto"/>
              </w:rPr>
            </w:pPr>
            <w:r>
              <w:rPr>
                <w:rFonts w:ascii="Arial" w:cs="Arial" w:eastAsia="Arial" w:hAnsi="Arial"/>
                <w:sz w:val="14"/>
                <w:szCs w:val="14"/>
                <w:b w:val="1"/>
                <w:bCs w:val="1"/>
                <w:color w:val="FFFFFF"/>
              </w:rPr>
              <w:t>Based RSUs</w:t>
            </w:r>
          </w:p>
        </w:tc>
        <w:tc>
          <w:tcPr>
            <w:tcW w:w="1980" w:type="dxa"/>
            <w:vAlign w:val="bottom"/>
            <w:tcBorders>
              <w:right w:val="single" w:sz="8" w:color="7F7F7F"/>
            </w:tcBorders>
            <w:shd w:val="clear" w:color="auto" w:fill="005CB9"/>
          </w:tcPr>
          <w:p>
            <w:pPr>
              <w:jc w:val="center"/>
              <w:ind w:left="4"/>
              <w:spacing w:after="0"/>
              <w:rPr>
                <w:sz w:val="20"/>
                <w:szCs w:val="20"/>
                <w:color w:val="auto"/>
              </w:rPr>
            </w:pPr>
            <w:r>
              <w:rPr>
                <w:rFonts w:ascii="Arial" w:cs="Arial" w:eastAsia="Arial" w:hAnsi="Arial"/>
                <w:sz w:val="14"/>
                <w:szCs w:val="14"/>
                <w:b w:val="1"/>
                <w:bCs w:val="1"/>
                <w:color w:val="FFFFFF"/>
              </w:rPr>
              <w:t>Time-Based RSUs</w:t>
            </w:r>
          </w:p>
        </w:tc>
        <w:tc>
          <w:tcPr>
            <w:tcW w:w="188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Total Compensation</w:t>
            </w:r>
          </w:p>
        </w:tc>
      </w:tr>
      <w:tr>
        <w:trPr>
          <w:trHeight w:val="237"/>
        </w:trPr>
        <w:tc>
          <w:tcPr>
            <w:tcW w:w="2100" w:type="dxa"/>
            <w:vAlign w:val="bottom"/>
            <w:tcBorders>
              <w:left w:val="single" w:sz="8" w:color="7F7F7F"/>
              <w:bottom w:val="single" w:sz="8" w:color="7F7F7F"/>
              <w:right w:val="single" w:sz="8" w:color="7F7F7F"/>
            </w:tcBorders>
            <w:shd w:val="clear" w:color="auto" w:fill="EAEAEA"/>
          </w:tcPr>
          <w:p>
            <w:pPr>
              <w:jc w:val="center"/>
              <w:ind w:left="85"/>
              <w:spacing w:after="0"/>
              <w:rPr>
                <w:sz w:val="20"/>
                <w:szCs w:val="20"/>
                <w:color w:val="auto"/>
              </w:rPr>
            </w:pPr>
            <w:r>
              <w:rPr>
                <w:rFonts w:ascii="Arial" w:cs="Arial" w:eastAsia="Arial" w:hAnsi="Arial"/>
                <w:sz w:val="16"/>
                <w:szCs w:val="16"/>
                <w:color w:val="auto"/>
              </w:rPr>
              <w:t>$3,100,000(1)</w:t>
            </w:r>
          </w:p>
        </w:tc>
        <w:tc>
          <w:tcPr>
            <w:tcW w:w="1980" w:type="dxa"/>
            <w:vAlign w:val="bottom"/>
            <w:tcBorders>
              <w:bottom w:val="single" w:sz="8" w:color="7F7F7F"/>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$7,440,000(2)</w:t>
            </w:r>
          </w:p>
        </w:tc>
        <w:tc>
          <w:tcPr>
            <w:tcW w:w="1980" w:type="dxa"/>
            <w:vAlign w:val="bottom"/>
            <w:tcBorders>
              <w:bottom w:val="single" w:sz="8" w:color="7F7F7F"/>
              <w:right w:val="single" w:sz="8" w:color="7F7F7F"/>
            </w:tcBorders>
            <w:shd w:val="clear" w:color="auto" w:fill="EAEAEA"/>
          </w:tcPr>
          <w:p>
            <w:pPr>
              <w:jc w:val="center"/>
              <w:ind w:left="5"/>
              <w:spacing w:after="0"/>
              <w:rPr>
                <w:sz w:val="20"/>
                <w:szCs w:val="20"/>
                <w:color w:val="auto"/>
              </w:rPr>
            </w:pPr>
            <w:r>
              <w:rPr>
                <w:rFonts w:ascii="Arial" w:cs="Arial" w:eastAsia="Arial" w:hAnsi="Arial"/>
                <w:sz w:val="16"/>
                <w:szCs w:val="16"/>
                <w:color w:val="auto"/>
              </w:rPr>
              <w:t>$10,725,000(3)</w:t>
            </w:r>
          </w:p>
        </w:tc>
        <w:tc>
          <w:tcPr>
            <w:tcW w:w="1980" w:type="dxa"/>
            <w:vAlign w:val="bottom"/>
            <w:tcBorders>
              <w:bottom w:val="single" w:sz="8" w:color="7F7F7F"/>
              <w:right w:val="single" w:sz="8" w:color="7F7F7F"/>
            </w:tcBorders>
            <w:shd w:val="clear" w:color="auto" w:fill="EAEAEA"/>
          </w:tcPr>
          <w:p>
            <w:pPr>
              <w:jc w:val="right"/>
              <w:ind w:right="464"/>
              <w:spacing w:after="0"/>
              <w:rPr>
                <w:sz w:val="20"/>
                <w:szCs w:val="20"/>
                <w:color w:val="auto"/>
              </w:rPr>
            </w:pPr>
            <w:r>
              <w:rPr>
                <w:rFonts w:ascii="Arial" w:cs="Arial" w:eastAsia="Arial" w:hAnsi="Arial"/>
                <w:sz w:val="16"/>
                <w:szCs w:val="16"/>
                <w:color w:val="auto"/>
              </w:rPr>
              <w:t>$8,775,000</w:t>
            </w:r>
          </w:p>
        </w:tc>
        <w:tc>
          <w:tcPr>
            <w:tcW w:w="1880" w:type="dxa"/>
            <w:vAlign w:val="bottom"/>
            <w:tcBorders>
              <w:bottom w:val="single" w:sz="8" w:color="7F7F7F"/>
            </w:tcBorders>
            <w:shd w:val="clear" w:color="auto" w:fill="EAEAEA"/>
          </w:tcPr>
          <w:p>
            <w:pPr>
              <w:jc w:val="right"/>
              <w:ind w:right="384"/>
              <w:spacing w:after="0"/>
              <w:rPr>
                <w:sz w:val="20"/>
                <w:szCs w:val="20"/>
                <w:color w:val="auto"/>
              </w:rPr>
            </w:pPr>
            <w:r>
              <w:rPr>
                <w:rFonts w:ascii="Arial" w:cs="Arial" w:eastAsia="Arial" w:hAnsi="Arial"/>
                <w:sz w:val="16"/>
                <w:szCs w:val="16"/>
                <w:color w:val="auto"/>
              </w:rPr>
              <w:t>$30,040,000</w:t>
            </w:r>
          </w:p>
        </w:tc>
      </w:tr>
    </w:tbl>
    <w:p>
      <w:pPr>
        <w:spacing w:after="0" w:line="123" w:lineRule="exact"/>
        <w:rPr>
          <w:sz w:val="20"/>
          <w:szCs w:val="20"/>
          <w:color w:val="auto"/>
        </w:rPr>
      </w:pPr>
    </w:p>
    <w:p>
      <w:pPr>
        <w:ind w:left="1000" w:hanging="331"/>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Fixed annual fee per the 2017 Management Agreement.</w:t>
      </w:r>
    </w:p>
    <w:p>
      <w:pPr>
        <w:spacing w:after="0" w:line="5" w:lineRule="exact"/>
        <w:rPr>
          <w:rFonts w:ascii="Arial" w:cs="Arial" w:eastAsia="Arial" w:hAnsi="Arial"/>
          <w:sz w:val="16"/>
          <w:szCs w:val="16"/>
          <w:color w:val="auto"/>
        </w:rPr>
      </w:pPr>
    </w:p>
    <w:p>
      <w:pPr>
        <w:ind w:left="1000" w:hanging="331"/>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Adjusted EBITDA achieved was 151.3% of budgeted target. As a result, ZelnickMedia earned the maximum annual incentive.</w:t>
      </w:r>
    </w:p>
    <w:p>
      <w:pPr>
        <w:spacing w:after="0" w:line="5" w:lineRule="exact"/>
        <w:rPr>
          <w:rFonts w:ascii="Arial" w:cs="Arial" w:eastAsia="Arial" w:hAnsi="Arial"/>
          <w:sz w:val="16"/>
          <w:szCs w:val="16"/>
          <w:color w:val="auto"/>
        </w:rPr>
      </w:pPr>
    </w:p>
    <w:p>
      <w:pPr>
        <w:ind w:left="1000" w:right="220" w:hanging="331"/>
        <w:spacing w:after="0" w:line="251"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Grant made on April 15, 2019 and amount assumes that the target TSR performance, Recurrent Consumer Spending performance and sales performance in connection with the releases of IP vesting criteria with respect to the performance-based RSUs are met, resulting in the vesting of 111,886 RSUs. If the maximum vesting criteria for all of the performance-based RSUs are met, 223,772 RSUs would vest.</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Compensation of Mr. Zelnick and Mr. Slatoff</w:t>
      </w:r>
    </w:p>
    <w:p>
      <w:pPr>
        <w:spacing w:after="0" w:line="129" w:lineRule="exact"/>
        <w:rPr>
          <w:sz w:val="20"/>
          <w:szCs w:val="20"/>
          <w:color w:val="auto"/>
        </w:rPr>
      </w:pPr>
    </w:p>
    <w:p>
      <w:pPr>
        <w:ind w:left="660" w:right="80"/>
        <w:spacing w:after="0" w:line="248" w:lineRule="auto"/>
        <w:rPr>
          <w:sz w:val="20"/>
          <w:szCs w:val="20"/>
          <w:color w:val="auto"/>
        </w:rPr>
      </w:pPr>
      <w:r>
        <w:rPr>
          <w:rFonts w:ascii="Arial" w:cs="Arial" w:eastAsia="Arial" w:hAnsi="Arial"/>
          <w:sz w:val="16"/>
          <w:szCs w:val="16"/>
          <w:color w:val="auto"/>
        </w:rPr>
        <w:t>Under the 2017 Management Agreement, Mr. Zelnick may not receive more than 60% of the aggregate compensation paid to ZelnickMedia and Mr. Slatoff may not receive more than 40% of the aggregate compensation paid to ZelnickMedia. These individual caps continue to provide greater transparency with respect to the maximum compensation payable to Messrs. Zelnick and Slatoff. Beyond this provision, the allocation of any revenues of ZelnickMedia among its principals is not set forth in the 2017 Management Agreement or determined by means of any process in which the Company participates. In connection with their provision of services to the Company pursuant to the 2017 Management Agreement, and subject to the limitations above, the actual amount of compensation received by Messrs. Zelnick and Slatoff is determined in the sole discretion of ZelnickMedia.</w:t>
      </w:r>
    </w:p>
    <w:p>
      <w:pPr>
        <w:spacing w:after="0" w:line="208" w:lineRule="exact"/>
        <w:rPr>
          <w:sz w:val="20"/>
          <w:szCs w:val="20"/>
          <w:color w:val="auto"/>
        </w:rPr>
      </w:pPr>
    </w:p>
    <w:p>
      <w:pPr>
        <w:ind w:left="660" w:right="320"/>
        <w:spacing w:after="0" w:line="250" w:lineRule="auto"/>
        <w:rPr>
          <w:sz w:val="20"/>
          <w:szCs w:val="20"/>
          <w:color w:val="auto"/>
        </w:rPr>
      </w:pPr>
      <w:r>
        <w:rPr>
          <w:rFonts w:ascii="Arial" w:cs="Arial" w:eastAsia="Arial" w:hAnsi="Arial"/>
          <w:sz w:val="16"/>
          <w:szCs w:val="16"/>
          <w:color w:val="auto"/>
        </w:rPr>
        <w:t>Mr. Zelnick and Mr. Slatoff continue to both receive $1 annually in compensation from the Company, to provide them the opportunity to receive certain health and other plan benefits, the value of which is described in the Summary Compensation Table below. Mr. Slatoff receives his $1 of annual compensation pursuant to an employment agreement entered into with the Company in February 2008, the terms of which are described under “Executive Compensation—Narrative Disclosure Regarding Equity Plans and Employment Agreements—Employment Agreements—Karl Slatoff”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273050</wp:posOffset>
            </wp:positionV>
            <wp:extent cx="291465" cy="274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bl>
    <w:p>
      <w:pPr>
        <w:sectPr>
          <w:pgSz w:w="11900" w:h="16838" w:orient="portrait"/>
          <w:cols w:equalWidth="0" w:num="1">
            <w:col w:w="10580"/>
          </w:cols>
          <w:pgMar w:left="320" w:top="459" w:right="9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283210</wp:posOffset>
            </wp:positionV>
            <wp:extent cx="6292215" cy="51092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510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Fees and Incentives to ZelnickMedia under the 2017 Management Agreement</w:t>
      </w:r>
    </w:p>
    <w:p>
      <w:pPr>
        <w:spacing w:after="0" w:line="129" w:lineRule="exact"/>
        <w:rPr>
          <w:sz w:val="20"/>
          <w:szCs w:val="20"/>
          <w:color w:val="auto"/>
        </w:rPr>
      </w:pPr>
    </w:p>
    <w:p>
      <w:pPr>
        <w:ind w:left="1060"/>
        <w:spacing w:after="0" w:line="260" w:lineRule="auto"/>
        <w:rPr>
          <w:sz w:val="20"/>
          <w:szCs w:val="20"/>
          <w:color w:val="auto"/>
        </w:rPr>
      </w:pPr>
      <w:r>
        <w:rPr>
          <w:rFonts w:ascii="Arial" w:cs="Arial" w:eastAsia="Arial" w:hAnsi="Arial"/>
          <w:sz w:val="16"/>
          <w:szCs w:val="16"/>
          <w:color w:val="auto"/>
        </w:rPr>
        <w:t>Under the 2017 Management Agreement, fees and incentives paid to ZelnickMedia for fiscal 2020 and payable for future fiscal years are comprised of the following:</w:t>
      </w:r>
    </w:p>
    <w:p>
      <w:pPr>
        <w:spacing w:after="0" w:line="101" w:lineRule="exact"/>
        <w:rPr>
          <w:sz w:val="20"/>
          <w:szCs w:val="20"/>
          <w:color w:val="auto"/>
        </w:rPr>
      </w:pPr>
    </w:p>
    <w:p>
      <w:pPr>
        <w:ind w:left="1360" w:right="260" w:hanging="288"/>
        <w:spacing w:after="0" w:line="260" w:lineRule="auto"/>
        <w:tabs>
          <w:tab w:leader="none" w:pos="1360" w:val="left"/>
        </w:tabs>
        <w:numPr>
          <w:ilvl w:val="0"/>
          <w:numId w:val="53"/>
        </w:numPr>
        <w:rPr>
          <w:rFonts w:ascii="Arial" w:cs="Arial" w:eastAsia="Arial" w:hAnsi="Arial"/>
          <w:sz w:val="16"/>
          <w:szCs w:val="16"/>
          <w:color w:val="005CB9"/>
        </w:rPr>
      </w:pPr>
      <w:r>
        <w:rPr>
          <w:rFonts w:ascii="Arial" w:cs="Arial" w:eastAsia="Arial" w:hAnsi="Arial"/>
          <w:sz w:val="16"/>
          <w:szCs w:val="16"/>
          <w:color w:val="auto"/>
        </w:rPr>
        <w:t>Monthly fee of $258,333.33 ($3,100,000 annually); this fee does not automatically increase during the full six-year and three-month term of the agreement.</w:t>
      </w:r>
    </w:p>
    <w:p>
      <w:pPr>
        <w:spacing w:after="0" w:line="100" w:lineRule="exact"/>
        <w:rPr>
          <w:rFonts w:ascii="Arial" w:cs="Arial" w:eastAsia="Arial" w:hAnsi="Arial"/>
          <w:sz w:val="16"/>
          <w:szCs w:val="16"/>
          <w:color w:val="005CB9"/>
        </w:rPr>
      </w:pPr>
    </w:p>
    <w:p>
      <w:pPr>
        <w:ind w:left="1360" w:hanging="288"/>
        <w:spacing w:after="0" w:line="260" w:lineRule="auto"/>
        <w:tabs>
          <w:tab w:leader="none" w:pos="1360" w:val="left"/>
        </w:tabs>
        <w:numPr>
          <w:ilvl w:val="0"/>
          <w:numId w:val="53"/>
        </w:numPr>
        <w:rPr>
          <w:rFonts w:ascii="Arial" w:cs="Arial" w:eastAsia="Arial" w:hAnsi="Arial"/>
          <w:sz w:val="16"/>
          <w:szCs w:val="16"/>
          <w:color w:val="005CB9"/>
        </w:rPr>
      </w:pPr>
      <w:r>
        <w:rPr>
          <w:rFonts w:ascii="Arial" w:cs="Arial" w:eastAsia="Arial" w:hAnsi="Arial"/>
          <w:sz w:val="16"/>
          <w:szCs w:val="16"/>
          <w:color w:val="auto"/>
        </w:rPr>
        <w:t>Annual bonus opportunity ranging from $0 to $7,440,000, based solely on the Company’s Adjusted EBITDA performance versus pre-established goals; the maximum level is frozen for the full six-year and three-month term of the agreement.</w:t>
      </w:r>
    </w:p>
    <w:p>
      <w:pPr>
        <w:spacing w:after="0" w:line="100" w:lineRule="exact"/>
        <w:rPr>
          <w:rFonts w:ascii="Arial" w:cs="Arial" w:eastAsia="Arial" w:hAnsi="Arial"/>
          <w:sz w:val="16"/>
          <w:szCs w:val="16"/>
          <w:color w:val="005CB9"/>
        </w:rPr>
      </w:pPr>
    </w:p>
    <w:p>
      <w:pPr>
        <w:ind w:left="1360" w:hanging="288"/>
        <w:spacing w:after="0"/>
        <w:tabs>
          <w:tab w:leader="none" w:pos="1360" w:val="left"/>
        </w:tabs>
        <w:numPr>
          <w:ilvl w:val="0"/>
          <w:numId w:val="53"/>
        </w:numPr>
        <w:rPr>
          <w:rFonts w:ascii="Arial" w:cs="Arial" w:eastAsia="Arial" w:hAnsi="Arial"/>
          <w:sz w:val="16"/>
          <w:szCs w:val="16"/>
          <w:color w:val="005CB9"/>
        </w:rPr>
      </w:pPr>
      <w:r>
        <w:rPr>
          <w:rFonts w:ascii="Arial" w:cs="Arial" w:eastAsia="Arial" w:hAnsi="Arial"/>
          <w:sz w:val="16"/>
          <w:szCs w:val="16"/>
          <w:color w:val="auto"/>
        </w:rPr>
        <w:t>Equity grant, which was made on April 15, 2019. This grant consisted of:</w:t>
      </w:r>
    </w:p>
    <w:p>
      <w:pPr>
        <w:spacing w:after="0" w:line="126" w:lineRule="exact"/>
        <w:rPr>
          <w:rFonts w:ascii="Arial" w:cs="Arial" w:eastAsia="Arial" w:hAnsi="Arial"/>
          <w:sz w:val="16"/>
          <w:szCs w:val="16"/>
          <w:color w:val="005CB9"/>
        </w:rPr>
      </w:pPr>
    </w:p>
    <w:p>
      <w:pPr>
        <w:ind w:left="1700" w:right="200" w:hanging="291"/>
        <w:spacing w:after="0" w:line="260" w:lineRule="auto"/>
        <w:tabs>
          <w:tab w:leader="none" w:pos="1700" w:val="left"/>
        </w:tabs>
        <w:numPr>
          <w:ilvl w:val="1"/>
          <w:numId w:val="53"/>
        </w:numPr>
        <w:rPr>
          <w:rFonts w:ascii="Arial" w:cs="Arial" w:eastAsia="Arial" w:hAnsi="Arial"/>
          <w:sz w:val="16"/>
          <w:szCs w:val="16"/>
          <w:color w:val="005CB9"/>
        </w:rPr>
      </w:pPr>
      <w:r>
        <w:rPr>
          <w:rFonts w:ascii="Arial" w:cs="Arial" w:eastAsia="Arial" w:hAnsi="Arial"/>
          <w:sz w:val="16"/>
          <w:szCs w:val="16"/>
          <w:color w:val="auto"/>
        </w:rPr>
        <w:t>91,543 time-based RSUs, with the number of such units based on $8,775,000 divided by the Company’s 10-day average closing share price prior to April 1, 2019, which vest on April 13, 2021.</w:t>
      </w:r>
    </w:p>
    <w:p>
      <w:pPr>
        <w:spacing w:after="0" w:line="100" w:lineRule="exact"/>
        <w:rPr>
          <w:rFonts w:ascii="Arial" w:cs="Arial" w:eastAsia="Arial" w:hAnsi="Arial"/>
          <w:sz w:val="16"/>
          <w:szCs w:val="16"/>
          <w:color w:val="005CB9"/>
        </w:rPr>
      </w:pPr>
    </w:p>
    <w:p>
      <w:pPr>
        <w:ind w:left="1700" w:right="100" w:hanging="291"/>
        <w:spacing w:after="0" w:line="251" w:lineRule="auto"/>
        <w:tabs>
          <w:tab w:leader="none" w:pos="1700" w:val="left"/>
        </w:tabs>
        <w:numPr>
          <w:ilvl w:val="1"/>
          <w:numId w:val="53"/>
        </w:numPr>
        <w:rPr>
          <w:rFonts w:ascii="Arial" w:cs="Arial" w:eastAsia="Arial" w:hAnsi="Arial"/>
          <w:sz w:val="16"/>
          <w:szCs w:val="16"/>
          <w:color w:val="005CB9"/>
        </w:rPr>
      </w:pPr>
      <w:r>
        <w:rPr>
          <w:rFonts w:ascii="Arial" w:cs="Arial" w:eastAsia="Arial" w:hAnsi="Arial"/>
          <w:sz w:val="16"/>
          <w:szCs w:val="16"/>
          <w:color w:val="auto"/>
        </w:rPr>
        <w:t>223,772 performance-based RSUs (representing the maximum number of performance-based RSUs), with the target number of units of 111,886 based on $10,725,000 divided by the Company’s 10-day average closing share price prior to April 1, 2019. Performance will be measured over the period commencing on April 1, 2019 and ending on March 31, 2021, with units vesting subject to the following pre-defined performance criteria:</w:t>
      </w:r>
    </w:p>
    <w:p>
      <w:pPr>
        <w:spacing w:after="0" w:line="107" w:lineRule="exact"/>
        <w:rPr>
          <w:rFonts w:ascii="Arial" w:cs="Arial" w:eastAsia="Arial" w:hAnsi="Arial"/>
          <w:sz w:val="16"/>
          <w:szCs w:val="16"/>
          <w:color w:val="005CB9"/>
        </w:rPr>
      </w:pPr>
    </w:p>
    <w:p>
      <w:pPr>
        <w:ind w:left="2040" w:hanging="307"/>
        <w:spacing w:after="0"/>
        <w:tabs>
          <w:tab w:leader="none" w:pos="2040" w:val="left"/>
        </w:tabs>
        <w:numPr>
          <w:ilvl w:val="2"/>
          <w:numId w:val="53"/>
        </w:numPr>
        <w:rPr>
          <w:rFonts w:ascii="Arial" w:cs="Arial" w:eastAsia="Arial" w:hAnsi="Arial"/>
          <w:sz w:val="16"/>
          <w:szCs w:val="16"/>
          <w:color w:val="005CB9"/>
        </w:rPr>
      </w:pPr>
      <w:r>
        <w:rPr>
          <w:rFonts w:ascii="Arial" w:cs="Arial" w:eastAsia="Arial" w:hAnsi="Arial"/>
          <w:sz w:val="16"/>
          <w:szCs w:val="16"/>
          <w:color w:val="auto"/>
        </w:rPr>
        <w:t>75% of performance-based RSUs tied to relative TSR performance;</w:t>
      </w:r>
    </w:p>
    <w:p>
      <w:pPr>
        <w:spacing w:after="0" w:line="126" w:lineRule="exact"/>
        <w:rPr>
          <w:rFonts w:ascii="Arial" w:cs="Arial" w:eastAsia="Arial" w:hAnsi="Arial"/>
          <w:sz w:val="16"/>
          <w:szCs w:val="16"/>
          <w:color w:val="005CB9"/>
        </w:rPr>
      </w:pPr>
    </w:p>
    <w:p>
      <w:pPr>
        <w:ind w:left="2040" w:hanging="307"/>
        <w:spacing w:after="0"/>
        <w:tabs>
          <w:tab w:leader="none" w:pos="2040" w:val="left"/>
        </w:tabs>
        <w:numPr>
          <w:ilvl w:val="2"/>
          <w:numId w:val="53"/>
        </w:numPr>
        <w:rPr>
          <w:rFonts w:ascii="Arial" w:cs="Arial" w:eastAsia="Arial" w:hAnsi="Arial"/>
          <w:sz w:val="16"/>
          <w:szCs w:val="16"/>
          <w:color w:val="005CB9"/>
        </w:rPr>
      </w:pPr>
      <w:r>
        <w:rPr>
          <w:rFonts w:ascii="Arial" w:cs="Arial" w:eastAsia="Arial" w:hAnsi="Arial"/>
          <w:sz w:val="16"/>
          <w:szCs w:val="16"/>
          <w:color w:val="auto"/>
        </w:rPr>
        <w:t>12.5% of performance-based RSUs tied to Recurrent Consumer Spending performance; and.</w:t>
      </w:r>
    </w:p>
    <w:p>
      <w:pPr>
        <w:spacing w:after="0" w:line="126" w:lineRule="exact"/>
        <w:rPr>
          <w:rFonts w:ascii="Arial" w:cs="Arial" w:eastAsia="Arial" w:hAnsi="Arial"/>
          <w:sz w:val="16"/>
          <w:szCs w:val="16"/>
          <w:color w:val="005CB9"/>
        </w:rPr>
      </w:pPr>
    </w:p>
    <w:p>
      <w:pPr>
        <w:ind w:left="2040" w:hanging="307"/>
        <w:spacing w:after="0"/>
        <w:tabs>
          <w:tab w:leader="none" w:pos="2040" w:val="left"/>
        </w:tabs>
        <w:numPr>
          <w:ilvl w:val="2"/>
          <w:numId w:val="53"/>
        </w:numPr>
        <w:rPr>
          <w:rFonts w:ascii="Arial" w:cs="Arial" w:eastAsia="Arial" w:hAnsi="Arial"/>
          <w:sz w:val="16"/>
          <w:szCs w:val="16"/>
          <w:color w:val="005CB9"/>
        </w:rPr>
      </w:pPr>
      <w:r>
        <w:rPr>
          <w:rFonts w:ascii="Arial" w:cs="Arial" w:eastAsia="Arial" w:hAnsi="Arial"/>
          <w:sz w:val="16"/>
          <w:szCs w:val="16"/>
          <w:color w:val="auto"/>
        </w:rPr>
        <w:t>12.5% of performance-based RSUs tied to IP Performance.</w:t>
      </w:r>
    </w:p>
    <w:p>
      <w:pPr>
        <w:spacing w:after="0" w:line="126" w:lineRule="exact"/>
        <w:rPr>
          <w:rFonts w:ascii="Arial" w:cs="Arial" w:eastAsia="Arial" w:hAnsi="Arial"/>
          <w:sz w:val="16"/>
          <w:szCs w:val="16"/>
          <w:color w:val="005CB9"/>
        </w:rPr>
      </w:pPr>
    </w:p>
    <w:p>
      <w:pPr>
        <w:ind w:left="1360" w:right="320" w:hanging="288"/>
        <w:spacing w:after="0" w:line="260" w:lineRule="auto"/>
        <w:tabs>
          <w:tab w:leader="none" w:pos="1360" w:val="left"/>
        </w:tabs>
        <w:numPr>
          <w:ilvl w:val="0"/>
          <w:numId w:val="53"/>
        </w:numPr>
        <w:rPr>
          <w:rFonts w:ascii="Arial" w:cs="Arial" w:eastAsia="Arial" w:hAnsi="Arial"/>
          <w:sz w:val="16"/>
          <w:szCs w:val="16"/>
          <w:color w:val="005CB9"/>
        </w:rPr>
      </w:pPr>
      <w:r>
        <w:rPr>
          <w:rFonts w:ascii="Arial" w:cs="Arial" w:eastAsia="Arial" w:hAnsi="Arial"/>
          <w:sz w:val="16"/>
          <w:szCs w:val="16"/>
          <w:color w:val="auto"/>
        </w:rPr>
        <w:t>The Compensation Committee has the ability to make future annual equity grants under the terms of the 2017 Management Agreement, but is under no obligation to make additional equity grants.</w:t>
      </w:r>
    </w:p>
    <w:p>
      <w:pPr>
        <w:spacing w:after="0" w:line="100" w:lineRule="exact"/>
        <w:rPr>
          <w:rFonts w:ascii="Arial" w:cs="Arial" w:eastAsia="Arial" w:hAnsi="Arial"/>
          <w:sz w:val="16"/>
          <w:szCs w:val="16"/>
          <w:color w:val="005CB9"/>
        </w:rPr>
      </w:pPr>
    </w:p>
    <w:p>
      <w:pPr>
        <w:ind w:left="1700" w:right="200" w:hanging="291"/>
        <w:spacing w:after="0" w:line="260" w:lineRule="auto"/>
        <w:tabs>
          <w:tab w:leader="none" w:pos="1700" w:val="left"/>
        </w:tabs>
        <w:numPr>
          <w:ilvl w:val="1"/>
          <w:numId w:val="53"/>
        </w:numPr>
        <w:rPr>
          <w:rFonts w:ascii="Arial" w:cs="Arial" w:eastAsia="Arial" w:hAnsi="Arial"/>
          <w:sz w:val="16"/>
          <w:szCs w:val="16"/>
          <w:color w:val="005CB9"/>
        </w:rPr>
      </w:pPr>
      <w:r>
        <w:rPr>
          <w:rFonts w:ascii="Arial" w:cs="Arial" w:eastAsia="Arial" w:hAnsi="Arial"/>
          <w:sz w:val="16"/>
          <w:szCs w:val="16"/>
          <w:color w:val="auto"/>
        </w:rPr>
        <w:t>On April 13, 2020, the Compensation Committee granted ZelnickMedia an equity grant, with the amount based in part on peer benchmarking. The equity grant consisted of:</w:t>
      </w:r>
    </w:p>
    <w:p>
      <w:pPr>
        <w:spacing w:after="0" w:line="100" w:lineRule="exact"/>
        <w:rPr>
          <w:rFonts w:ascii="Arial" w:cs="Arial" w:eastAsia="Arial" w:hAnsi="Arial"/>
          <w:sz w:val="16"/>
          <w:szCs w:val="16"/>
          <w:color w:val="005CB9"/>
        </w:rPr>
      </w:pPr>
    </w:p>
    <w:p>
      <w:pPr>
        <w:ind w:left="2040" w:right="500" w:hanging="307"/>
        <w:spacing w:after="0" w:line="260" w:lineRule="auto"/>
        <w:tabs>
          <w:tab w:leader="none" w:pos="2040" w:val="left"/>
        </w:tabs>
        <w:numPr>
          <w:ilvl w:val="2"/>
          <w:numId w:val="53"/>
        </w:numPr>
        <w:rPr>
          <w:rFonts w:ascii="Arial" w:cs="Arial" w:eastAsia="Arial" w:hAnsi="Arial"/>
          <w:sz w:val="16"/>
          <w:szCs w:val="16"/>
          <w:color w:val="005CB9"/>
        </w:rPr>
      </w:pPr>
      <w:r>
        <w:rPr>
          <w:rFonts w:ascii="Arial" w:cs="Arial" w:eastAsia="Arial" w:hAnsi="Arial"/>
          <w:sz w:val="16"/>
          <w:szCs w:val="16"/>
          <w:color w:val="auto"/>
        </w:rPr>
        <w:t>79,128 time-based RSUs, with the number of such units based on $8,775,000 divided by the Company’s 10-day average closing share price prior to April 1, 2020, which vest on April 13, 2022.</w:t>
      </w:r>
    </w:p>
    <w:p>
      <w:pPr>
        <w:spacing w:after="0" w:line="100" w:lineRule="exact"/>
        <w:rPr>
          <w:rFonts w:ascii="Arial" w:cs="Arial" w:eastAsia="Arial" w:hAnsi="Arial"/>
          <w:sz w:val="16"/>
          <w:szCs w:val="16"/>
          <w:color w:val="005CB9"/>
        </w:rPr>
      </w:pPr>
    </w:p>
    <w:p>
      <w:pPr>
        <w:ind w:left="2040" w:hanging="307"/>
        <w:spacing w:after="0" w:line="251" w:lineRule="auto"/>
        <w:tabs>
          <w:tab w:leader="none" w:pos="2040" w:val="left"/>
        </w:tabs>
        <w:numPr>
          <w:ilvl w:val="2"/>
          <w:numId w:val="53"/>
        </w:numPr>
        <w:rPr>
          <w:rFonts w:ascii="Arial" w:cs="Arial" w:eastAsia="Arial" w:hAnsi="Arial"/>
          <w:sz w:val="16"/>
          <w:szCs w:val="16"/>
          <w:color w:val="005CB9"/>
        </w:rPr>
      </w:pPr>
      <w:r>
        <w:rPr>
          <w:rFonts w:ascii="Arial" w:cs="Arial" w:eastAsia="Arial" w:hAnsi="Arial"/>
          <w:sz w:val="16"/>
          <w:szCs w:val="16"/>
          <w:color w:val="auto"/>
        </w:rPr>
        <w:t>193,424 performance-based RSUs (representing the maximum number of performance-based RSUs), with the target number of units of 96,712 based on $10,725,000 divided by the Company’s 10-day average closing share price prior to April 1, 2020. Performance will be measured over the period commencing on April 1, 2020 and ending on March 31, 2022, with units vesting subject to the following pre-defined performance criteria:</w:t>
      </w:r>
    </w:p>
    <w:p>
      <w:pPr>
        <w:spacing w:after="0" w:line="107" w:lineRule="exact"/>
        <w:rPr>
          <w:rFonts w:ascii="Arial" w:cs="Arial" w:eastAsia="Arial" w:hAnsi="Arial"/>
          <w:sz w:val="16"/>
          <w:szCs w:val="16"/>
          <w:color w:val="005CB9"/>
        </w:rPr>
      </w:pPr>
    </w:p>
    <w:p>
      <w:pPr>
        <w:ind w:left="2360" w:hanging="289"/>
        <w:spacing w:after="0"/>
        <w:tabs>
          <w:tab w:leader="none" w:pos="2360" w:val="left"/>
        </w:tabs>
        <w:numPr>
          <w:ilvl w:val="3"/>
          <w:numId w:val="53"/>
        </w:numPr>
        <w:rPr>
          <w:rFonts w:ascii="Arial" w:cs="Arial" w:eastAsia="Arial" w:hAnsi="Arial"/>
          <w:sz w:val="16"/>
          <w:szCs w:val="16"/>
          <w:color w:val="005CB9"/>
        </w:rPr>
      </w:pPr>
      <w:r>
        <w:rPr>
          <w:rFonts w:ascii="Arial" w:cs="Arial" w:eastAsia="Arial" w:hAnsi="Arial"/>
          <w:sz w:val="16"/>
          <w:szCs w:val="16"/>
          <w:color w:val="auto"/>
        </w:rPr>
        <w:t>75% of performance-based RSUs tied to relative TSR performance;</w:t>
      </w:r>
    </w:p>
    <w:p>
      <w:pPr>
        <w:spacing w:after="0" w:line="126" w:lineRule="exact"/>
        <w:rPr>
          <w:rFonts w:ascii="Arial" w:cs="Arial" w:eastAsia="Arial" w:hAnsi="Arial"/>
          <w:sz w:val="16"/>
          <w:szCs w:val="16"/>
          <w:color w:val="005CB9"/>
        </w:rPr>
      </w:pPr>
    </w:p>
    <w:p>
      <w:pPr>
        <w:ind w:left="2360" w:hanging="289"/>
        <w:spacing w:after="0"/>
        <w:tabs>
          <w:tab w:leader="none" w:pos="2360" w:val="left"/>
        </w:tabs>
        <w:numPr>
          <w:ilvl w:val="3"/>
          <w:numId w:val="53"/>
        </w:numPr>
        <w:rPr>
          <w:rFonts w:ascii="Arial" w:cs="Arial" w:eastAsia="Arial" w:hAnsi="Arial"/>
          <w:sz w:val="16"/>
          <w:szCs w:val="16"/>
          <w:color w:val="005CB9"/>
        </w:rPr>
      </w:pPr>
      <w:r>
        <w:rPr>
          <w:rFonts w:ascii="Arial" w:cs="Arial" w:eastAsia="Arial" w:hAnsi="Arial"/>
          <w:sz w:val="16"/>
          <w:szCs w:val="16"/>
          <w:color w:val="auto"/>
        </w:rPr>
        <w:t>12.5% of performance-based RSUs tied to Recurrent Consumer Spending performance; and</w:t>
      </w:r>
    </w:p>
    <w:p>
      <w:pPr>
        <w:spacing w:after="0" w:line="126" w:lineRule="exact"/>
        <w:rPr>
          <w:rFonts w:ascii="Arial" w:cs="Arial" w:eastAsia="Arial" w:hAnsi="Arial"/>
          <w:sz w:val="16"/>
          <w:szCs w:val="16"/>
          <w:color w:val="005CB9"/>
        </w:rPr>
      </w:pPr>
    </w:p>
    <w:p>
      <w:pPr>
        <w:ind w:left="2360" w:hanging="289"/>
        <w:spacing w:after="0"/>
        <w:tabs>
          <w:tab w:leader="none" w:pos="2360" w:val="left"/>
        </w:tabs>
        <w:numPr>
          <w:ilvl w:val="3"/>
          <w:numId w:val="53"/>
        </w:numPr>
        <w:rPr>
          <w:rFonts w:ascii="Arial" w:cs="Arial" w:eastAsia="Arial" w:hAnsi="Arial"/>
          <w:sz w:val="16"/>
          <w:szCs w:val="16"/>
          <w:color w:val="005CB9"/>
        </w:rPr>
      </w:pPr>
      <w:r>
        <w:rPr>
          <w:rFonts w:ascii="Arial" w:cs="Arial" w:eastAsia="Arial" w:hAnsi="Arial"/>
          <w:sz w:val="16"/>
          <w:szCs w:val="16"/>
          <w:color w:val="auto"/>
        </w:rPr>
        <w:t>12.5% of performance-based RSUs tied to IP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396240</wp:posOffset>
            </wp:positionV>
            <wp:extent cx="291465" cy="274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40"/>
          </w:cols>
          <w:pgMar w:left="320" w:top="45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660" w:right="360"/>
        <w:spacing w:after="0" w:line="253" w:lineRule="auto"/>
        <w:rPr>
          <w:sz w:val="20"/>
          <w:szCs w:val="20"/>
          <w:color w:val="auto"/>
        </w:rPr>
      </w:pPr>
      <w:r>
        <w:rPr>
          <w:rFonts w:ascii="Arial" w:cs="Arial" w:eastAsia="Arial" w:hAnsi="Arial"/>
          <w:sz w:val="16"/>
          <w:szCs w:val="16"/>
          <w:color w:val="auto"/>
        </w:rPr>
        <w:t>For illustrative purposes only, assuming that ZelnickMedia allocated the maximum 60% of the payments under the 2017 Management Agreement to Mr. Zelnick and the maximum 40% of the payments under the 2017 Management Agreement to Mr. Slatoff, the compensation set forth above to Messrs. Zelnick and Slatoff would be as follows:</w:t>
      </w:r>
    </w:p>
    <w:p>
      <w:pPr>
        <w:spacing w:after="0" w:line="226" w:lineRule="exact"/>
        <w:rPr>
          <w:sz w:val="20"/>
          <w:szCs w:val="20"/>
          <w:color w:val="auto"/>
        </w:rPr>
      </w:pPr>
    </w:p>
    <w:tbl>
      <w:tblPr>
        <w:tblLayout w:type="fixed"/>
        <w:tblInd w:w="67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00" w:type="dxa"/>
            <w:vAlign w:val="bottom"/>
            <w:tcBorders>
              <w:left w:val="single" w:sz="8" w:color="7F7F7F"/>
            </w:tcBorders>
            <w:shd w:val="clear" w:color="auto" w:fill="005CB9"/>
          </w:tcPr>
          <w:p>
            <w:pPr>
              <w:spacing w:after="0"/>
              <w:rPr>
                <w:sz w:val="14"/>
                <w:szCs w:val="14"/>
                <w:color w:val="auto"/>
              </w:rPr>
            </w:pPr>
          </w:p>
        </w:tc>
        <w:tc>
          <w:tcPr>
            <w:tcW w:w="2100" w:type="dxa"/>
            <w:vAlign w:val="bottom"/>
            <w:tcBorders>
              <w:right w:val="single" w:sz="8" w:color="7F7F7F"/>
            </w:tcBorders>
            <w:shd w:val="clear" w:color="auto" w:fill="005CB9"/>
          </w:tcPr>
          <w:p>
            <w:pPr>
              <w:ind w:left="680"/>
              <w:spacing w:after="0"/>
              <w:rPr>
                <w:sz w:val="20"/>
                <w:szCs w:val="20"/>
                <w:color w:val="auto"/>
              </w:rPr>
            </w:pPr>
            <w:r>
              <w:rPr>
                <w:rFonts w:ascii="Arial" w:cs="Arial" w:eastAsia="Arial" w:hAnsi="Arial"/>
                <w:sz w:val="14"/>
                <w:szCs w:val="14"/>
                <w:b w:val="1"/>
                <w:bCs w:val="1"/>
                <w:color w:val="FFFFFF"/>
              </w:rPr>
              <w:t>Minimum</w:t>
            </w:r>
          </w:p>
        </w:tc>
        <w:tc>
          <w:tcPr>
            <w:tcW w:w="180" w:type="dxa"/>
            <w:vAlign w:val="bottom"/>
            <w:shd w:val="clear" w:color="auto" w:fill="005CB9"/>
          </w:tcPr>
          <w:p>
            <w:pPr>
              <w:spacing w:after="0"/>
              <w:rPr>
                <w:sz w:val="14"/>
                <w:szCs w:val="14"/>
                <w:color w:val="auto"/>
              </w:rPr>
            </w:pPr>
          </w:p>
        </w:tc>
        <w:tc>
          <w:tcPr>
            <w:tcW w:w="2100" w:type="dxa"/>
            <w:vAlign w:val="bottom"/>
            <w:tcBorders>
              <w:right w:val="single" w:sz="8" w:color="7F7F7F"/>
            </w:tcBorders>
            <w:shd w:val="clear" w:color="auto" w:fill="005CB9"/>
          </w:tcPr>
          <w:p>
            <w:pPr>
              <w:ind w:left="780"/>
              <w:spacing w:after="0"/>
              <w:rPr>
                <w:sz w:val="20"/>
                <w:szCs w:val="20"/>
                <w:color w:val="auto"/>
              </w:rPr>
            </w:pPr>
            <w:r>
              <w:rPr>
                <w:rFonts w:ascii="Arial" w:cs="Arial" w:eastAsia="Arial" w:hAnsi="Arial"/>
                <w:sz w:val="14"/>
                <w:szCs w:val="14"/>
                <w:b w:val="1"/>
                <w:bCs w:val="1"/>
                <w:color w:val="FFFFFF"/>
              </w:rPr>
              <w:t>Target</w:t>
            </w:r>
          </w:p>
        </w:tc>
        <w:tc>
          <w:tcPr>
            <w:tcW w:w="180" w:type="dxa"/>
            <w:vAlign w:val="bottom"/>
            <w:shd w:val="clear" w:color="auto" w:fill="005CB9"/>
          </w:tcPr>
          <w:p>
            <w:pPr>
              <w:spacing w:after="0"/>
              <w:rPr>
                <w:sz w:val="14"/>
                <w:szCs w:val="14"/>
                <w:color w:val="auto"/>
              </w:rPr>
            </w:pPr>
          </w:p>
        </w:tc>
        <w:tc>
          <w:tcPr>
            <w:tcW w:w="2080" w:type="dxa"/>
            <w:vAlign w:val="bottom"/>
            <w:shd w:val="clear" w:color="auto" w:fill="005CB9"/>
          </w:tcPr>
          <w:p>
            <w:pPr>
              <w:ind w:left="640"/>
              <w:spacing w:after="0"/>
              <w:rPr>
                <w:sz w:val="20"/>
                <w:szCs w:val="20"/>
                <w:color w:val="auto"/>
              </w:rPr>
            </w:pPr>
            <w:r>
              <w:rPr>
                <w:rFonts w:ascii="Arial" w:cs="Arial" w:eastAsia="Arial" w:hAnsi="Arial"/>
                <w:sz w:val="14"/>
                <w:szCs w:val="14"/>
                <w:b w:val="1"/>
                <w:bCs w:val="1"/>
                <w:color w:val="FFFFFF"/>
              </w:rPr>
              <w:t>Maximum</w:t>
            </w:r>
          </w:p>
        </w:tc>
      </w:tr>
      <w:tr>
        <w:trPr>
          <w:trHeight w:val="113"/>
        </w:trPr>
        <w:tc>
          <w:tcPr>
            <w:tcW w:w="3080" w:type="dxa"/>
            <w:vAlign w:val="bottom"/>
          </w:tcPr>
          <w:p>
            <w:pPr>
              <w:spacing w:after="0"/>
              <w:rPr>
                <w:sz w:val="9"/>
                <w:szCs w:val="9"/>
                <w:color w:val="auto"/>
              </w:rPr>
            </w:pPr>
          </w:p>
        </w:tc>
        <w:tc>
          <w:tcPr>
            <w:tcW w:w="200" w:type="dxa"/>
            <w:vAlign w:val="bottom"/>
            <w:tcBorders>
              <w:left w:val="single" w:sz="8" w:color="7F7F7F"/>
            </w:tcBorders>
            <w:shd w:val="clear" w:color="auto" w:fill="EAEAEA"/>
          </w:tcPr>
          <w:p>
            <w:pPr>
              <w:ind w:left="100"/>
              <w:spacing w:after="0" w:line="113" w:lineRule="exact"/>
              <w:rPr>
                <w:sz w:val="20"/>
                <w:szCs w:val="20"/>
                <w:color w:val="auto"/>
              </w:rPr>
            </w:pPr>
            <w:r>
              <w:rPr>
                <w:rFonts w:ascii="Arial" w:cs="Arial" w:eastAsia="Arial" w:hAnsi="Arial"/>
                <w:sz w:val="13"/>
                <w:szCs w:val="13"/>
                <w:b w:val="1"/>
                <w:bCs w:val="1"/>
                <w:color w:val="005CB9"/>
              </w:rPr>
              <w:t>•</w:t>
            </w:r>
          </w:p>
        </w:tc>
        <w:tc>
          <w:tcPr>
            <w:tcW w:w="2100" w:type="dxa"/>
            <w:vAlign w:val="bottom"/>
            <w:tcBorders>
              <w:right w:val="single" w:sz="8" w:color="7F7F7F"/>
            </w:tcBorders>
            <w:shd w:val="clear" w:color="auto" w:fill="EAEAEA"/>
          </w:tcPr>
          <w:p>
            <w:pPr>
              <w:ind w:left="60"/>
              <w:spacing w:after="0" w:line="113" w:lineRule="exact"/>
              <w:rPr>
                <w:sz w:val="20"/>
                <w:szCs w:val="20"/>
                <w:color w:val="auto"/>
              </w:rPr>
            </w:pPr>
            <w:r>
              <w:rPr>
                <w:rFonts w:ascii="Arial" w:cs="Arial" w:eastAsia="Arial" w:hAnsi="Arial"/>
                <w:sz w:val="13"/>
                <w:szCs w:val="13"/>
                <w:b w:val="1"/>
                <w:bCs w:val="1"/>
                <w:color w:val="auto"/>
              </w:rPr>
              <w:t>£80% Adjusted EBITDA Goal</w:t>
            </w:r>
          </w:p>
        </w:tc>
        <w:tc>
          <w:tcPr>
            <w:tcW w:w="180" w:type="dxa"/>
            <w:vAlign w:val="bottom"/>
            <w:shd w:val="clear" w:color="auto" w:fill="EAEAEA"/>
          </w:tcPr>
          <w:p>
            <w:pPr>
              <w:ind w:left="80"/>
              <w:spacing w:after="0" w:line="113" w:lineRule="exact"/>
              <w:rPr>
                <w:sz w:val="20"/>
                <w:szCs w:val="20"/>
                <w:color w:val="auto"/>
              </w:rPr>
            </w:pPr>
            <w:r>
              <w:rPr>
                <w:rFonts w:ascii="Arial" w:cs="Arial" w:eastAsia="Arial" w:hAnsi="Arial"/>
                <w:sz w:val="13"/>
                <w:szCs w:val="13"/>
                <w:b w:val="1"/>
                <w:bCs w:val="1"/>
                <w:color w:val="005CB9"/>
              </w:rPr>
              <w:t>•</w:t>
            </w:r>
          </w:p>
        </w:tc>
        <w:tc>
          <w:tcPr>
            <w:tcW w:w="2100" w:type="dxa"/>
            <w:vAlign w:val="bottom"/>
            <w:tcBorders>
              <w:right w:val="single" w:sz="8" w:color="7F7F7F"/>
            </w:tcBorders>
            <w:shd w:val="clear" w:color="auto" w:fill="EAEAEA"/>
          </w:tcPr>
          <w:p>
            <w:pPr>
              <w:ind w:left="60"/>
              <w:spacing w:after="0" w:line="113" w:lineRule="exact"/>
              <w:rPr>
                <w:sz w:val="20"/>
                <w:szCs w:val="20"/>
                <w:color w:val="auto"/>
              </w:rPr>
            </w:pPr>
            <w:r>
              <w:rPr>
                <w:rFonts w:ascii="Arial" w:cs="Arial" w:eastAsia="Arial" w:hAnsi="Arial"/>
                <w:sz w:val="13"/>
                <w:szCs w:val="13"/>
                <w:b w:val="1"/>
                <w:bCs w:val="1"/>
                <w:color w:val="auto"/>
              </w:rPr>
              <w:t>100% Adjusted EBITDA Goal</w:t>
            </w:r>
          </w:p>
        </w:tc>
        <w:tc>
          <w:tcPr>
            <w:tcW w:w="180" w:type="dxa"/>
            <w:vAlign w:val="bottom"/>
            <w:shd w:val="clear" w:color="auto" w:fill="EAEAEA"/>
          </w:tcPr>
          <w:p>
            <w:pPr>
              <w:ind w:left="80"/>
              <w:spacing w:after="0" w:line="113" w:lineRule="exact"/>
              <w:rPr>
                <w:sz w:val="20"/>
                <w:szCs w:val="20"/>
                <w:color w:val="auto"/>
              </w:rPr>
            </w:pPr>
            <w:r>
              <w:rPr>
                <w:rFonts w:ascii="Arial" w:cs="Arial" w:eastAsia="Arial" w:hAnsi="Arial"/>
                <w:sz w:val="13"/>
                <w:szCs w:val="13"/>
                <w:b w:val="1"/>
                <w:bCs w:val="1"/>
                <w:color w:val="005CB9"/>
              </w:rPr>
              <w:t>•</w:t>
            </w:r>
          </w:p>
        </w:tc>
        <w:tc>
          <w:tcPr>
            <w:tcW w:w="2080" w:type="dxa"/>
            <w:vAlign w:val="bottom"/>
            <w:shd w:val="clear" w:color="auto" w:fill="EAEAEA"/>
          </w:tcPr>
          <w:p>
            <w:pPr>
              <w:ind w:left="60"/>
              <w:spacing w:after="0" w:line="113" w:lineRule="exact"/>
              <w:rPr>
                <w:sz w:val="20"/>
                <w:szCs w:val="20"/>
                <w:color w:val="auto"/>
              </w:rPr>
            </w:pPr>
            <w:r>
              <w:rPr>
                <w:rFonts w:ascii="Arial" w:cs="Arial" w:eastAsia="Arial" w:hAnsi="Arial"/>
                <w:sz w:val="13"/>
                <w:szCs w:val="13"/>
                <w:b w:val="1"/>
                <w:bCs w:val="1"/>
                <w:color w:val="auto"/>
              </w:rPr>
              <w:t>150% Adjusted EBITDA Goal</w:t>
            </w:r>
          </w:p>
        </w:tc>
      </w:tr>
      <w:tr>
        <w:trPr>
          <w:trHeight w:val="135"/>
        </w:trPr>
        <w:tc>
          <w:tcPr>
            <w:tcW w:w="3080" w:type="dxa"/>
            <w:vAlign w:val="bottom"/>
          </w:tcPr>
          <w:p>
            <w:pPr>
              <w:spacing w:after="0"/>
              <w:rPr>
                <w:sz w:val="11"/>
                <w:szCs w:val="11"/>
                <w:color w:val="auto"/>
              </w:rPr>
            </w:pPr>
          </w:p>
        </w:tc>
        <w:tc>
          <w:tcPr>
            <w:tcW w:w="2300" w:type="dxa"/>
            <w:vAlign w:val="bottom"/>
            <w:tcBorders>
              <w:left w:val="single" w:sz="8" w:color="7F7F7F"/>
              <w:right w:val="single" w:sz="8" w:color="7F7F7F"/>
            </w:tcBorders>
            <w:gridSpan w:val="2"/>
            <w:shd w:val="clear" w:color="auto" w:fill="EAEAEA"/>
          </w:tcPr>
          <w:p>
            <w:pPr>
              <w:ind w:left="100"/>
              <w:spacing w:after="0" w:line="135" w:lineRule="exact"/>
              <w:rPr>
                <w:sz w:val="20"/>
                <w:szCs w:val="20"/>
                <w:color w:val="auto"/>
              </w:rPr>
            </w:pPr>
            <w:r>
              <w:rPr>
                <w:rFonts w:ascii="Arial" w:cs="Arial" w:eastAsia="Arial" w:hAnsi="Arial"/>
                <w:sz w:val="13"/>
                <w:szCs w:val="13"/>
                <w:b w:val="1"/>
                <w:bCs w:val="1"/>
                <w:color w:val="005CB9"/>
              </w:rPr>
              <w:t xml:space="preserve">•  </w:t>
            </w:r>
            <w:r>
              <w:rPr>
                <w:rFonts w:ascii="Arial" w:cs="Arial" w:eastAsia="Arial" w:hAnsi="Arial"/>
                <w:sz w:val="13"/>
                <w:szCs w:val="13"/>
                <w:b w:val="1"/>
                <w:bCs w:val="1"/>
                <w:color w:val="000000"/>
              </w:rPr>
              <w:t>&lt;40</w:t>
            </w:r>
            <w:r>
              <w:rPr>
                <w:rFonts w:ascii="Arial" w:cs="Arial" w:eastAsia="Arial" w:hAnsi="Arial"/>
                <w:sz w:val="10"/>
                <w:szCs w:val="10"/>
                <w:b w:val="1"/>
                <w:bCs w:val="1"/>
                <w:color w:val="000000"/>
              </w:rPr>
              <w:t>th</w:t>
            </w:r>
            <w:r>
              <w:rPr>
                <w:rFonts w:ascii="Arial" w:cs="Arial" w:eastAsia="Arial" w:hAnsi="Arial"/>
                <w:sz w:val="13"/>
                <w:szCs w:val="13"/>
                <w:b w:val="1"/>
                <w:bCs w:val="1"/>
                <w:color w:val="005CB9"/>
              </w:rPr>
              <w:t xml:space="preserve"> </w:t>
            </w:r>
            <w:r>
              <w:rPr>
                <w:rFonts w:ascii="Arial" w:cs="Arial" w:eastAsia="Arial" w:hAnsi="Arial"/>
                <w:sz w:val="13"/>
                <w:szCs w:val="13"/>
                <w:b w:val="1"/>
                <w:bCs w:val="1"/>
                <w:color w:val="000000"/>
              </w:rPr>
              <w:t>Percentile Relative TSR</w:t>
            </w:r>
          </w:p>
        </w:tc>
        <w:tc>
          <w:tcPr>
            <w:tcW w:w="2280" w:type="dxa"/>
            <w:vAlign w:val="bottom"/>
            <w:tcBorders>
              <w:right w:val="single" w:sz="8" w:color="7F7F7F"/>
            </w:tcBorders>
            <w:gridSpan w:val="2"/>
            <w:shd w:val="clear" w:color="auto" w:fill="EAEAEA"/>
          </w:tcPr>
          <w:p>
            <w:pPr>
              <w:ind w:left="80"/>
              <w:spacing w:after="0" w:line="135" w:lineRule="exact"/>
              <w:rPr>
                <w:sz w:val="20"/>
                <w:szCs w:val="20"/>
                <w:color w:val="auto"/>
              </w:rPr>
            </w:pPr>
            <w:r>
              <w:rPr>
                <w:rFonts w:ascii="Arial" w:cs="Arial" w:eastAsia="Arial" w:hAnsi="Arial"/>
                <w:sz w:val="13"/>
                <w:szCs w:val="13"/>
                <w:b w:val="1"/>
                <w:bCs w:val="1"/>
                <w:color w:val="005CB9"/>
              </w:rPr>
              <w:t xml:space="preserve">•  </w:t>
            </w:r>
            <w:r>
              <w:rPr>
                <w:rFonts w:ascii="Arial" w:cs="Arial" w:eastAsia="Arial" w:hAnsi="Arial"/>
                <w:sz w:val="13"/>
                <w:szCs w:val="13"/>
                <w:b w:val="1"/>
                <w:bCs w:val="1"/>
                <w:color w:val="000000"/>
              </w:rPr>
              <w:t>50</w:t>
            </w:r>
            <w:r>
              <w:rPr>
                <w:rFonts w:ascii="Arial" w:cs="Arial" w:eastAsia="Arial" w:hAnsi="Arial"/>
                <w:sz w:val="10"/>
                <w:szCs w:val="10"/>
                <w:b w:val="1"/>
                <w:bCs w:val="1"/>
                <w:color w:val="000000"/>
              </w:rPr>
              <w:t>th</w:t>
            </w:r>
            <w:r>
              <w:rPr>
                <w:rFonts w:ascii="Arial" w:cs="Arial" w:eastAsia="Arial" w:hAnsi="Arial"/>
                <w:sz w:val="13"/>
                <w:szCs w:val="13"/>
                <w:b w:val="1"/>
                <w:bCs w:val="1"/>
                <w:color w:val="005CB9"/>
              </w:rPr>
              <w:t xml:space="preserve"> </w:t>
            </w:r>
            <w:r>
              <w:rPr>
                <w:rFonts w:ascii="Arial" w:cs="Arial" w:eastAsia="Arial" w:hAnsi="Arial"/>
                <w:sz w:val="13"/>
                <w:szCs w:val="13"/>
                <w:b w:val="1"/>
                <w:bCs w:val="1"/>
                <w:color w:val="000000"/>
              </w:rPr>
              <w:t>Percentile Relative TSR</w:t>
            </w:r>
          </w:p>
        </w:tc>
        <w:tc>
          <w:tcPr>
            <w:tcW w:w="2260" w:type="dxa"/>
            <w:vAlign w:val="bottom"/>
            <w:gridSpan w:val="2"/>
            <w:shd w:val="clear" w:color="auto" w:fill="EAEAEA"/>
          </w:tcPr>
          <w:p>
            <w:pPr>
              <w:ind w:left="80"/>
              <w:spacing w:after="0" w:line="135" w:lineRule="exact"/>
              <w:rPr>
                <w:sz w:val="20"/>
                <w:szCs w:val="20"/>
                <w:color w:val="auto"/>
              </w:rPr>
            </w:pPr>
            <w:r>
              <w:rPr>
                <w:rFonts w:ascii="Arial" w:cs="Arial" w:eastAsia="Arial" w:hAnsi="Arial"/>
                <w:sz w:val="13"/>
                <w:szCs w:val="13"/>
                <w:b w:val="1"/>
                <w:bCs w:val="1"/>
                <w:color w:val="005CB9"/>
              </w:rPr>
              <w:t xml:space="preserve">•  </w:t>
            </w:r>
            <w:r>
              <w:rPr>
                <w:rFonts w:ascii="Arial" w:cs="Arial" w:eastAsia="Arial" w:hAnsi="Arial"/>
                <w:sz w:val="13"/>
                <w:szCs w:val="13"/>
                <w:b w:val="1"/>
                <w:bCs w:val="1"/>
                <w:color w:val="000000"/>
              </w:rPr>
              <w:t>75</w:t>
            </w:r>
            <w:r>
              <w:rPr>
                <w:rFonts w:ascii="Arial" w:cs="Arial" w:eastAsia="Arial" w:hAnsi="Arial"/>
                <w:sz w:val="10"/>
                <w:szCs w:val="10"/>
                <w:b w:val="1"/>
                <w:bCs w:val="1"/>
                <w:color w:val="000000"/>
              </w:rPr>
              <w:t>th</w:t>
            </w:r>
            <w:r>
              <w:rPr>
                <w:rFonts w:ascii="Arial" w:cs="Arial" w:eastAsia="Arial" w:hAnsi="Arial"/>
                <w:sz w:val="13"/>
                <w:szCs w:val="13"/>
                <w:b w:val="1"/>
                <w:bCs w:val="1"/>
                <w:color w:val="005CB9"/>
              </w:rPr>
              <w:t xml:space="preserve"> </w:t>
            </w:r>
            <w:r>
              <w:rPr>
                <w:rFonts w:ascii="Arial" w:cs="Arial" w:eastAsia="Arial" w:hAnsi="Arial"/>
                <w:sz w:val="13"/>
                <w:szCs w:val="13"/>
                <w:b w:val="1"/>
                <w:bCs w:val="1"/>
                <w:color w:val="000000"/>
              </w:rPr>
              <w:t>Percentile Relative TSR</w:t>
            </w:r>
          </w:p>
        </w:tc>
      </w:tr>
      <w:tr>
        <w:trPr>
          <w:trHeight w:val="135"/>
        </w:trPr>
        <w:tc>
          <w:tcPr>
            <w:tcW w:w="3080" w:type="dxa"/>
            <w:vAlign w:val="bottom"/>
          </w:tcPr>
          <w:p>
            <w:pPr>
              <w:spacing w:after="0"/>
              <w:rPr>
                <w:sz w:val="11"/>
                <w:szCs w:val="11"/>
                <w:color w:val="auto"/>
              </w:rPr>
            </w:pPr>
          </w:p>
        </w:tc>
        <w:tc>
          <w:tcPr>
            <w:tcW w:w="200" w:type="dxa"/>
            <w:vAlign w:val="bottom"/>
            <w:tcBorders>
              <w:left w:val="single" w:sz="8" w:color="7F7F7F"/>
            </w:tcBorders>
            <w:shd w:val="clear" w:color="auto" w:fill="EAEAEA"/>
          </w:tcPr>
          <w:p>
            <w:pPr>
              <w:ind w:left="100"/>
              <w:spacing w:after="0" w:line="135" w:lineRule="exact"/>
              <w:rPr>
                <w:sz w:val="20"/>
                <w:szCs w:val="20"/>
                <w:color w:val="auto"/>
              </w:rPr>
            </w:pPr>
            <w:r>
              <w:rPr>
                <w:rFonts w:ascii="Arial" w:cs="Arial" w:eastAsia="Arial" w:hAnsi="Arial"/>
                <w:sz w:val="13"/>
                <w:szCs w:val="13"/>
                <w:b w:val="1"/>
                <w:bCs w:val="1"/>
                <w:color w:val="005CB9"/>
              </w:rPr>
              <w:t>•</w:t>
            </w:r>
          </w:p>
        </w:tc>
        <w:tc>
          <w:tcPr>
            <w:tcW w:w="2100" w:type="dxa"/>
            <w:vAlign w:val="bottom"/>
            <w:tcBorders>
              <w:right w:val="single" w:sz="8" w:color="7F7F7F"/>
            </w:tcBorders>
            <w:shd w:val="clear" w:color="auto" w:fill="EAEAEA"/>
          </w:tcPr>
          <w:p>
            <w:pPr>
              <w:ind w:left="60"/>
              <w:spacing w:after="0" w:line="135" w:lineRule="exact"/>
              <w:rPr>
                <w:sz w:val="20"/>
                <w:szCs w:val="20"/>
                <w:color w:val="auto"/>
              </w:rPr>
            </w:pPr>
            <w:r>
              <w:rPr>
                <w:rFonts w:ascii="Arial" w:cs="Arial" w:eastAsia="Arial" w:hAnsi="Arial"/>
                <w:sz w:val="13"/>
                <w:szCs w:val="13"/>
                <w:b w:val="1"/>
                <w:bCs w:val="1"/>
                <w:color w:val="auto"/>
              </w:rPr>
              <w:t>Min IP Goal</w:t>
            </w:r>
          </w:p>
        </w:tc>
        <w:tc>
          <w:tcPr>
            <w:tcW w:w="180" w:type="dxa"/>
            <w:vAlign w:val="bottom"/>
            <w:shd w:val="clear" w:color="auto" w:fill="EAEAEA"/>
          </w:tcPr>
          <w:p>
            <w:pPr>
              <w:ind w:left="80"/>
              <w:spacing w:after="0" w:line="135" w:lineRule="exact"/>
              <w:rPr>
                <w:sz w:val="20"/>
                <w:szCs w:val="20"/>
                <w:color w:val="auto"/>
              </w:rPr>
            </w:pPr>
            <w:r>
              <w:rPr>
                <w:rFonts w:ascii="Arial" w:cs="Arial" w:eastAsia="Arial" w:hAnsi="Arial"/>
                <w:sz w:val="13"/>
                <w:szCs w:val="13"/>
                <w:b w:val="1"/>
                <w:bCs w:val="1"/>
                <w:color w:val="005CB9"/>
              </w:rPr>
              <w:t>•</w:t>
            </w:r>
          </w:p>
        </w:tc>
        <w:tc>
          <w:tcPr>
            <w:tcW w:w="2100" w:type="dxa"/>
            <w:vAlign w:val="bottom"/>
            <w:tcBorders>
              <w:right w:val="single" w:sz="8" w:color="7F7F7F"/>
            </w:tcBorders>
            <w:shd w:val="clear" w:color="auto" w:fill="EAEAEA"/>
          </w:tcPr>
          <w:p>
            <w:pPr>
              <w:ind w:left="60"/>
              <w:spacing w:after="0" w:line="135" w:lineRule="exact"/>
              <w:rPr>
                <w:sz w:val="20"/>
                <w:szCs w:val="20"/>
                <w:color w:val="auto"/>
              </w:rPr>
            </w:pPr>
            <w:r>
              <w:rPr>
                <w:rFonts w:ascii="Arial" w:cs="Arial" w:eastAsia="Arial" w:hAnsi="Arial"/>
                <w:sz w:val="13"/>
                <w:szCs w:val="13"/>
                <w:b w:val="1"/>
                <w:bCs w:val="1"/>
                <w:color w:val="auto"/>
              </w:rPr>
              <w:t>Target IP Goal</w:t>
            </w:r>
          </w:p>
        </w:tc>
        <w:tc>
          <w:tcPr>
            <w:tcW w:w="180" w:type="dxa"/>
            <w:vAlign w:val="bottom"/>
            <w:shd w:val="clear" w:color="auto" w:fill="EAEAEA"/>
          </w:tcPr>
          <w:p>
            <w:pPr>
              <w:ind w:left="80"/>
              <w:spacing w:after="0" w:line="135" w:lineRule="exact"/>
              <w:rPr>
                <w:sz w:val="20"/>
                <w:szCs w:val="20"/>
                <w:color w:val="auto"/>
              </w:rPr>
            </w:pPr>
            <w:r>
              <w:rPr>
                <w:rFonts w:ascii="Arial" w:cs="Arial" w:eastAsia="Arial" w:hAnsi="Arial"/>
                <w:sz w:val="13"/>
                <w:szCs w:val="13"/>
                <w:b w:val="1"/>
                <w:bCs w:val="1"/>
                <w:color w:val="005CB9"/>
              </w:rPr>
              <w:t>•</w:t>
            </w:r>
          </w:p>
        </w:tc>
        <w:tc>
          <w:tcPr>
            <w:tcW w:w="2080" w:type="dxa"/>
            <w:vAlign w:val="bottom"/>
            <w:shd w:val="clear" w:color="auto" w:fill="EAEAEA"/>
          </w:tcPr>
          <w:p>
            <w:pPr>
              <w:ind w:left="60"/>
              <w:spacing w:after="0" w:line="135" w:lineRule="exact"/>
              <w:rPr>
                <w:sz w:val="20"/>
                <w:szCs w:val="20"/>
                <w:color w:val="auto"/>
              </w:rPr>
            </w:pPr>
            <w:r>
              <w:rPr>
                <w:rFonts w:ascii="Arial" w:cs="Arial" w:eastAsia="Arial" w:hAnsi="Arial"/>
                <w:sz w:val="13"/>
                <w:szCs w:val="13"/>
                <w:b w:val="1"/>
                <w:bCs w:val="1"/>
                <w:color w:val="auto"/>
              </w:rPr>
              <w:t>Max IP Goal</w:t>
            </w:r>
          </w:p>
        </w:tc>
      </w:tr>
      <w:tr>
        <w:trPr>
          <w:trHeight w:val="135"/>
        </w:trPr>
        <w:tc>
          <w:tcPr>
            <w:tcW w:w="3080" w:type="dxa"/>
            <w:vAlign w:val="bottom"/>
          </w:tcPr>
          <w:p>
            <w:pPr>
              <w:spacing w:after="0"/>
              <w:rPr>
                <w:sz w:val="11"/>
                <w:szCs w:val="11"/>
                <w:color w:val="auto"/>
              </w:rPr>
            </w:pPr>
          </w:p>
        </w:tc>
        <w:tc>
          <w:tcPr>
            <w:tcW w:w="200" w:type="dxa"/>
            <w:vAlign w:val="bottom"/>
            <w:tcBorders>
              <w:left w:val="single" w:sz="8" w:color="7F7F7F"/>
            </w:tcBorders>
            <w:shd w:val="clear" w:color="auto" w:fill="EAEAEA"/>
          </w:tcPr>
          <w:p>
            <w:pPr>
              <w:ind w:left="100"/>
              <w:spacing w:after="0" w:line="135" w:lineRule="exact"/>
              <w:rPr>
                <w:sz w:val="20"/>
                <w:szCs w:val="20"/>
                <w:color w:val="auto"/>
              </w:rPr>
            </w:pPr>
            <w:r>
              <w:rPr>
                <w:rFonts w:ascii="Arial" w:cs="Arial" w:eastAsia="Arial" w:hAnsi="Arial"/>
                <w:sz w:val="13"/>
                <w:szCs w:val="13"/>
                <w:b w:val="1"/>
                <w:bCs w:val="1"/>
                <w:color w:val="005CB9"/>
              </w:rPr>
              <w:t>•</w:t>
            </w:r>
          </w:p>
        </w:tc>
        <w:tc>
          <w:tcPr>
            <w:tcW w:w="2100" w:type="dxa"/>
            <w:vAlign w:val="bottom"/>
            <w:tcBorders>
              <w:right w:val="single" w:sz="8" w:color="7F7F7F"/>
            </w:tcBorders>
            <w:shd w:val="clear" w:color="auto" w:fill="EAEAEA"/>
          </w:tcPr>
          <w:p>
            <w:pPr>
              <w:ind w:left="60"/>
              <w:spacing w:after="0" w:line="135" w:lineRule="exact"/>
              <w:rPr>
                <w:sz w:val="20"/>
                <w:szCs w:val="20"/>
                <w:color w:val="auto"/>
              </w:rPr>
            </w:pPr>
            <w:r>
              <w:rPr>
                <w:rFonts w:ascii="Arial" w:cs="Arial" w:eastAsia="Arial" w:hAnsi="Arial"/>
                <w:sz w:val="13"/>
                <w:szCs w:val="13"/>
                <w:b w:val="1"/>
                <w:bCs w:val="1"/>
                <w:color w:val="auto"/>
              </w:rPr>
              <w:t>Min Recurrent Consumer</w:t>
            </w:r>
          </w:p>
        </w:tc>
        <w:tc>
          <w:tcPr>
            <w:tcW w:w="180" w:type="dxa"/>
            <w:vAlign w:val="bottom"/>
            <w:shd w:val="clear" w:color="auto" w:fill="EAEAEA"/>
          </w:tcPr>
          <w:p>
            <w:pPr>
              <w:ind w:left="80"/>
              <w:spacing w:after="0" w:line="135" w:lineRule="exact"/>
              <w:rPr>
                <w:sz w:val="20"/>
                <w:szCs w:val="20"/>
                <w:color w:val="auto"/>
              </w:rPr>
            </w:pPr>
            <w:r>
              <w:rPr>
                <w:rFonts w:ascii="Arial" w:cs="Arial" w:eastAsia="Arial" w:hAnsi="Arial"/>
                <w:sz w:val="13"/>
                <w:szCs w:val="13"/>
                <w:b w:val="1"/>
                <w:bCs w:val="1"/>
                <w:color w:val="005CB9"/>
              </w:rPr>
              <w:t>•</w:t>
            </w:r>
          </w:p>
        </w:tc>
        <w:tc>
          <w:tcPr>
            <w:tcW w:w="2100" w:type="dxa"/>
            <w:vAlign w:val="bottom"/>
            <w:tcBorders>
              <w:right w:val="single" w:sz="8" w:color="7F7F7F"/>
            </w:tcBorders>
            <w:shd w:val="clear" w:color="auto" w:fill="EAEAEA"/>
          </w:tcPr>
          <w:p>
            <w:pPr>
              <w:ind w:left="60"/>
              <w:spacing w:after="0" w:line="135" w:lineRule="exact"/>
              <w:rPr>
                <w:sz w:val="20"/>
                <w:szCs w:val="20"/>
                <w:color w:val="auto"/>
              </w:rPr>
            </w:pPr>
            <w:r>
              <w:rPr>
                <w:rFonts w:ascii="Arial" w:cs="Arial" w:eastAsia="Arial" w:hAnsi="Arial"/>
                <w:sz w:val="13"/>
                <w:szCs w:val="13"/>
                <w:b w:val="1"/>
                <w:bCs w:val="1"/>
                <w:color w:val="auto"/>
              </w:rPr>
              <w:t>Target Recurrent Consumer</w:t>
            </w:r>
          </w:p>
        </w:tc>
        <w:tc>
          <w:tcPr>
            <w:tcW w:w="180" w:type="dxa"/>
            <w:vAlign w:val="bottom"/>
            <w:shd w:val="clear" w:color="auto" w:fill="EAEAEA"/>
          </w:tcPr>
          <w:p>
            <w:pPr>
              <w:ind w:left="80"/>
              <w:spacing w:after="0" w:line="135" w:lineRule="exact"/>
              <w:rPr>
                <w:sz w:val="20"/>
                <w:szCs w:val="20"/>
                <w:color w:val="auto"/>
              </w:rPr>
            </w:pPr>
            <w:r>
              <w:rPr>
                <w:rFonts w:ascii="Arial" w:cs="Arial" w:eastAsia="Arial" w:hAnsi="Arial"/>
                <w:sz w:val="13"/>
                <w:szCs w:val="13"/>
                <w:b w:val="1"/>
                <w:bCs w:val="1"/>
                <w:color w:val="005CB9"/>
              </w:rPr>
              <w:t>•</w:t>
            </w:r>
          </w:p>
        </w:tc>
        <w:tc>
          <w:tcPr>
            <w:tcW w:w="2080" w:type="dxa"/>
            <w:vAlign w:val="bottom"/>
            <w:shd w:val="clear" w:color="auto" w:fill="EAEAEA"/>
          </w:tcPr>
          <w:p>
            <w:pPr>
              <w:ind w:left="60"/>
              <w:spacing w:after="0" w:line="135" w:lineRule="exact"/>
              <w:rPr>
                <w:sz w:val="20"/>
                <w:szCs w:val="20"/>
                <w:color w:val="auto"/>
              </w:rPr>
            </w:pPr>
            <w:r>
              <w:rPr>
                <w:rFonts w:ascii="Arial" w:cs="Arial" w:eastAsia="Arial" w:hAnsi="Arial"/>
                <w:sz w:val="13"/>
                <w:szCs w:val="13"/>
                <w:b w:val="1"/>
                <w:bCs w:val="1"/>
                <w:color w:val="auto"/>
              </w:rPr>
              <w:t>Max Recurrent Consumer</w:t>
            </w:r>
          </w:p>
        </w:tc>
      </w:tr>
      <w:tr>
        <w:trPr>
          <w:trHeight w:val="169"/>
        </w:trPr>
        <w:tc>
          <w:tcPr>
            <w:tcW w:w="3080" w:type="dxa"/>
            <w:vAlign w:val="bottom"/>
            <w:tcBorders>
              <w:bottom w:val="single" w:sz="8" w:color="7F7F7F"/>
            </w:tcBorders>
          </w:tcPr>
          <w:p>
            <w:pPr>
              <w:spacing w:after="0"/>
              <w:rPr>
                <w:sz w:val="14"/>
                <w:szCs w:val="14"/>
                <w:color w:val="auto"/>
              </w:rPr>
            </w:pPr>
          </w:p>
        </w:tc>
        <w:tc>
          <w:tcPr>
            <w:tcW w:w="200" w:type="dxa"/>
            <w:vAlign w:val="bottom"/>
            <w:tcBorders>
              <w:left w:val="single" w:sz="8" w:color="7F7F7F"/>
              <w:bottom w:val="single" w:sz="8" w:color="7F7F7F"/>
            </w:tcBorders>
            <w:shd w:val="clear" w:color="auto" w:fill="EAEAEA"/>
          </w:tcPr>
          <w:p>
            <w:pPr>
              <w:spacing w:after="0"/>
              <w:rPr>
                <w:sz w:val="14"/>
                <w:szCs w:val="14"/>
                <w:color w:val="auto"/>
              </w:rPr>
            </w:pPr>
          </w:p>
        </w:tc>
        <w:tc>
          <w:tcPr>
            <w:tcW w:w="2100" w:type="dxa"/>
            <w:vAlign w:val="bottom"/>
            <w:tcBorders>
              <w:bottom w:val="single" w:sz="8" w:color="7F7F7F"/>
              <w:right w:val="single" w:sz="8" w:color="7F7F7F"/>
            </w:tcBorders>
            <w:shd w:val="clear" w:color="auto" w:fill="EAEAEA"/>
          </w:tcPr>
          <w:p>
            <w:pPr>
              <w:ind w:left="40"/>
              <w:spacing w:after="0"/>
              <w:rPr>
                <w:sz w:val="20"/>
                <w:szCs w:val="20"/>
                <w:color w:val="auto"/>
              </w:rPr>
            </w:pPr>
            <w:r>
              <w:rPr>
                <w:rFonts w:ascii="Arial" w:cs="Arial" w:eastAsia="Arial" w:hAnsi="Arial"/>
                <w:sz w:val="13"/>
                <w:szCs w:val="13"/>
                <w:b w:val="1"/>
                <w:bCs w:val="1"/>
                <w:color w:val="auto"/>
              </w:rPr>
              <w:t>Spending Goal</w:t>
            </w:r>
          </w:p>
        </w:tc>
        <w:tc>
          <w:tcPr>
            <w:tcW w:w="180" w:type="dxa"/>
            <w:vAlign w:val="bottom"/>
            <w:tcBorders>
              <w:bottom w:val="single" w:sz="8" w:color="7F7F7F"/>
            </w:tcBorders>
            <w:shd w:val="clear" w:color="auto" w:fill="EAEAEA"/>
          </w:tcPr>
          <w:p>
            <w:pPr>
              <w:spacing w:after="0"/>
              <w:rPr>
                <w:sz w:val="14"/>
                <w:szCs w:val="14"/>
                <w:color w:val="auto"/>
              </w:rPr>
            </w:pPr>
          </w:p>
        </w:tc>
        <w:tc>
          <w:tcPr>
            <w:tcW w:w="2100" w:type="dxa"/>
            <w:vAlign w:val="bottom"/>
            <w:tcBorders>
              <w:bottom w:val="single" w:sz="8" w:color="7F7F7F"/>
              <w:right w:val="single" w:sz="8" w:color="7F7F7F"/>
            </w:tcBorders>
            <w:shd w:val="clear" w:color="auto" w:fill="EAEAEA"/>
          </w:tcPr>
          <w:p>
            <w:pPr>
              <w:ind w:left="40"/>
              <w:spacing w:after="0"/>
              <w:rPr>
                <w:sz w:val="20"/>
                <w:szCs w:val="20"/>
                <w:color w:val="auto"/>
              </w:rPr>
            </w:pPr>
            <w:r>
              <w:rPr>
                <w:rFonts w:ascii="Arial" w:cs="Arial" w:eastAsia="Arial" w:hAnsi="Arial"/>
                <w:sz w:val="13"/>
                <w:szCs w:val="13"/>
                <w:b w:val="1"/>
                <w:bCs w:val="1"/>
                <w:color w:val="auto"/>
              </w:rPr>
              <w:t>Spending Goal</w:t>
            </w:r>
          </w:p>
        </w:tc>
        <w:tc>
          <w:tcPr>
            <w:tcW w:w="180" w:type="dxa"/>
            <w:vAlign w:val="bottom"/>
            <w:tcBorders>
              <w:bottom w:val="single" w:sz="8" w:color="7F7F7F"/>
            </w:tcBorders>
            <w:shd w:val="clear" w:color="auto" w:fill="EAEAEA"/>
          </w:tcPr>
          <w:p>
            <w:pPr>
              <w:spacing w:after="0"/>
              <w:rPr>
                <w:sz w:val="14"/>
                <w:szCs w:val="14"/>
                <w:color w:val="auto"/>
              </w:rPr>
            </w:pPr>
          </w:p>
        </w:tc>
        <w:tc>
          <w:tcPr>
            <w:tcW w:w="2080" w:type="dxa"/>
            <w:vAlign w:val="bottom"/>
            <w:tcBorders>
              <w:bottom w:val="single" w:sz="8" w:color="7F7F7F"/>
            </w:tcBorders>
            <w:shd w:val="clear" w:color="auto" w:fill="EAEAEA"/>
          </w:tcPr>
          <w:p>
            <w:pPr>
              <w:ind w:left="40"/>
              <w:spacing w:after="0"/>
              <w:rPr>
                <w:sz w:val="20"/>
                <w:szCs w:val="20"/>
                <w:color w:val="auto"/>
              </w:rPr>
            </w:pPr>
            <w:r>
              <w:rPr>
                <w:rFonts w:ascii="Arial" w:cs="Arial" w:eastAsia="Arial" w:hAnsi="Arial"/>
                <w:sz w:val="13"/>
                <w:szCs w:val="13"/>
                <w:b w:val="1"/>
                <w:bCs w:val="1"/>
                <w:color w:val="auto"/>
              </w:rPr>
              <w:t>Spending Goal</w:t>
            </w:r>
          </w:p>
        </w:tc>
      </w:tr>
      <w:tr>
        <w:trPr>
          <w:trHeight w:val="157"/>
        </w:trPr>
        <w:tc>
          <w:tcPr>
            <w:tcW w:w="3080" w:type="dxa"/>
            <w:vAlign w:val="bottom"/>
            <w:tcBorders>
              <w:left w:val="single" w:sz="8" w:color="7F7F7F"/>
              <w:bottom w:val="single" w:sz="8" w:color="7F7F7F"/>
            </w:tcBorders>
            <w:shd w:val="clear" w:color="auto" w:fill="EAF1F9"/>
          </w:tcPr>
          <w:p>
            <w:pPr>
              <w:ind w:left="160"/>
              <w:spacing w:after="0" w:line="157" w:lineRule="exact"/>
              <w:rPr>
                <w:sz w:val="20"/>
                <w:szCs w:val="20"/>
                <w:color w:val="auto"/>
              </w:rPr>
            </w:pPr>
            <w:r>
              <w:rPr>
                <w:rFonts w:ascii="Arial" w:cs="Arial" w:eastAsia="Arial" w:hAnsi="Arial"/>
                <w:sz w:val="14"/>
                <w:szCs w:val="14"/>
                <w:b w:val="1"/>
                <w:bCs w:val="1"/>
                <w:color w:val="auto"/>
              </w:rPr>
              <w:t>Annual Management Fee</w:t>
            </w:r>
          </w:p>
        </w:tc>
        <w:tc>
          <w:tcPr>
            <w:tcW w:w="200" w:type="dxa"/>
            <w:vAlign w:val="bottom"/>
            <w:tcBorders>
              <w:left w:val="single" w:sz="8" w:color="7F7F7F"/>
              <w:bottom w:val="single" w:sz="8" w:color="7F7F7F"/>
            </w:tcBorders>
          </w:tcPr>
          <w:p>
            <w:pPr>
              <w:spacing w:after="0"/>
              <w:rPr>
                <w:sz w:val="13"/>
                <w:szCs w:val="13"/>
                <w:color w:val="auto"/>
              </w:rPr>
            </w:pPr>
          </w:p>
        </w:tc>
        <w:tc>
          <w:tcPr>
            <w:tcW w:w="2100" w:type="dxa"/>
            <w:vAlign w:val="bottom"/>
            <w:tcBorders>
              <w:bottom w:val="single" w:sz="8" w:color="7F7F7F"/>
              <w:right w:val="single" w:sz="8" w:color="7F7F7F"/>
            </w:tcBorders>
          </w:tcPr>
          <w:p>
            <w:pPr>
              <w:jc w:val="center"/>
              <w:ind w:right="71"/>
              <w:spacing w:after="0" w:line="157" w:lineRule="exact"/>
              <w:rPr>
                <w:sz w:val="20"/>
                <w:szCs w:val="20"/>
                <w:color w:val="auto"/>
              </w:rPr>
            </w:pPr>
            <w:r>
              <w:rPr>
                <w:rFonts w:ascii="Arial" w:cs="Arial" w:eastAsia="Arial" w:hAnsi="Arial"/>
                <w:sz w:val="14"/>
                <w:szCs w:val="14"/>
                <w:color w:val="auto"/>
              </w:rPr>
              <w:t>$3,100,000</w:t>
            </w:r>
          </w:p>
        </w:tc>
        <w:tc>
          <w:tcPr>
            <w:tcW w:w="180" w:type="dxa"/>
            <w:vAlign w:val="bottom"/>
            <w:tcBorders>
              <w:bottom w:val="single" w:sz="8" w:color="7F7F7F"/>
            </w:tcBorders>
          </w:tcPr>
          <w:p>
            <w:pPr>
              <w:spacing w:after="0"/>
              <w:rPr>
                <w:sz w:val="13"/>
                <w:szCs w:val="13"/>
                <w:color w:val="auto"/>
              </w:rPr>
            </w:pPr>
          </w:p>
        </w:tc>
        <w:tc>
          <w:tcPr>
            <w:tcW w:w="2100" w:type="dxa"/>
            <w:vAlign w:val="bottom"/>
            <w:tcBorders>
              <w:bottom w:val="single" w:sz="8" w:color="7F7F7F"/>
              <w:right w:val="single" w:sz="8" w:color="7F7F7F"/>
            </w:tcBorders>
          </w:tcPr>
          <w:p>
            <w:pPr>
              <w:jc w:val="center"/>
              <w:ind w:right="71"/>
              <w:spacing w:after="0" w:line="157" w:lineRule="exact"/>
              <w:rPr>
                <w:sz w:val="20"/>
                <w:szCs w:val="20"/>
                <w:color w:val="auto"/>
              </w:rPr>
            </w:pPr>
            <w:r>
              <w:rPr>
                <w:rFonts w:ascii="Arial" w:cs="Arial" w:eastAsia="Arial" w:hAnsi="Arial"/>
                <w:sz w:val="14"/>
                <w:szCs w:val="14"/>
                <w:color w:val="auto"/>
              </w:rPr>
              <w:t>$3,100,000</w:t>
            </w:r>
          </w:p>
        </w:tc>
        <w:tc>
          <w:tcPr>
            <w:tcW w:w="180" w:type="dxa"/>
            <w:vAlign w:val="bottom"/>
            <w:tcBorders>
              <w:bottom w:val="single" w:sz="8" w:color="7F7F7F"/>
            </w:tcBorders>
          </w:tcPr>
          <w:p>
            <w:pPr>
              <w:spacing w:after="0"/>
              <w:rPr>
                <w:sz w:val="13"/>
                <w:szCs w:val="13"/>
                <w:color w:val="auto"/>
              </w:rPr>
            </w:pPr>
          </w:p>
        </w:tc>
        <w:tc>
          <w:tcPr>
            <w:tcW w:w="2080" w:type="dxa"/>
            <w:vAlign w:val="bottom"/>
            <w:tcBorders>
              <w:bottom w:val="single" w:sz="8" w:color="7F7F7F"/>
            </w:tcBorders>
          </w:tcPr>
          <w:p>
            <w:pPr>
              <w:jc w:val="center"/>
              <w:ind w:right="51"/>
              <w:spacing w:after="0" w:line="157" w:lineRule="exact"/>
              <w:rPr>
                <w:sz w:val="20"/>
                <w:szCs w:val="20"/>
                <w:color w:val="auto"/>
              </w:rPr>
            </w:pPr>
            <w:r>
              <w:rPr>
                <w:rFonts w:ascii="Arial" w:cs="Arial" w:eastAsia="Arial" w:hAnsi="Arial"/>
                <w:sz w:val="14"/>
                <w:szCs w:val="14"/>
                <w:color w:val="auto"/>
              </w:rPr>
              <w:t>$3,100,000</w:t>
            </w:r>
          </w:p>
        </w:tc>
      </w:tr>
      <w:tr>
        <w:trPr>
          <w:trHeight w:val="142"/>
        </w:trPr>
        <w:tc>
          <w:tcPr>
            <w:tcW w:w="3080" w:type="dxa"/>
            <w:vAlign w:val="bottom"/>
            <w:tcBorders>
              <w:left w:val="single" w:sz="8" w:color="7F7F7F"/>
            </w:tcBorders>
            <w:shd w:val="clear" w:color="auto" w:fill="EAF1F9"/>
          </w:tcPr>
          <w:p>
            <w:pPr>
              <w:ind w:left="160"/>
              <w:spacing w:after="0" w:line="143" w:lineRule="exact"/>
              <w:rPr>
                <w:sz w:val="20"/>
                <w:szCs w:val="20"/>
                <w:color w:val="auto"/>
              </w:rPr>
            </w:pPr>
            <w:r>
              <w:rPr>
                <w:rFonts w:ascii="Arial" w:cs="Arial" w:eastAsia="Arial" w:hAnsi="Arial"/>
                <w:sz w:val="14"/>
                <w:szCs w:val="14"/>
                <w:b w:val="1"/>
                <w:bCs w:val="1"/>
                <w:color w:val="auto"/>
              </w:rPr>
              <w:t>Annual Incentive</w:t>
            </w:r>
          </w:p>
        </w:tc>
        <w:tc>
          <w:tcPr>
            <w:tcW w:w="200" w:type="dxa"/>
            <w:vAlign w:val="bottom"/>
            <w:tcBorders>
              <w:left w:val="single" w:sz="8" w:color="7F7F7F"/>
            </w:tcBorders>
          </w:tcPr>
          <w:p>
            <w:pPr>
              <w:spacing w:after="0"/>
              <w:rPr>
                <w:sz w:val="12"/>
                <w:szCs w:val="12"/>
                <w:color w:val="auto"/>
              </w:rPr>
            </w:pPr>
          </w:p>
        </w:tc>
        <w:tc>
          <w:tcPr>
            <w:tcW w:w="2100" w:type="dxa"/>
            <w:vAlign w:val="bottom"/>
            <w:tcBorders>
              <w:right w:val="single" w:sz="8" w:color="7F7F7F"/>
            </w:tcBorders>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Borders>
              <w:right w:val="single" w:sz="8" w:color="7F7F7F"/>
            </w:tcBorders>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89"/>
        </w:trPr>
        <w:tc>
          <w:tcPr>
            <w:tcW w:w="3080" w:type="dxa"/>
            <w:vAlign w:val="bottom"/>
            <w:tcBorders>
              <w:left w:val="single" w:sz="8" w:color="7F7F7F"/>
              <w:bottom w:val="single" w:sz="8" w:color="7F7F7F"/>
            </w:tcBorders>
            <w:shd w:val="clear" w:color="auto" w:fill="EAF1F9"/>
          </w:tcPr>
          <w:p>
            <w:pPr>
              <w:ind w:left="160"/>
              <w:spacing w:after="0"/>
              <w:rPr>
                <w:sz w:val="20"/>
                <w:szCs w:val="20"/>
                <w:color w:val="auto"/>
              </w:rPr>
            </w:pPr>
            <w:r>
              <w:rPr>
                <w:rFonts w:ascii="Arial" w:cs="Arial" w:eastAsia="Arial" w:hAnsi="Arial"/>
                <w:sz w:val="14"/>
                <w:szCs w:val="14"/>
                <w:b w:val="1"/>
                <w:bCs w:val="1"/>
                <w:color w:val="auto"/>
              </w:rPr>
              <w:t>Metric: Adjusted EBITDA</w:t>
            </w:r>
          </w:p>
        </w:tc>
        <w:tc>
          <w:tcPr>
            <w:tcW w:w="200" w:type="dxa"/>
            <w:vAlign w:val="bottom"/>
            <w:tcBorders>
              <w:left w:val="single" w:sz="8" w:color="7F7F7F"/>
              <w:bottom w:val="single" w:sz="8" w:color="7F7F7F"/>
            </w:tcBorders>
          </w:tcPr>
          <w:p>
            <w:pPr>
              <w:spacing w:after="0"/>
              <w:rPr>
                <w:sz w:val="16"/>
                <w:szCs w:val="16"/>
                <w:color w:val="auto"/>
              </w:rPr>
            </w:pPr>
          </w:p>
        </w:tc>
        <w:tc>
          <w:tcPr>
            <w:tcW w:w="2100" w:type="dxa"/>
            <w:vAlign w:val="bottom"/>
            <w:tcBorders>
              <w:bottom w:val="single" w:sz="8" w:color="7F7F7F"/>
              <w:right w:val="single" w:sz="8" w:color="7F7F7F"/>
            </w:tcBorders>
          </w:tcPr>
          <w:p>
            <w:pPr>
              <w:jc w:val="center"/>
              <w:ind w:right="71"/>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7F7F7F"/>
            </w:tcBorders>
          </w:tcPr>
          <w:p>
            <w:pPr>
              <w:spacing w:after="0"/>
              <w:rPr>
                <w:sz w:val="16"/>
                <w:szCs w:val="16"/>
                <w:color w:val="auto"/>
              </w:rPr>
            </w:pPr>
          </w:p>
        </w:tc>
        <w:tc>
          <w:tcPr>
            <w:tcW w:w="2100" w:type="dxa"/>
            <w:vAlign w:val="bottom"/>
            <w:tcBorders>
              <w:bottom w:val="single" w:sz="8" w:color="7F7F7F"/>
              <w:right w:val="single" w:sz="8" w:color="7F7F7F"/>
            </w:tcBorders>
          </w:tcPr>
          <w:p>
            <w:pPr>
              <w:jc w:val="center"/>
              <w:ind w:right="71"/>
              <w:spacing w:after="0"/>
              <w:rPr>
                <w:sz w:val="20"/>
                <w:szCs w:val="20"/>
                <w:color w:val="auto"/>
              </w:rPr>
            </w:pPr>
            <w:r>
              <w:rPr>
                <w:rFonts w:ascii="Arial" w:cs="Arial" w:eastAsia="Arial" w:hAnsi="Arial"/>
                <w:sz w:val="14"/>
                <w:szCs w:val="14"/>
                <w:color w:val="auto"/>
              </w:rPr>
              <w:t>$3,720,000</w:t>
            </w:r>
          </w:p>
        </w:tc>
        <w:tc>
          <w:tcPr>
            <w:tcW w:w="180" w:type="dxa"/>
            <w:vAlign w:val="bottom"/>
            <w:tcBorders>
              <w:bottom w:val="single" w:sz="8" w:color="7F7F7F"/>
            </w:tcBorders>
          </w:tcPr>
          <w:p>
            <w:pPr>
              <w:spacing w:after="0"/>
              <w:rPr>
                <w:sz w:val="16"/>
                <w:szCs w:val="16"/>
                <w:color w:val="auto"/>
              </w:rPr>
            </w:pPr>
          </w:p>
        </w:tc>
        <w:tc>
          <w:tcPr>
            <w:tcW w:w="2080" w:type="dxa"/>
            <w:vAlign w:val="bottom"/>
            <w:tcBorders>
              <w:bottom w:val="single" w:sz="8" w:color="7F7F7F"/>
            </w:tcBorders>
          </w:tcPr>
          <w:p>
            <w:pPr>
              <w:jc w:val="center"/>
              <w:ind w:right="51"/>
              <w:spacing w:after="0"/>
              <w:rPr>
                <w:sz w:val="20"/>
                <w:szCs w:val="20"/>
                <w:color w:val="auto"/>
              </w:rPr>
            </w:pPr>
            <w:r>
              <w:rPr>
                <w:rFonts w:ascii="Arial" w:cs="Arial" w:eastAsia="Arial" w:hAnsi="Arial"/>
                <w:sz w:val="14"/>
                <w:szCs w:val="14"/>
                <w:color w:val="auto"/>
              </w:rPr>
              <w:t>$7,440,000</w:t>
            </w:r>
          </w:p>
        </w:tc>
      </w:tr>
      <w:tr>
        <w:trPr>
          <w:trHeight w:val="156"/>
        </w:trPr>
        <w:tc>
          <w:tcPr>
            <w:tcW w:w="3080" w:type="dxa"/>
            <w:vAlign w:val="bottom"/>
            <w:tcBorders>
              <w:left w:val="single" w:sz="8" w:color="7F7F7F"/>
              <w:bottom w:val="single" w:sz="8" w:color="7F7F7F"/>
            </w:tcBorders>
            <w:shd w:val="clear" w:color="auto" w:fill="EAF1F9"/>
          </w:tcPr>
          <w:p>
            <w:pPr>
              <w:ind w:left="160"/>
              <w:spacing w:after="0" w:line="155" w:lineRule="exact"/>
              <w:rPr>
                <w:sz w:val="20"/>
                <w:szCs w:val="20"/>
                <w:color w:val="auto"/>
              </w:rPr>
            </w:pPr>
            <w:r>
              <w:rPr>
                <w:rFonts w:ascii="Arial" w:cs="Arial" w:eastAsia="Arial" w:hAnsi="Arial"/>
                <w:sz w:val="14"/>
                <w:szCs w:val="14"/>
                <w:b w:val="1"/>
                <w:bCs w:val="1"/>
                <w:color w:val="auto"/>
              </w:rPr>
              <w:t>Time-Based RSUs</w:t>
            </w:r>
          </w:p>
        </w:tc>
        <w:tc>
          <w:tcPr>
            <w:tcW w:w="200" w:type="dxa"/>
            <w:vAlign w:val="bottom"/>
            <w:tcBorders>
              <w:left w:val="single" w:sz="8" w:color="7F7F7F"/>
              <w:bottom w:val="single" w:sz="8" w:color="7F7F7F"/>
            </w:tcBorders>
          </w:tcPr>
          <w:p>
            <w:pPr>
              <w:spacing w:after="0"/>
              <w:rPr>
                <w:sz w:val="13"/>
                <w:szCs w:val="13"/>
                <w:color w:val="auto"/>
              </w:rPr>
            </w:pPr>
          </w:p>
        </w:tc>
        <w:tc>
          <w:tcPr>
            <w:tcW w:w="2100" w:type="dxa"/>
            <w:vAlign w:val="bottom"/>
            <w:tcBorders>
              <w:bottom w:val="single" w:sz="8" w:color="7F7F7F"/>
              <w:right w:val="single" w:sz="8" w:color="7F7F7F"/>
            </w:tcBorders>
          </w:tcPr>
          <w:p>
            <w:pPr>
              <w:jc w:val="center"/>
              <w:ind w:right="71"/>
              <w:spacing w:after="0" w:line="155" w:lineRule="exact"/>
              <w:rPr>
                <w:sz w:val="20"/>
                <w:szCs w:val="20"/>
                <w:color w:val="auto"/>
              </w:rPr>
            </w:pPr>
            <w:r>
              <w:rPr>
                <w:rFonts w:ascii="Arial" w:cs="Arial" w:eastAsia="Arial" w:hAnsi="Arial"/>
                <w:sz w:val="14"/>
                <w:szCs w:val="14"/>
                <w:color w:val="auto"/>
              </w:rPr>
              <w:t>$8,775,000</w:t>
            </w:r>
          </w:p>
        </w:tc>
        <w:tc>
          <w:tcPr>
            <w:tcW w:w="180" w:type="dxa"/>
            <w:vAlign w:val="bottom"/>
            <w:tcBorders>
              <w:bottom w:val="single" w:sz="8" w:color="7F7F7F"/>
            </w:tcBorders>
          </w:tcPr>
          <w:p>
            <w:pPr>
              <w:spacing w:after="0"/>
              <w:rPr>
                <w:sz w:val="13"/>
                <w:szCs w:val="13"/>
                <w:color w:val="auto"/>
              </w:rPr>
            </w:pPr>
          </w:p>
        </w:tc>
        <w:tc>
          <w:tcPr>
            <w:tcW w:w="2100" w:type="dxa"/>
            <w:vAlign w:val="bottom"/>
            <w:tcBorders>
              <w:bottom w:val="single" w:sz="8" w:color="7F7F7F"/>
              <w:right w:val="single" w:sz="8" w:color="7F7F7F"/>
            </w:tcBorders>
          </w:tcPr>
          <w:p>
            <w:pPr>
              <w:jc w:val="center"/>
              <w:ind w:right="71"/>
              <w:spacing w:after="0" w:line="155" w:lineRule="exact"/>
              <w:rPr>
                <w:sz w:val="20"/>
                <w:szCs w:val="20"/>
                <w:color w:val="auto"/>
              </w:rPr>
            </w:pPr>
            <w:r>
              <w:rPr>
                <w:rFonts w:ascii="Arial" w:cs="Arial" w:eastAsia="Arial" w:hAnsi="Arial"/>
                <w:sz w:val="14"/>
                <w:szCs w:val="14"/>
                <w:color w:val="auto"/>
              </w:rPr>
              <w:t>$8,775,000</w:t>
            </w:r>
          </w:p>
        </w:tc>
        <w:tc>
          <w:tcPr>
            <w:tcW w:w="180" w:type="dxa"/>
            <w:vAlign w:val="bottom"/>
            <w:tcBorders>
              <w:bottom w:val="single" w:sz="8" w:color="7F7F7F"/>
            </w:tcBorders>
          </w:tcPr>
          <w:p>
            <w:pPr>
              <w:spacing w:after="0"/>
              <w:rPr>
                <w:sz w:val="13"/>
                <w:szCs w:val="13"/>
                <w:color w:val="auto"/>
              </w:rPr>
            </w:pPr>
          </w:p>
        </w:tc>
        <w:tc>
          <w:tcPr>
            <w:tcW w:w="2080" w:type="dxa"/>
            <w:vAlign w:val="bottom"/>
            <w:tcBorders>
              <w:bottom w:val="single" w:sz="8" w:color="7F7F7F"/>
            </w:tcBorders>
          </w:tcPr>
          <w:p>
            <w:pPr>
              <w:jc w:val="center"/>
              <w:ind w:right="51"/>
              <w:spacing w:after="0" w:line="155" w:lineRule="exact"/>
              <w:rPr>
                <w:sz w:val="20"/>
                <w:szCs w:val="20"/>
                <w:color w:val="auto"/>
              </w:rPr>
            </w:pPr>
            <w:r>
              <w:rPr>
                <w:rFonts w:ascii="Arial" w:cs="Arial" w:eastAsia="Arial" w:hAnsi="Arial"/>
                <w:sz w:val="14"/>
                <w:szCs w:val="14"/>
                <w:color w:val="auto"/>
              </w:rPr>
              <w:t>$8,775,000</w:t>
            </w:r>
          </w:p>
        </w:tc>
      </w:tr>
      <w:tr>
        <w:trPr>
          <w:trHeight w:val="142"/>
        </w:trPr>
        <w:tc>
          <w:tcPr>
            <w:tcW w:w="3080" w:type="dxa"/>
            <w:vAlign w:val="bottom"/>
            <w:tcBorders>
              <w:left w:val="single" w:sz="8" w:color="7F7F7F"/>
            </w:tcBorders>
            <w:shd w:val="clear" w:color="auto" w:fill="EAF1F9"/>
          </w:tcPr>
          <w:p>
            <w:pPr>
              <w:ind w:left="160"/>
              <w:spacing w:after="0" w:line="143" w:lineRule="exact"/>
              <w:rPr>
                <w:sz w:val="20"/>
                <w:szCs w:val="20"/>
                <w:color w:val="auto"/>
              </w:rPr>
            </w:pPr>
            <w:r>
              <w:rPr>
                <w:rFonts w:ascii="Arial" w:cs="Arial" w:eastAsia="Arial" w:hAnsi="Arial"/>
                <w:sz w:val="14"/>
                <w:szCs w:val="14"/>
                <w:b w:val="1"/>
                <w:bCs w:val="1"/>
                <w:color w:val="auto"/>
              </w:rPr>
              <w:t>Performance-Based RSUs</w:t>
            </w:r>
          </w:p>
        </w:tc>
        <w:tc>
          <w:tcPr>
            <w:tcW w:w="200" w:type="dxa"/>
            <w:vAlign w:val="bottom"/>
            <w:tcBorders>
              <w:left w:val="single" w:sz="8" w:color="7F7F7F"/>
            </w:tcBorders>
          </w:tcPr>
          <w:p>
            <w:pPr>
              <w:spacing w:after="0"/>
              <w:rPr>
                <w:sz w:val="12"/>
                <w:szCs w:val="12"/>
                <w:color w:val="auto"/>
              </w:rPr>
            </w:pPr>
          </w:p>
        </w:tc>
        <w:tc>
          <w:tcPr>
            <w:tcW w:w="2100" w:type="dxa"/>
            <w:vAlign w:val="bottom"/>
            <w:tcBorders>
              <w:right w:val="single" w:sz="8" w:color="7F7F7F"/>
            </w:tcBorders>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Borders>
              <w:right w:val="single" w:sz="8" w:color="7F7F7F"/>
            </w:tcBorders>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62"/>
        </w:trPr>
        <w:tc>
          <w:tcPr>
            <w:tcW w:w="3080" w:type="dxa"/>
            <w:vAlign w:val="bottom"/>
            <w:tcBorders>
              <w:left w:val="single" w:sz="8" w:color="7F7F7F"/>
            </w:tcBorders>
            <w:shd w:val="clear" w:color="auto" w:fill="EAF1F9"/>
          </w:tcPr>
          <w:p>
            <w:pPr>
              <w:ind w:left="160"/>
              <w:spacing w:after="0"/>
              <w:rPr>
                <w:sz w:val="20"/>
                <w:szCs w:val="20"/>
                <w:color w:val="auto"/>
              </w:rPr>
            </w:pPr>
            <w:r>
              <w:rPr>
                <w:rFonts w:ascii="Arial" w:cs="Arial" w:eastAsia="Arial" w:hAnsi="Arial"/>
                <w:sz w:val="14"/>
                <w:szCs w:val="14"/>
                <w:b w:val="1"/>
                <w:bCs w:val="1"/>
                <w:color w:val="auto"/>
              </w:rPr>
              <w:t>Metrics: TSR, IP and Recurrent</w:t>
            </w:r>
          </w:p>
        </w:tc>
        <w:tc>
          <w:tcPr>
            <w:tcW w:w="200" w:type="dxa"/>
            <w:vAlign w:val="bottom"/>
            <w:tcBorders>
              <w:left w:val="single" w:sz="8" w:color="7F7F7F"/>
            </w:tcBorders>
          </w:tcPr>
          <w:p>
            <w:pPr>
              <w:spacing w:after="0"/>
              <w:rPr>
                <w:sz w:val="14"/>
                <w:szCs w:val="14"/>
                <w:color w:val="auto"/>
              </w:rPr>
            </w:pPr>
          </w:p>
        </w:tc>
        <w:tc>
          <w:tcPr>
            <w:tcW w:w="2100" w:type="dxa"/>
            <w:vAlign w:val="bottom"/>
            <w:tcBorders>
              <w:right w:val="single" w:sz="8" w:color="7F7F7F"/>
            </w:tcBorders>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right w:val="single" w:sz="8" w:color="7F7F7F"/>
            </w:tcBorders>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89"/>
        </w:trPr>
        <w:tc>
          <w:tcPr>
            <w:tcW w:w="3080" w:type="dxa"/>
            <w:vAlign w:val="bottom"/>
            <w:tcBorders>
              <w:left w:val="single" w:sz="8" w:color="7F7F7F"/>
              <w:bottom w:val="single" w:sz="8" w:color="7F7F7F"/>
            </w:tcBorders>
            <w:shd w:val="clear" w:color="auto" w:fill="EAF1F9"/>
          </w:tcPr>
          <w:p>
            <w:pPr>
              <w:ind w:left="160"/>
              <w:spacing w:after="0"/>
              <w:rPr>
                <w:sz w:val="20"/>
                <w:szCs w:val="20"/>
                <w:color w:val="auto"/>
              </w:rPr>
            </w:pPr>
            <w:r>
              <w:rPr>
                <w:rFonts w:ascii="Arial" w:cs="Arial" w:eastAsia="Arial" w:hAnsi="Arial"/>
                <w:sz w:val="14"/>
                <w:szCs w:val="14"/>
                <w:b w:val="1"/>
                <w:bCs w:val="1"/>
                <w:color w:val="auto"/>
              </w:rPr>
              <w:t>Consumer Spending Performance</w:t>
            </w:r>
          </w:p>
        </w:tc>
        <w:tc>
          <w:tcPr>
            <w:tcW w:w="200" w:type="dxa"/>
            <w:vAlign w:val="bottom"/>
            <w:tcBorders>
              <w:left w:val="single" w:sz="8" w:color="7F7F7F"/>
              <w:bottom w:val="single" w:sz="8" w:color="7F7F7F"/>
            </w:tcBorders>
          </w:tcPr>
          <w:p>
            <w:pPr>
              <w:spacing w:after="0"/>
              <w:rPr>
                <w:sz w:val="16"/>
                <w:szCs w:val="16"/>
                <w:color w:val="auto"/>
              </w:rPr>
            </w:pPr>
          </w:p>
        </w:tc>
        <w:tc>
          <w:tcPr>
            <w:tcW w:w="2100" w:type="dxa"/>
            <w:vAlign w:val="bottom"/>
            <w:tcBorders>
              <w:bottom w:val="single" w:sz="8" w:color="7F7F7F"/>
              <w:right w:val="single" w:sz="8" w:color="7F7F7F"/>
            </w:tcBorders>
          </w:tcPr>
          <w:p>
            <w:pPr>
              <w:jc w:val="center"/>
              <w:ind w:right="71"/>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7F7F7F"/>
            </w:tcBorders>
          </w:tcPr>
          <w:p>
            <w:pPr>
              <w:spacing w:after="0"/>
              <w:rPr>
                <w:sz w:val="16"/>
                <w:szCs w:val="16"/>
                <w:color w:val="auto"/>
              </w:rPr>
            </w:pPr>
          </w:p>
        </w:tc>
        <w:tc>
          <w:tcPr>
            <w:tcW w:w="2100" w:type="dxa"/>
            <w:vAlign w:val="bottom"/>
            <w:tcBorders>
              <w:bottom w:val="single" w:sz="8" w:color="7F7F7F"/>
              <w:right w:val="single" w:sz="8" w:color="7F7F7F"/>
            </w:tcBorders>
          </w:tcPr>
          <w:p>
            <w:pPr>
              <w:jc w:val="center"/>
              <w:ind w:right="51"/>
              <w:spacing w:after="0"/>
              <w:rPr>
                <w:sz w:val="20"/>
                <w:szCs w:val="20"/>
                <w:color w:val="auto"/>
              </w:rPr>
            </w:pPr>
            <w:r>
              <w:rPr>
                <w:rFonts w:ascii="Arial" w:cs="Arial" w:eastAsia="Arial" w:hAnsi="Arial"/>
                <w:sz w:val="14"/>
                <w:szCs w:val="14"/>
                <w:color w:val="auto"/>
              </w:rPr>
              <w:t>$10,725,000</w:t>
            </w:r>
          </w:p>
        </w:tc>
        <w:tc>
          <w:tcPr>
            <w:tcW w:w="180" w:type="dxa"/>
            <w:vAlign w:val="bottom"/>
            <w:tcBorders>
              <w:bottom w:val="single" w:sz="8" w:color="7F7F7F"/>
            </w:tcBorders>
          </w:tcPr>
          <w:p>
            <w:pPr>
              <w:spacing w:after="0"/>
              <w:rPr>
                <w:sz w:val="16"/>
                <w:szCs w:val="16"/>
                <w:color w:val="auto"/>
              </w:rPr>
            </w:pPr>
          </w:p>
        </w:tc>
        <w:tc>
          <w:tcPr>
            <w:tcW w:w="2080" w:type="dxa"/>
            <w:vAlign w:val="bottom"/>
            <w:tcBorders>
              <w:bottom w:val="single" w:sz="8" w:color="7F7F7F"/>
            </w:tcBorders>
          </w:tcPr>
          <w:p>
            <w:pPr>
              <w:jc w:val="center"/>
              <w:ind w:right="51"/>
              <w:spacing w:after="0"/>
              <w:rPr>
                <w:sz w:val="20"/>
                <w:szCs w:val="20"/>
                <w:color w:val="auto"/>
              </w:rPr>
            </w:pPr>
            <w:r>
              <w:rPr>
                <w:rFonts w:ascii="Arial" w:cs="Arial" w:eastAsia="Arial" w:hAnsi="Arial"/>
                <w:sz w:val="14"/>
                <w:szCs w:val="14"/>
                <w:color w:val="auto"/>
              </w:rPr>
              <w:t>$21,450,000</w:t>
            </w:r>
          </w:p>
        </w:tc>
      </w:tr>
      <w:tr>
        <w:trPr>
          <w:trHeight w:val="156"/>
        </w:trPr>
        <w:tc>
          <w:tcPr>
            <w:tcW w:w="3080" w:type="dxa"/>
            <w:vAlign w:val="bottom"/>
            <w:tcBorders>
              <w:left w:val="single" w:sz="8" w:color="7F7F7F"/>
              <w:bottom w:val="single" w:sz="8" w:color="7F7F7F"/>
            </w:tcBorders>
            <w:shd w:val="clear" w:color="auto" w:fill="EAF1F9"/>
          </w:tcPr>
          <w:p>
            <w:pPr>
              <w:ind w:left="160"/>
              <w:spacing w:after="0" w:line="155" w:lineRule="exact"/>
              <w:rPr>
                <w:sz w:val="20"/>
                <w:szCs w:val="20"/>
                <w:color w:val="auto"/>
              </w:rPr>
            </w:pPr>
            <w:r>
              <w:rPr>
                <w:rFonts w:ascii="Arial" w:cs="Arial" w:eastAsia="Arial" w:hAnsi="Arial"/>
                <w:sz w:val="14"/>
                <w:szCs w:val="14"/>
                <w:b w:val="1"/>
                <w:bCs w:val="1"/>
                <w:color w:val="auto"/>
              </w:rPr>
              <w:t>Total Compensation Opportunity</w:t>
            </w:r>
          </w:p>
        </w:tc>
        <w:tc>
          <w:tcPr>
            <w:tcW w:w="200" w:type="dxa"/>
            <w:vAlign w:val="bottom"/>
            <w:tcBorders>
              <w:left w:val="single" w:sz="8" w:color="7F7F7F"/>
              <w:bottom w:val="single" w:sz="8" w:color="7F7F7F"/>
            </w:tcBorders>
          </w:tcPr>
          <w:p>
            <w:pPr>
              <w:spacing w:after="0"/>
              <w:rPr>
                <w:sz w:val="13"/>
                <w:szCs w:val="13"/>
                <w:color w:val="auto"/>
              </w:rPr>
            </w:pPr>
          </w:p>
        </w:tc>
        <w:tc>
          <w:tcPr>
            <w:tcW w:w="2100" w:type="dxa"/>
            <w:vAlign w:val="bottom"/>
            <w:tcBorders>
              <w:bottom w:val="single" w:sz="8" w:color="7F7F7F"/>
              <w:right w:val="single" w:sz="8" w:color="7F7F7F"/>
            </w:tcBorders>
          </w:tcPr>
          <w:p>
            <w:pPr>
              <w:jc w:val="center"/>
              <w:ind w:right="71"/>
              <w:spacing w:after="0" w:line="155" w:lineRule="exact"/>
              <w:rPr>
                <w:sz w:val="20"/>
                <w:szCs w:val="20"/>
                <w:color w:val="auto"/>
              </w:rPr>
            </w:pPr>
            <w:r>
              <w:rPr>
                <w:rFonts w:ascii="Arial" w:cs="Arial" w:eastAsia="Arial" w:hAnsi="Arial"/>
                <w:sz w:val="14"/>
                <w:szCs w:val="14"/>
                <w:color w:val="auto"/>
              </w:rPr>
              <w:t>$11,875,000</w:t>
            </w:r>
          </w:p>
        </w:tc>
        <w:tc>
          <w:tcPr>
            <w:tcW w:w="180" w:type="dxa"/>
            <w:vAlign w:val="bottom"/>
            <w:tcBorders>
              <w:bottom w:val="single" w:sz="8" w:color="7F7F7F"/>
            </w:tcBorders>
          </w:tcPr>
          <w:p>
            <w:pPr>
              <w:spacing w:after="0"/>
              <w:rPr>
                <w:sz w:val="13"/>
                <w:szCs w:val="13"/>
                <w:color w:val="auto"/>
              </w:rPr>
            </w:pPr>
          </w:p>
        </w:tc>
        <w:tc>
          <w:tcPr>
            <w:tcW w:w="2100" w:type="dxa"/>
            <w:vAlign w:val="bottom"/>
            <w:tcBorders>
              <w:bottom w:val="single" w:sz="8" w:color="7F7F7F"/>
              <w:right w:val="single" w:sz="8" w:color="7F7F7F"/>
            </w:tcBorders>
          </w:tcPr>
          <w:p>
            <w:pPr>
              <w:jc w:val="center"/>
              <w:ind w:right="51"/>
              <w:spacing w:after="0" w:line="155" w:lineRule="exact"/>
              <w:rPr>
                <w:sz w:val="20"/>
                <w:szCs w:val="20"/>
                <w:color w:val="auto"/>
              </w:rPr>
            </w:pPr>
            <w:r>
              <w:rPr>
                <w:rFonts w:ascii="Arial" w:cs="Arial" w:eastAsia="Arial" w:hAnsi="Arial"/>
                <w:sz w:val="14"/>
                <w:szCs w:val="14"/>
                <w:color w:val="auto"/>
              </w:rPr>
              <w:t>$26,320,000</w:t>
            </w:r>
          </w:p>
        </w:tc>
        <w:tc>
          <w:tcPr>
            <w:tcW w:w="180" w:type="dxa"/>
            <w:vAlign w:val="bottom"/>
            <w:tcBorders>
              <w:bottom w:val="single" w:sz="8" w:color="7F7F7F"/>
            </w:tcBorders>
          </w:tcPr>
          <w:p>
            <w:pPr>
              <w:spacing w:after="0"/>
              <w:rPr>
                <w:sz w:val="13"/>
                <w:szCs w:val="13"/>
                <w:color w:val="auto"/>
              </w:rPr>
            </w:pPr>
          </w:p>
        </w:tc>
        <w:tc>
          <w:tcPr>
            <w:tcW w:w="2080" w:type="dxa"/>
            <w:vAlign w:val="bottom"/>
            <w:tcBorders>
              <w:bottom w:val="single" w:sz="8" w:color="7F7F7F"/>
            </w:tcBorders>
          </w:tcPr>
          <w:p>
            <w:pPr>
              <w:jc w:val="center"/>
              <w:ind w:right="51"/>
              <w:spacing w:after="0" w:line="155" w:lineRule="exact"/>
              <w:rPr>
                <w:sz w:val="20"/>
                <w:szCs w:val="20"/>
                <w:color w:val="auto"/>
              </w:rPr>
            </w:pPr>
            <w:r>
              <w:rPr>
                <w:rFonts w:ascii="Arial" w:cs="Arial" w:eastAsia="Arial" w:hAnsi="Arial"/>
                <w:sz w:val="14"/>
                <w:szCs w:val="14"/>
                <w:color w:val="auto"/>
              </w:rPr>
              <w:t>$40,765,000</w:t>
            </w:r>
          </w:p>
        </w:tc>
      </w:tr>
      <w:tr>
        <w:trPr>
          <w:trHeight w:val="196"/>
        </w:trPr>
        <w:tc>
          <w:tcPr>
            <w:tcW w:w="3080" w:type="dxa"/>
            <w:vAlign w:val="bottom"/>
            <w:tcBorders>
              <w:left w:val="single" w:sz="8" w:color="7F7F7F"/>
            </w:tcBorders>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76"/>
        </w:trPr>
        <w:tc>
          <w:tcPr>
            <w:tcW w:w="5380" w:type="dxa"/>
            <w:vAlign w:val="bottom"/>
            <w:tcBorders>
              <w:left w:val="single" w:sz="8" w:color="7F7F7F"/>
              <w:right w:val="single" w:sz="8" w:color="7F7F7F"/>
            </w:tcBorders>
            <w:gridSpan w:val="3"/>
            <w:shd w:val="clear" w:color="auto" w:fill="005CB9"/>
          </w:tcPr>
          <w:p>
            <w:pPr>
              <w:ind w:left="160"/>
              <w:spacing w:after="0"/>
              <w:rPr>
                <w:sz w:val="20"/>
                <w:szCs w:val="20"/>
                <w:color w:val="auto"/>
              </w:rPr>
            </w:pPr>
            <w:r>
              <w:rPr>
                <w:rFonts w:ascii="Arial" w:cs="Arial" w:eastAsia="Arial" w:hAnsi="Arial"/>
                <w:sz w:val="14"/>
                <w:szCs w:val="14"/>
                <w:b w:val="1"/>
                <w:bCs w:val="1"/>
                <w:color w:val="FFFFFF"/>
              </w:rPr>
              <w:t>Maximum Opportunity at Each Performance Level</w:t>
            </w:r>
          </w:p>
        </w:tc>
        <w:tc>
          <w:tcPr>
            <w:tcW w:w="180" w:type="dxa"/>
            <w:vAlign w:val="bottom"/>
            <w:shd w:val="clear" w:color="auto" w:fill="005CB9"/>
          </w:tcPr>
          <w:p>
            <w:pPr>
              <w:spacing w:after="0"/>
              <w:rPr>
                <w:sz w:val="15"/>
                <w:szCs w:val="15"/>
                <w:color w:val="auto"/>
              </w:rPr>
            </w:pPr>
          </w:p>
        </w:tc>
        <w:tc>
          <w:tcPr>
            <w:tcW w:w="2100" w:type="dxa"/>
            <w:vAlign w:val="bottom"/>
            <w:tcBorders>
              <w:right w:val="single" w:sz="8" w:color="7F7F7F"/>
            </w:tcBorders>
            <w:shd w:val="clear" w:color="auto" w:fill="005CB9"/>
          </w:tcPr>
          <w:p>
            <w:pPr>
              <w:spacing w:after="0"/>
              <w:rPr>
                <w:sz w:val="15"/>
                <w:szCs w:val="15"/>
                <w:color w:val="auto"/>
              </w:rPr>
            </w:pPr>
          </w:p>
        </w:tc>
        <w:tc>
          <w:tcPr>
            <w:tcW w:w="180" w:type="dxa"/>
            <w:vAlign w:val="bottom"/>
            <w:shd w:val="clear" w:color="auto" w:fill="005CB9"/>
          </w:tcPr>
          <w:p>
            <w:pPr>
              <w:spacing w:after="0"/>
              <w:rPr>
                <w:sz w:val="15"/>
                <w:szCs w:val="15"/>
                <w:color w:val="auto"/>
              </w:rPr>
            </w:pPr>
          </w:p>
        </w:tc>
        <w:tc>
          <w:tcPr>
            <w:tcW w:w="2080" w:type="dxa"/>
            <w:vAlign w:val="bottom"/>
            <w:shd w:val="clear" w:color="auto" w:fill="005CB9"/>
          </w:tcPr>
          <w:p>
            <w:pPr>
              <w:spacing w:after="0"/>
              <w:rPr>
                <w:sz w:val="15"/>
                <w:szCs w:val="15"/>
                <w:color w:val="auto"/>
              </w:rPr>
            </w:pPr>
          </w:p>
        </w:tc>
      </w:tr>
      <w:tr>
        <w:trPr>
          <w:trHeight w:val="162"/>
        </w:trPr>
        <w:tc>
          <w:tcPr>
            <w:tcW w:w="3080" w:type="dxa"/>
            <w:vAlign w:val="bottom"/>
            <w:tcBorders>
              <w:left w:val="single" w:sz="8" w:color="7F7F7F"/>
              <w:bottom w:val="single" w:sz="8" w:color="7F7F7F"/>
            </w:tcBorders>
            <w:shd w:val="clear" w:color="auto" w:fill="EAF1F9"/>
          </w:tcPr>
          <w:p>
            <w:pPr>
              <w:ind w:left="160"/>
              <w:spacing w:after="0"/>
              <w:rPr>
                <w:sz w:val="20"/>
                <w:szCs w:val="20"/>
                <w:color w:val="auto"/>
              </w:rPr>
            </w:pPr>
            <w:r>
              <w:rPr>
                <w:rFonts w:ascii="Arial" w:cs="Arial" w:eastAsia="Arial" w:hAnsi="Arial"/>
                <w:sz w:val="14"/>
                <w:szCs w:val="14"/>
                <w:b w:val="1"/>
                <w:bCs w:val="1"/>
                <w:color w:val="auto"/>
              </w:rPr>
              <w:t>Strauss Zelnick</w:t>
            </w:r>
          </w:p>
        </w:tc>
        <w:tc>
          <w:tcPr>
            <w:tcW w:w="200" w:type="dxa"/>
            <w:vAlign w:val="bottom"/>
            <w:tcBorders>
              <w:bottom w:val="single" w:sz="8" w:color="7F7F7F"/>
            </w:tcBorders>
          </w:tcPr>
          <w:p>
            <w:pPr>
              <w:spacing w:after="0"/>
              <w:rPr>
                <w:sz w:val="14"/>
                <w:szCs w:val="14"/>
                <w:color w:val="auto"/>
              </w:rPr>
            </w:pPr>
          </w:p>
        </w:tc>
        <w:tc>
          <w:tcPr>
            <w:tcW w:w="2100" w:type="dxa"/>
            <w:vAlign w:val="bottom"/>
            <w:tcBorders>
              <w:bottom w:val="single" w:sz="8" w:color="7F7F7F"/>
              <w:right w:val="single" w:sz="8" w:color="7F7F7F"/>
            </w:tcBorders>
          </w:tcPr>
          <w:p>
            <w:pPr>
              <w:jc w:val="center"/>
              <w:ind w:right="71"/>
              <w:spacing w:after="0"/>
              <w:rPr>
                <w:sz w:val="20"/>
                <w:szCs w:val="20"/>
                <w:color w:val="auto"/>
              </w:rPr>
            </w:pPr>
            <w:r>
              <w:rPr>
                <w:rFonts w:ascii="Arial" w:cs="Arial" w:eastAsia="Arial" w:hAnsi="Arial"/>
                <w:sz w:val="14"/>
                <w:szCs w:val="14"/>
                <w:color w:val="auto"/>
              </w:rPr>
              <w:t>$7,125,000</w:t>
            </w:r>
          </w:p>
        </w:tc>
        <w:tc>
          <w:tcPr>
            <w:tcW w:w="180" w:type="dxa"/>
            <w:vAlign w:val="bottom"/>
            <w:tcBorders>
              <w:bottom w:val="single" w:sz="8" w:color="7F7F7F"/>
            </w:tcBorders>
          </w:tcPr>
          <w:p>
            <w:pPr>
              <w:spacing w:after="0"/>
              <w:rPr>
                <w:sz w:val="14"/>
                <w:szCs w:val="14"/>
                <w:color w:val="auto"/>
              </w:rPr>
            </w:pPr>
          </w:p>
        </w:tc>
        <w:tc>
          <w:tcPr>
            <w:tcW w:w="2100" w:type="dxa"/>
            <w:vAlign w:val="bottom"/>
            <w:tcBorders>
              <w:bottom w:val="single" w:sz="8" w:color="7F7F7F"/>
              <w:right w:val="single" w:sz="8" w:color="7F7F7F"/>
            </w:tcBorders>
          </w:tcPr>
          <w:p>
            <w:pPr>
              <w:jc w:val="center"/>
              <w:ind w:right="51"/>
              <w:spacing w:after="0"/>
              <w:rPr>
                <w:sz w:val="20"/>
                <w:szCs w:val="20"/>
                <w:color w:val="auto"/>
              </w:rPr>
            </w:pPr>
            <w:r>
              <w:rPr>
                <w:rFonts w:ascii="Arial" w:cs="Arial" w:eastAsia="Arial" w:hAnsi="Arial"/>
                <w:sz w:val="14"/>
                <w:szCs w:val="14"/>
                <w:color w:val="auto"/>
              </w:rPr>
              <w:t>$15,792,000</w:t>
            </w:r>
          </w:p>
        </w:tc>
        <w:tc>
          <w:tcPr>
            <w:tcW w:w="180" w:type="dxa"/>
            <w:vAlign w:val="bottom"/>
            <w:tcBorders>
              <w:bottom w:val="single" w:sz="8" w:color="7F7F7F"/>
            </w:tcBorders>
          </w:tcPr>
          <w:p>
            <w:pPr>
              <w:spacing w:after="0"/>
              <w:rPr>
                <w:sz w:val="14"/>
                <w:szCs w:val="14"/>
                <w:color w:val="auto"/>
              </w:rPr>
            </w:pPr>
          </w:p>
        </w:tc>
        <w:tc>
          <w:tcPr>
            <w:tcW w:w="2080" w:type="dxa"/>
            <w:vAlign w:val="bottom"/>
            <w:tcBorders>
              <w:bottom w:val="single" w:sz="8" w:color="7F7F7F"/>
            </w:tcBorders>
          </w:tcPr>
          <w:p>
            <w:pPr>
              <w:jc w:val="center"/>
              <w:ind w:right="51"/>
              <w:spacing w:after="0"/>
              <w:rPr>
                <w:sz w:val="20"/>
                <w:szCs w:val="20"/>
                <w:color w:val="auto"/>
              </w:rPr>
            </w:pPr>
            <w:r>
              <w:rPr>
                <w:rFonts w:ascii="Arial" w:cs="Arial" w:eastAsia="Arial" w:hAnsi="Arial"/>
                <w:sz w:val="14"/>
                <w:szCs w:val="14"/>
                <w:color w:val="auto"/>
              </w:rPr>
              <w:t>$24,459,000</w:t>
            </w:r>
          </w:p>
        </w:tc>
      </w:tr>
      <w:tr>
        <w:trPr>
          <w:trHeight w:val="156"/>
        </w:trPr>
        <w:tc>
          <w:tcPr>
            <w:tcW w:w="3080" w:type="dxa"/>
            <w:vAlign w:val="bottom"/>
            <w:tcBorders>
              <w:left w:val="single" w:sz="8" w:color="7F7F7F"/>
              <w:bottom w:val="single" w:sz="8" w:color="7F7F7F"/>
            </w:tcBorders>
            <w:shd w:val="clear" w:color="auto" w:fill="EAF1F9"/>
          </w:tcPr>
          <w:p>
            <w:pPr>
              <w:ind w:left="160"/>
              <w:spacing w:after="0" w:line="155" w:lineRule="exact"/>
              <w:rPr>
                <w:sz w:val="20"/>
                <w:szCs w:val="20"/>
                <w:color w:val="auto"/>
              </w:rPr>
            </w:pPr>
            <w:r>
              <w:rPr>
                <w:rFonts w:ascii="Arial" w:cs="Arial" w:eastAsia="Arial" w:hAnsi="Arial"/>
                <w:sz w:val="14"/>
                <w:szCs w:val="14"/>
                <w:b w:val="1"/>
                <w:bCs w:val="1"/>
                <w:color w:val="auto"/>
              </w:rPr>
              <w:t>Karl Slatoff</w:t>
            </w:r>
          </w:p>
        </w:tc>
        <w:tc>
          <w:tcPr>
            <w:tcW w:w="200" w:type="dxa"/>
            <w:vAlign w:val="bottom"/>
            <w:tcBorders>
              <w:bottom w:val="single" w:sz="8" w:color="7F7F7F"/>
            </w:tcBorders>
          </w:tcPr>
          <w:p>
            <w:pPr>
              <w:spacing w:after="0"/>
              <w:rPr>
                <w:sz w:val="13"/>
                <w:szCs w:val="13"/>
                <w:color w:val="auto"/>
              </w:rPr>
            </w:pPr>
          </w:p>
        </w:tc>
        <w:tc>
          <w:tcPr>
            <w:tcW w:w="2100" w:type="dxa"/>
            <w:vAlign w:val="bottom"/>
            <w:tcBorders>
              <w:bottom w:val="single" w:sz="8" w:color="7F7F7F"/>
              <w:right w:val="single" w:sz="8" w:color="7F7F7F"/>
            </w:tcBorders>
          </w:tcPr>
          <w:p>
            <w:pPr>
              <w:jc w:val="center"/>
              <w:ind w:right="71"/>
              <w:spacing w:after="0" w:line="155" w:lineRule="exact"/>
              <w:rPr>
                <w:sz w:val="20"/>
                <w:szCs w:val="20"/>
                <w:color w:val="auto"/>
              </w:rPr>
            </w:pPr>
            <w:r>
              <w:rPr>
                <w:rFonts w:ascii="Arial" w:cs="Arial" w:eastAsia="Arial" w:hAnsi="Arial"/>
                <w:sz w:val="14"/>
                <w:szCs w:val="14"/>
                <w:color w:val="auto"/>
              </w:rPr>
              <w:t>$4,750,000</w:t>
            </w:r>
          </w:p>
        </w:tc>
        <w:tc>
          <w:tcPr>
            <w:tcW w:w="180" w:type="dxa"/>
            <w:vAlign w:val="bottom"/>
            <w:tcBorders>
              <w:bottom w:val="single" w:sz="8" w:color="7F7F7F"/>
            </w:tcBorders>
          </w:tcPr>
          <w:p>
            <w:pPr>
              <w:spacing w:after="0"/>
              <w:rPr>
                <w:sz w:val="13"/>
                <w:szCs w:val="13"/>
                <w:color w:val="auto"/>
              </w:rPr>
            </w:pPr>
          </w:p>
        </w:tc>
        <w:tc>
          <w:tcPr>
            <w:tcW w:w="2100" w:type="dxa"/>
            <w:vAlign w:val="bottom"/>
            <w:tcBorders>
              <w:bottom w:val="single" w:sz="8" w:color="7F7F7F"/>
              <w:right w:val="single" w:sz="8" w:color="7F7F7F"/>
            </w:tcBorders>
          </w:tcPr>
          <w:p>
            <w:pPr>
              <w:jc w:val="center"/>
              <w:ind w:right="51"/>
              <w:spacing w:after="0" w:line="155" w:lineRule="exact"/>
              <w:rPr>
                <w:sz w:val="20"/>
                <w:szCs w:val="20"/>
                <w:color w:val="auto"/>
              </w:rPr>
            </w:pPr>
            <w:r>
              <w:rPr>
                <w:rFonts w:ascii="Arial" w:cs="Arial" w:eastAsia="Arial" w:hAnsi="Arial"/>
                <w:sz w:val="14"/>
                <w:szCs w:val="14"/>
                <w:color w:val="auto"/>
              </w:rPr>
              <w:t>$10,528,000</w:t>
            </w:r>
          </w:p>
        </w:tc>
        <w:tc>
          <w:tcPr>
            <w:tcW w:w="180" w:type="dxa"/>
            <w:vAlign w:val="bottom"/>
            <w:tcBorders>
              <w:bottom w:val="single" w:sz="8" w:color="7F7F7F"/>
            </w:tcBorders>
          </w:tcPr>
          <w:p>
            <w:pPr>
              <w:spacing w:after="0"/>
              <w:rPr>
                <w:sz w:val="13"/>
                <w:szCs w:val="13"/>
                <w:color w:val="auto"/>
              </w:rPr>
            </w:pPr>
          </w:p>
        </w:tc>
        <w:tc>
          <w:tcPr>
            <w:tcW w:w="2080" w:type="dxa"/>
            <w:vAlign w:val="bottom"/>
            <w:tcBorders>
              <w:bottom w:val="single" w:sz="8" w:color="7F7F7F"/>
            </w:tcBorders>
          </w:tcPr>
          <w:p>
            <w:pPr>
              <w:jc w:val="center"/>
              <w:ind w:right="51"/>
              <w:spacing w:after="0" w:line="155" w:lineRule="exact"/>
              <w:rPr>
                <w:sz w:val="20"/>
                <w:szCs w:val="20"/>
                <w:color w:val="auto"/>
              </w:rPr>
            </w:pPr>
            <w:r>
              <w:rPr>
                <w:rFonts w:ascii="Arial" w:cs="Arial" w:eastAsia="Arial" w:hAnsi="Arial"/>
                <w:sz w:val="14"/>
                <w:szCs w:val="14"/>
                <w:color w:val="auto"/>
              </w:rPr>
              <w:t>$16,306,000</w:t>
            </w:r>
          </w:p>
        </w:tc>
      </w:tr>
    </w:tbl>
    <w:p>
      <w:pPr>
        <w:spacing w:after="0" w:line="218" w:lineRule="exact"/>
        <w:rPr>
          <w:sz w:val="20"/>
          <w:szCs w:val="20"/>
          <w:color w:val="auto"/>
        </w:rPr>
      </w:pPr>
    </w:p>
    <w:p>
      <w:pPr>
        <w:ind w:left="660" w:right="140"/>
        <w:spacing w:after="0" w:line="251" w:lineRule="auto"/>
        <w:rPr>
          <w:sz w:val="20"/>
          <w:szCs w:val="20"/>
          <w:color w:val="auto"/>
        </w:rPr>
      </w:pPr>
      <w:r>
        <w:rPr>
          <w:rFonts w:ascii="Arial" w:cs="Arial" w:eastAsia="Arial" w:hAnsi="Arial"/>
          <w:sz w:val="16"/>
          <w:szCs w:val="16"/>
          <w:color w:val="auto"/>
        </w:rPr>
        <w:t>Historically, the targets set by the Board of Directors in ZelnickMedia management agreements have been sufficiently challenging that payouts to ZelnickMedia have varied. For example, on May 20, 2015, May 20, 2016, April 4, 2017, April 2, 2018 and April 4, 2019, ZelnickMedia forfeited 24,750, 27,578, 46,752, 33,174 and 20,396 shares, respectively, of performance-based RSUs due to the failure to meet certain performance conditions.</w:t>
      </w:r>
    </w:p>
    <w:p>
      <w:pPr>
        <w:spacing w:after="0" w:line="202" w:lineRule="exact"/>
        <w:rPr>
          <w:sz w:val="20"/>
          <w:szCs w:val="20"/>
          <w:color w:val="auto"/>
        </w:rPr>
      </w:pPr>
    </w:p>
    <w:p>
      <w:pPr>
        <w:ind w:left="660" w:right="180"/>
        <w:spacing w:after="0" w:line="253" w:lineRule="auto"/>
        <w:rPr>
          <w:sz w:val="20"/>
          <w:szCs w:val="20"/>
          <w:color w:val="auto"/>
        </w:rPr>
      </w:pPr>
      <w:r>
        <w:rPr>
          <w:rFonts w:ascii="Arial" w:cs="Arial" w:eastAsia="Arial" w:hAnsi="Arial"/>
          <w:sz w:val="16"/>
          <w:szCs w:val="16"/>
          <w:color w:val="auto"/>
        </w:rPr>
        <w:t>Additionally, the compensation received by ZelnickMedia and the other NEOs is strongly aligned with the Company’s outperformance on TSR during the same period as evidenced by our ranking in the top quartile (above 75th percentile) of all companies in the NASDAQ Composite Index for fiscal years 2018 through 2020.</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III. Other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right="40"/>
        <w:spacing w:after="0" w:line="249" w:lineRule="auto"/>
        <w:rPr>
          <w:sz w:val="20"/>
          <w:szCs w:val="20"/>
          <w:color w:val="auto"/>
        </w:rPr>
      </w:pPr>
      <w:r>
        <w:rPr>
          <w:rFonts w:ascii="Arial" w:cs="Arial" w:eastAsia="Arial" w:hAnsi="Arial"/>
          <w:sz w:val="16"/>
          <w:szCs w:val="16"/>
          <w:color w:val="auto"/>
        </w:rPr>
        <w:t>Other NEOs for fiscal 2020 were Ms. Goldstein, our Chief Financial Officer and Mr. Emerson, our Executive Vice President and Chief Legal Officer. Pay opportunities for specific individuals vary based on a number of factors, such as scope of duties, tenure, institutional knowledge and/or difficulty in recruiting a new executive. Actual total compensation and the mix of such compensation in a given year will vary above or below the target compensation levels based primarily on the attainment of operational goals and the creation of shareholder value. The Compensation Committee believes that each of the compensation packages to Ms. Goldstein and Mr. Emerson are within the competitive range of practices when compared to the objective comparative data.</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Compensation Overview</w:t>
      </w:r>
    </w:p>
    <w:p>
      <w:pPr>
        <w:spacing w:after="0" w:line="133"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In May 2018 and January 2015, the Company entered into amended employment agreements with Ms. Goldstein and Mr. Emerson, respectively, which provide for an annual base salary, annual cash bonus opportunity, and long-term incentive compensation opportunities. The details of those employment agreements are discussed below under “Executive Compensation—Narrative Disclosure Regarding Equity Plans and Employment Agreements—Employment Agreements.”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Ms. Goldstein’s and Mr. Emerson’s fiscal 2020 target compensation was comprised of:</w:t>
      </w:r>
    </w:p>
    <w:p>
      <w:pPr>
        <w:spacing w:after="0" w:line="234" w:lineRule="exact"/>
        <w:rPr>
          <w:sz w:val="20"/>
          <w:szCs w:val="20"/>
          <w:color w:val="auto"/>
        </w:rPr>
      </w:pPr>
    </w:p>
    <w:tbl>
      <w:tblPr>
        <w:tblLayout w:type="fixed"/>
        <w:tblInd w:w="670" w:type="dxa"/>
        <w:tblCellMar>
          <w:top w:w="0" w:type="dxa"/>
          <w:left w:w="0" w:type="dxa"/>
          <w:bottom w:w="0" w:type="dxa"/>
          <w:right w:w="0" w:type="dxa"/>
        </w:tblCellMar>
      </w:tblPr>
      <w:tr>
        <w:trPr>
          <w:trHeight w:val="161"/>
        </w:trPr>
        <w:tc>
          <w:tcPr>
            <w:tcW w:w="1900" w:type="dxa"/>
            <w:vAlign w:val="bottom"/>
            <w:tcBorders>
              <w:left w:val="single" w:sz="8" w:color="7F7F7F"/>
              <w:right w:val="single" w:sz="8" w:color="7F7F7F"/>
            </w:tcBorders>
            <w:shd w:val="clear" w:color="auto" w:fill="005CB9"/>
          </w:tcPr>
          <w:p>
            <w:pPr>
              <w:spacing w:after="0"/>
              <w:rPr>
                <w:sz w:val="14"/>
                <w:szCs w:val="14"/>
                <w:color w:val="auto"/>
              </w:rPr>
            </w:pPr>
          </w:p>
        </w:tc>
        <w:tc>
          <w:tcPr>
            <w:tcW w:w="1080" w:type="dxa"/>
            <w:vAlign w:val="bottom"/>
            <w:tcBorders>
              <w:right w:val="single" w:sz="8" w:color="7F7F7F"/>
            </w:tcBorders>
            <w:shd w:val="clear" w:color="auto" w:fill="005CB9"/>
          </w:tcPr>
          <w:p>
            <w:pPr>
              <w:spacing w:after="0"/>
              <w:rPr>
                <w:sz w:val="14"/>
                <w:szCs w:val="14"/>
                <w:color w:val="auto"/>
              </w:rPr>
            </w:pPr>
          </w:p>
        </w:tc>
        <w:tc>
          <w:tcPr>
            <w:tcW w:w="4200" w:type="dxa"/>
            <w:vAlign w:val="bottom"/>
            <w:tcBorders>
              <w:right w:val="single" w:sz="8" w:color="7F7F7F"/>
            </w:tcBorders>
            <w:shd w:val="clear" w:color="auto" w:fill="005CB9"/>
          </w:tcPr>
          <w:p>
            <w:pPr>
              <w:jc w:val="center"/>
              <w:ind w:left="144"/>
              <w:spacing w:after="0"/>
              <w:rPr>
                <w:sz w:val="20"/>
                <w:szCs w:val="20"/>
                <w:color w:val="auto"/>
              </w:rPr>
            </w:pPr>
            <w:r>
              <w:rPr>
                <w:rFonts w:ascii="Arial" w:cs="Arial" w:eastAsia="Arial" w:hAnsi="Arial"/>
                <w:sz w:val="14"/>
                <w:szCs w:val="14"/>
                <w:b w:val="1"/>
                <w:bCs w:val="1"/>
                <w:color w:val="FFFFFF"/>
              </w:rPr>
              <w:t>Target Annual Cash</w:t>
            </w:r>
          </w:p>
        </w:tc>
        <w:tc>
          <w:tcPr>
            <w:tcW w:w="2740" w:type="dxa"/>
            <w:vAlign w:val="bottom"/>
            <w:shd w:val="clear" w:color="auto" w:fill="005CB9"/>
          </w:tcPr>
          <w:p>
            <w:pPr>
              <w:jc w:val="center"/>
              <w:ind w:left="144"/>
              <w:spacing w:after="0"/>
              <w:rPr>
                <w:sz w:val="20"/>
                <w:szCs w:val="20"/>
                <w:color w:val="auto"/>
              </w:rPr>
            </w:pPr>
            <w:r>
              <w:rPr>
                <w:rFonts w:ascii="Arial" w:cs="Arial" w:eastAsia="Arial" w:hAnsi="Arial"/>
                <w:sz w:val="14"/>
                <w:szCs w:val="14"/>
                <w:b w:val="1"/>
                <w:bCs w:val="1"/>
                <w:color w:val="FFFFFF"/>
              </w:rPr>
              <w:t>Target Equity Incentive Opportunity</w:t>
            </w:r>
          </w:p>
        </w:tc>
      </w:tr>
      <w:tr>
        <w:trPr>
          <w:trHeight w:val="162"/>
        </w:trPr>
        <w:tc>
          <w:tcPr>
            <w:tcW w:w="1900" w:type="dxa"/>
            <w:vAlign w:val="bottom"/>
            <w:tcBorders>
              <w:left w:val="single" w:sz="8" w:color="7F7F7F"/>
              <w:right w:val="single" w:sz="8" w:color="7F7F7F"/>
            </w:tcBorders>
            <w:shd w:val="clear" w:color="auto" w:fill="005CB9"/>
          </w:tcPr>
          <w:p>
            <w:pPr>
              <w:spacing w:after="0"/>
              <w:rPr>
                <w:sz w:val="14"/>
                <w:szCs w:val="14"/>
                <w:color w:val="auto"/>
              </w:rPr>
            </w:pPr>
          </w:p>
        </w:tc>
        <w:tc>
          <w:tcPr>
            <w:tcW w:w="1080" w:type="dxa"/>
            <w:vAlign w:val="bottom"/>
            <w:tcBorders>
              <w:right w:val="single" w:sz="8" w:color="7F7F7F"/>
            </w:tcBorders>
            <w:shd w:val="clear" w:color="auto" w:fill="005CB9"/>
          </w:tcPr>
          <w:p>
            <w:pPr>
              <w:spacing w:after="0"/>
              <w:rPr>
                <w:sz w:val="14"/>
                <w:szCs w:val="14"/>
                <w:color w:val="auto"/>
              </w:rPr>
            </w:pPr>
          </w:p>
        </w:tc>
        <w:tc>
          <w:tcPr>
            <w:tcW w:w="4200" w:type="dxa"/>
            <w:vAlign w:val="bottom"/>
            <w:tcBorders>
              <w:right w:val="single" w:sz="8" w:color="7F7F7F"/>
            </w:tcBorders>
            <w:shd w:val="clear" w:color="auto" w:fill="005CB9"/>
          </w:tcPr>
          <w:p>
            <w:pPr>
              <w:jc w:val="center"/>
              <w:ind w:left="144"/>
              <w:spacing w:after="0"/>
              <w:rPr>
                <w:sz w:val="20"/>
                <w:szCs w:val="20"/>
                <w:color w:val="auto"/>
              </w:rPr>
            </w:pPr>
            <w:r>
              <w:rPr>
                <w:rFonts w:ascii="Arial" w:cs="Arial" w:eastAsia="Arial" w:hAnsi="Arial"/>
                <w:sz w:val="14"/>
                <w:szCs w:val="14"/>
                <w:b w:val="1"/>
                <w:bCs w:val="1"/>
                <w:color w:val="FFFFFF"/>
              </w:rPr>
              <w:t>Bonus Opportunity</w:t>
            </w:r>
          </w:p>
        </w:tc>
        <w:tc>
          <w:tcPr>
            <w:tcW w:w="2740" w:type="dxa"/>
            <w:vAlign w:val="bottom"/>
            <w:shd w:val="clear" w:color="auto" w:fill="005CB9"/>
          </w:tcPr>
          <w:p>
            <w:pPr>
              <w:jc w:val="center"/>
              <w:ind w:left="144"/>
              <w:spacing w:after="0"/>
              <w:rPr>
                <w:sz w:val="20"/>
                <w:szCs w:val="20"/>
                <w:color w:val="auto"/>
              </w:rPr>
            </w:pPr>
            <w:r>
              <w:rPr>
                <w:rFonts w:ascii="Arial" w:cs="Arial" w:eastAsia="Arial" w:hAnsi="Arial"/>
                <w:sz w:val="14"/>
                <w:szCs w:val="14"/>
                <w:b w:val="1"/>
                <w:bCs w:val="1"/>
                <w:color w:val="FFFFFF"/>
              </w:rPr>
              <w:t>(66.7% subject to performance</w:t>
            </w:r>
          </w:p>
        </w:tc>
      </w:tr>
      <w:tr>
        <w:trPr>
          <w:trHeight w:val="202"/>
        </w:trPr>
        <w:tc>
          <w:tcPr>
            <w:tcW w:w="1900" w:type="dxa"/>
            <w:vAlign w:val="bottom"/>
            <w:tcBorders>
              <w:left w:val="single" w:sz="8" w:color="7F7F7F"/>
              <w:right w:val="single" w:sz="8" w:color="7F7F7F"/>
            </w:tcBorders>
            <w:shd w:val="clear" w:color="auto" w:fill="005CB9"/>
          </w:tcPr>
          <w:p>
            <w:pPr>
              <w:spacing w:after="0"/>
              <w:rPr>
                <w:sz w:val="17"/>
                <w:szCs w:val="17"/>
                <w:color w:val="auto"/>
              </w:rPr>
            </w:pPr>
          </w:p>
        </w:tc>
        <w:tc>
          <w:tcPr>
            <w:tcW w:w="1080" w:type="dxa"/>
            <w:vAlign w:val="bottom"/>
            <w:tcBorders>
              <w:right w:val="single" w:sz="8" w:color="7F7F7F"/>
            </w:tcBorders>
            <w:shd w:val="clear" w:color="auto" w:fill="005CB9"/>
          </w:tcPr>
          <w:p>
            <w:pPr>
              <w:jc w:val="center"/>
              <w:ind w:left="122"/>
              <w:spacing w:after="0"/>
              <w:rPr>
                <w:sz w:val="20"/>
                <w:szCs w:val="20"/>
                <w:color w:val="auto"/>
              </w:rPr>
            </w:pPr>
            <w:r>
              <w:rPr>
                <w:rFonts w:ascii="Arial" w:cs="Arial" w:eastAsia="Arial" w:hAnsi="Arial"/>
                <w:sz w:val="14"/>
                <w:szCs w:val="14"/>
                <w:b w:val="1"/>
                <w:bCs w:val="1"/>
                <w:color w:val="FFFFFF"/>
              </w:rPr>
              <w:t>Base Salary</w:t>
            </w:r>
          </w:p>
        </w:tc>
        <w:tc>
          <w:tcPr>
            <w:tcW w:w="4200" w:type="dxa"/>
            <w:vAlign w:val="bottom"/>
            <w:tcBorders>
              <w:right w:val="single" w:sz="8" w:color="7F7F7F"/>
            </w:tcBorders>
            <w:shd w:val="clear" w:color="auto" w:fill="005CB9"/>
          </w:tcPr>
          <w:p>
            <w:pPr>
              <w:jc w:val="center"/>
              <w:ind w:left="124"/>
              <w:spacing w:after="0"/>
              <w:rPr>
                <w:sz w:val="20"/>
                <w:szCs w:val="20"/>
                <w:color w:val="auto"/>
              </w:rPr>
            </w:pPr>
            <w:r>
              <w:rPr>
                <w:rFonts w:ascii="Arial" w:cs="Arial" w:eastAsia="Arial" w:hAnsi="Arial"/>
                <w:sz w:val="14"/>
                <w:szCs w:val="14"/>
                <w:b w:val="1"/>
                <w:bCs w:val="1"/>
                <w:color w:val="FFFFFF"/>
              </w:rPr>
              <w:t>(based on Adjusted EBITDA)</w:t>
            </w:r>
          </w:p>
        </w:tc>
        <w:tc>
          <w:tcPr>
            <w:tcW w:w="2740" w:type="dxa"/>
            <w:vAlign w:val="bottom"/>
            <w:shd w:val="clear" w:color="auto" w:fill="005CB9"/>
          </w:tcPr>
          <w:p>
            <w:pPr>
              <w:jc w:val="center"/>
              <w:ind w:left="144"/>
              <w:spacing w:after="0"/>
              <w:rPr>
                <w:sz w:val="20"/>
                <w:szCs w:val="20"/>
                <w:color w:val="auto"/>
              </w:rPr>
            </w:pPr>
            <w:r>
              <w:rPr>
                <w:rFonts w:ascii="Arial" w:cs="Arial" w:eastAsia="Arial" w:hAnsi="Arial"/>
                <w:sz w:val="14"/>
                <w:szCs w:val="14"/>
                <w:b w:val="1"/>
                <w:bCs w:val="1"/>
                <w:color w:val="FFFFFF"/>
              </w:rPr>
              <w:t>vesting)</w:t>
            </w:r>
          </w:p>
        </w:tc>
      </w:tr>
      <w:tr>
        <w:trPr>
          <w:trHeight w:val="189"/>
        </w:trPr>
        <w:tc>
          <w:tcPr>
            <w:tcW w:w="1900" w:type="dxa"/>
            <w:vAlign w:val="bottom"/>
            <w:tcBorders>
              <w:left w:val="single" w:sz="8" w:color="7F7F7F"/>
              <w:bottom w:val="single" w:sz="8" w:color="7F7F7F"/>
              <w:right w:val="single" w:sz="8" w:color="7F7F7F"/>
            </w:tcBorders>
            <w:shd w:val="clear" w:color="auto" w:fill="EAEAEA"/>
          </w:tcPr>
          <w:p>
            <w:pPr>
              <w:ind w:left="240"/>
              <w:spacing w:after="0"/>
              <w:rPr>
                <w:sz w:val="20"/>
                <w:szCs w:val="20"/>
                <w:color w:val="auto"/>
              </w:rPr>
            </w:pPr>
            <w:r>
              <w:rPr>
                <w:rFonts w:ascii="Arial" w:cs="Arial" w:eastAsia="Arial" w:hAnsi="Arial"/>
                <w:sz w:val="16"/>
                <w:szCs w:val="16"/>
                <w:color w:val="auto"/>
              </w:rPr>
              <w:t>Ms. Goldstein</w:t>
            </w:r>
          </w:p>
        </w:tc>
        <w:tc>
          <w:tcPr>
            <w:tcW w:w="1080" w:type="dxa"/>
            <w:vAlign w:val="bottom"/>
            <w:tcBorders>
              <w:bottom w:val="single" w:sz="8" w:color="7F7F7F"/>
              <w:right w:val="single" w:sz="8" w:color="7F7F7F"/>
            </w:tcBorders>
            <w:shd w:val="clear" w:color="auto" w:fill="EAEAEA"/>
          </w:tcPr>
          <w:p>
            <w:pPr>
              <w:jc w:val="center"/>
              <w:ind w:left="122"/>
              <w:spacing w:after="0"/>
              <w:rPr>
                <w:sz w:val="20"/>
                <w:szCs w:val="20"/>
                <w:color w:val="auto"/>
              </w:rPr>
            </w:pPr>
            <w:r>
              <w:rPr>
                <w:rFonts w:ascii="Arial" w:cs="Arial" w:eastAsia="Arial" w:hAnsi="Arial"/>
                <w:sz w:val="16"/>
                <w:szCs w:val="16"/>
                <w:color w:val="auto"/>
              </w:rPr>
              <w:t>$850,000</w:t>
            </w:r>
          </w:p>
        </w:tc>
        <w:tc>
          <w:tcPr>
            <w:tcW w:w="4200" w:type="dxa"/>
            <w:vAlign w:val="bottom"/>
            <w:tcBorders>
              <w:bottom w:val="single" w:sz="8" w:color="7F7F7F"/>
              <w:right w:val="single" w:sz="8" w:color="7F7F7F"/>
            </w:tcBorders>
            <w:shd w:val="clear" w:color="auto" w:fill="EAEAEA"/>
          </w:tcPr>
          <w:p>
            <w:pPr>
              <w:jc w:val="center"/>
              <w:ind w:left="144"/>
              <w:spacing w:after="0"/>
              <w:rPr>
                <w:sz w:val="20"/>
                <w:szCs w:val="20"/>
                <w:color w:val="auto"/>
              </w:rPr>
            </w:pPr>
            <w:r>
              <w:rPr>
                <w:rFonts w:ascii="Arial" w:cs="Arial" w:eastAsia="Arial" w:hAnsi="Arial"/>
                <w:sz w:val="16"/>
                <w:szCs w:val="16"/>
                <w:color w:val="auto"/>
              </w:rPr>
              <w:t>$850,000 (100% of base salary)</w:t>
            </w:r>
          </w:p>
        </w:tc>
        <w:tc>
          <w:tcPr>
            <w:tcW w:w="2740" w:type="dxa"/>
            <w:vAlign w:val="bottom"/>
            <w:tcBorders>
              <w:bottom w:val="single" w:sz="8" w:color="7F7F7F"/>
            </w:tcBorders>
            <w:shd w:val="clear" w:color="auto" w:fill="EAEAEA"/>
          </w:tcPr>
          <w:p>
            <w:pPr>
              <w:jc w:val="right"/>
              <w:ind w:right="764"/>
              <w:spacing w:after="0"/>
              <w:rPr>
                <w:sz w:val="20"/>
                <w:szCs w:val="20"/>
                <w:color w:val="auto"/>
              </w:rPr>
            </w:pPr>
            <w:r>
              <w:rPr>
                <w:rFonts w:ascii="Arial" w:cs="Arial" w:eastAsia="Arial" w:hAnsi="Arial"/>
                <w:sz w:val="16"/>
                <w:szCs w:val="16"/>
                <w:color w:val="auto"/>
              </w:rPr>
              <w:t>$2,000,000</w:t>
            </w:r>
          </w:p>
        </w:tc>
      </w:tr>
      <w:tr>
        <w:trPr>
          <w:trHeight w:val="183"/>
        </w:trPr>
        <w:tc>
          <w:tcPr>
            <w:tcW w:w="1900" w:type="dxa"/>
            <w:vAlign w:val="bottom"/>
            <w:tcBorders>
              <w:left w:val="single" w:sz="8" w:color="7F7F7F"/>
              <w:bottom w:val="single" w:sz="8" w:color="7F7F7F"/>
              <w:right w:val="single" w:sz="8" w:color="7F7F7F"/>
            </w:tcBorders>
            <w:shd w:val="clear" w:color="auto" w:fill="EAEAEA"/>
          </w:tcPr>
          <w:p>
            <w:pPr>
              <w:ind w:left="240"/>
              <w:spacing w:after="0" w:line="183" w:lineRule="exact"/>
              <w:rPr>
                <w:sz w:val="20"/>
                <w:szCs w:val="20"/>
                <w:color w:val="auto"/>
              </w:rPr>
            </w:pPr>
            <w:r>
              <w:rPr>
                <w:rFonts w:ascii="Arial" w:cs="Arial" w:eastAsia="Arial" w:hAnsi="Arial"/>
                <w:sz w:val="16"/>
                <w:szCs w:val="16"/>
                <w:color w:val="auto"/>
              </w:rPr>
              <w:t>Mr. Emerson</w:t>
            </w:r>
          </w:p>
        </w:tc>
        <w:tc>
          <w:tcPr>
            <w:tcW w:w="1080" w:type="dxa"/>
            <w:vAlign w:val="bottom"/>
            <w:tcBorders>
              <w:bottom w:val="single" w:sz="8" w:color="7F7F7F"/>
              <w:right w:val="single" w:sz="8" w:color="7F7F7F"/>
            </w:tcBorders>
            <w:shd w:val="clear" w:color="auto" w:fill="EAEAEA"/>
          </w:tcPr>
          <w:p>
            <w:pPr>
              <w:jc w:val="center"/>
              <w:ind w:left="122"/>
              <w:spacing w:after="0" w:line="183" w:lineRule="exact"/>
              <w:rPr>
                <w:sz w:val="20"/>
                <w:szCs w:val="20"/>
                <w:color w:val="auto"/>
              </w:rPr>
            </w:pPr>
            <w:r>
              <w:rPr>
                <w:rFonts w:ascii="Arial" w:cs="Arial" w:eastAsia="Arial" w:hAnsi="Arial"/>
                <w:sz w:val="16"/>
                <w:szCs w:val="16"/>
                <w:color w:val="auto"/>
              </w:rPr>
              <w:t>$540,000</w:t>
            </w:r>
          </w:p>
        </w:tc>
        <w:tc>
          <w:tcPr>
            <w:tcW w:w="4200" w:type="dxa"/>
            <w:vAlign w:val="bottom"/>
            <w:tcBorders>
              <w:bottom w:val="single" w:sz="8" w:color="7F7F7F"/>
              <w:right w:val="single" w:sz="8" w:color="7F7F7F"/>
            </w:tcBorders>
            <w:shd w:val="clear" w:color="auto" w:fill="EAEAEA"/>
          </w:tcPr>
          <w:p>
            <w:pPr>
              <w:jc w:val="center"/>
              <w:ind w:left="124"/>
              <w:spacing w:after="0" w:line="183" w:lineRule="exact"/>
              <w:rPr>
                <w:sz w:val="20"/>
                <w:szCs w:val="20"/>
                <w:color w:val="auto"/>
              </w:rPr>
            </w:pPr>
            <w:r>
              <w:rPr>
                <w:rFonts w:ascii="Arial" w:cs="Arial" w:eastAsia="Arial" w:hAnsi="Arial"/>
                <w:sz w:val="16"/>
                <w:szCs w:val="16"/>
                <w:color w:val="auto"/>
              </w:rPr>
              <w:t>$378,000 (70% of base salary)</w:t>
            </w:r>
          </w:p>
        </w:tc>
        <w:tc>
          <w:tcPr>
            <w:tcW w:w="2740" w:type="dxa"/>
            <w:vAlign w:val="bottom"/>
            <w:tcBorders>
              <w:bottom w:val="single" w:sz="8" w:color="7F7F7F"/>
            </w:tcBorders>
            <w:shd w:val="clear" w:color="auto" w:fill="EAEAEA"/>
          </w:tcPr>
          <w:p>
            <w:pPr>
              <w:jc w:val="right"/>
              <w:ind w:right="824"/>
              <w:spacing w:after="0" w:line="183" w:lineRule="exact"/>
              <w:rPr>
                <w:sz w:val="20"/>
                <w:szCs w:val="20"/>
                <w:color w:val="auto"/>
              </w:rPr>
            </w:pPr>
            <w:r>
              <w:rPr>
                <w:rFonts w:ascii="Arial" w:cs="Arial" w:eastAsia="Arial" w:hAnsi="Arial"/>
                <w:sz w:val="16"/>
                <w:szCs w:val="16"/>
                <w:color w:val="auto"/>
              </w:rPr>
              <w:t>$700,000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283210</wp:posOffset>
            </wp:positionV>
            <wp:extent cx="291465" cy="274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bl>
    <w:p>
      <w:pPr>
        <w:sectPr>
          <w:pgSz w:w="11900" w:h="16838" w:orient="portrait"/>
          <w:cols w:equalWidth="0" w:num="1">
            <w:col w:w="10580"/>
          </w:cols>
          <w:pgMar w:left="320" w:top="459" w:right="9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660" w:right="100"/>
        <w:spacing w:after="0" w:line="251" w:lineRule="auto"/>
        <w:rPr>
          <w:sz w:val="20"/>
          <w:szCs w:val="20"/>
          <w:color w:val="auto"/>
        </w:rPr>
      </w:pPr>
      <w:r>
        <w:rPr>
          <w:rFonts w:ascii="Arial" w:cs="Arial" w:eastAsia="Arial" w:hAnsi="Arial"/>
          <w:sz w:val="16"/>
          <w:szCs w:val="16"/>
          <w:color w:val="auto"/>
        </w:rPr>
        <w:t>As a result of the Company’s Adjusted EBITDA performance for fiscal 2020, Ms. Goldstein and Mr. Emerson each received the maximum cash bonus for such period in the following amounts: Ms. Goldstein $1,700,000; Mr. Emerson $756,000. For a discussion of the Company’s Adjusted EBITDA goals and performance, see “Compensation Discussion and Analysis—Executive Summary—Fiscal 2020 Variable Compensation Targets and Performance Achievement.”</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IV. Competitive Market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right="140"/>
        <w:spacing w:after="0" w:line="251" w:lineRule="auto"/>
        <w:rPr>
          <w:sz w:val="20"/>
          <w:szCs w:val="20"/>
          <w:color w:val="auto"/>
        </w:rPr>
      </w:pPr>
      <w:r>
        <w:rPr>
          <w:rFonts w:ascii="Arial" w:cs="Arial" w:eastAsia="Arial" w:hAnsi="Arial"/>
          <w:sz w:val="16"/>
          <w:szCs w:val="16"/>
          <w:color w:val="auto"/>
        </w:rPr>
        <w:t>The Compensation Committee determines pay levels for our NEOs based on a number of factors, including the individual’s role and responsibilities within the Company, the individual’s experience and expertise, historical compensation actually realized by the individual, pay levels in the marketplace for similar positions, and performance of the individual and the Company as a whole. In determining pay levels, the Compensation Committee considers all forms of compensation and benefits, including the mix thereof.</w:t>
      </w:r>
    </w:p>
    <w:p>
      <w:pPr>
        <w:spacing w:after="0" w:line="202"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6"/>
          <w:szCs w:val="16"/>
          <w:color w:val="auto"/>
        </w:rPr>
        <w:t>After consideration of data collected on external competitive levels of compensation and internal relationships within the executive group, the Compensation Committee makes decisions regarding each individual NEO’s target total compensation opportunity based on the need to attract, motivate and retain an experienced and effective management team.</w:t>
      </w:r>
    </w:p>
    <w:p>
      <w:pPr>
        <w:spacing w:after="0" w:line="201" w:lineRule="exact"/>
        <w:rPr>
          <w:sz w:val="20"/>
          <w:szCs w:val="20"/>
          <w:color w:val="auto"/>
        </w:rPr>
      </w:pPr>
    </w:p>
    <w:p>
      <w:pPr>
        <w:jc w:val="both"/>
        <w:ind w:left="660" w:right="180"/>
        <w:spacing w:after="0" w:line="253" w:lineRule="auto"/>
        <w:rPr>
          <w:sz w:val="20"/>
          <w:szCs w:val="20"/>
          <w:color w:val="auto"/>
        </w:rPr>
      </w:pPr>
      <w:r>
        <w:rPr>
          <w:rFonts w:ascii="Arial" w:cs="Arial" w:eastAsia="Arial" w:hAnsi="Arial"/>
          <w:sz w:val="16"/>
          <w:szCs w:val="16"/>
          <w:color w:val="auto"/>
        </w:rPr>
        <w:t>Each year, the Compensation Committee reviews and approves the peer group companies that are used to evaluate competitive market compensation. In doing so, the Compensation Committee seeks to approve a peer group that is representative of the sector in which we operate and includes companies with similar revenue and market capitalization as Take-Two.</w:t>
      </w:r>
    </w:p>
    <w:p>
      <w:pPr>
        <w:spacing w:after="0" w:line="201" w:lineRule="exact"/>
        <w:rPr>
          <w:sz w:val="20"/>
          <w:szCs w:val="20"/>
          <w:color w:val="auto"/>
        </w:rPr>
      </w:pPr>
    </w:p>
    <w:p>
      <w:pPr>
        <w:ind w:left="660" w:right="80"/>
        <w:spacing w:after="0" w:line="248" w:lineRule="auto"/>
        <w:rPr>
          <w:sz w:val="20"/>
          <w:szCs w:val="20"/>
          <w:color w:val="auto"/>
        </w:rPr>
      </w:pPr>
      <w:r>
        <w:rPr>
          <w:rFonts w:ascii="Arial" w:cs="Arial" w:eastAsia="Arial" w:hAnsi="Arial"/>
          <w:sz w:val="16"/>
          <w:szCs w:val="16"/>
          <w:color w:val="auto"/>
        </w:rPr>
        <w:t>While the Compensation Committee believes that the peer group consists of a collection of companies for which executive compensation information is publicly available that are most comparable to the Company, the Compensation Committee understands that Take-Two has a limited number of direct competitors in the videogame industry and that many of the Company’s competitors are either privately held and/or incorporated in foreign jurisdictions which do not require public disclosure of executive compensation. This dynamic creates added challenges when constructing a statistically reliable set of peers and requires that the Company both include the few direct competitors it has in the group, even if larger, and to expand its pool of potential peer companies to those that are tangentially related to the Company (i.e., internet and technology, and entertainment and leisure companies) and with which the Company may not compete directly to attract and retain talent. While imperfect, the Compensation Committee believes the peer group selected is representative of the sector in which the Company operates, and includes companies with similar revenue and market capitalization as Take-Two.</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Fiscal 2020 Peer Group</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peer group used to evaluate competitive market compensation of NEOs for fiscal 2020 was composed of the following 16 companies:</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005CB9"/>
              </w:rPr>
              <w:t>Videogame</w:t>
            </w:r>
          </w:p>
        </w:tc>
        <w:tc>
          <w:tcPr>
            <w:tcW w:w="50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005CB9"/>
              </w:rPr>
              <w:t>Internet &amp; Technology</w:t>
            </w:r>
          </w:p>
        </w:tc>
        <w:tc>
          <w:tcPr>
            <w:tcW w:w="3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005CB9"/>
              </w:rPr>
              <w:t>Entertainment &amp; Leisure</w:t>
            </w:r>
          </w:p>
        </w:tc>
      </w:tr>
      <w:tr>
        <w:trPr>
          <w:trHeight w:val="152"/>
        </w:trPr>
        <w:tc>
          <w:tcPr>
            <w:tcW w:w="20" w:type="dxa"/>
            <w:vAlign w:val="bottom"/>
          </w:tcPr>
          <w:p>
            <w:pPr>
              <w:spacing w:after="0"/>
              <w:rPr>
                <w:sz w:val="13"/>
                <w:szCs w:val="13"/>
                <w:color w:val="auto"/>
              </w:rPr>
            </w:pPr>
          </w:p>
        </w:tc>
        <w:tc>
          <w:tcPr>
            <w:tcW w:w="120" w:type="dxa"/>
            <w:vAlign w:val="bottom"/>
          </w:tcPr>
          <w:p>
            <w:pPr>
              <w:spacing w:after="0" w:line="152" w:lineRule="exact"/>
              <w:rPr>
                <w:sz w:val="20"/>
                <w:szCs w:val="20"/>
                <w:color w:val="auto"/>
              </w:rPr>
            </w:pPr>
            <w:r>
              <w:rPr>
                <w:rFonts w:ascii="Arial" w:cs="Arial" w:eastAsia="Arial" w:hAnsi="Arial"/>
                <w:sz w:val="15"/>
                <w:szCs w:val="15"/>
                <w:color w:val="005CB9"/>
              </w:rPr>
              <w:t>•</w:t>
            </w:r>
          </w:p>
        </w:tc>
        <w:tc>
          <w:tcPr>
            <w:tcW w:w="1960" w:type="dxa"/>
            <w:vAlign w:val="bottom"/>
          </w:tcPr>
          <w:p>
            <w:pPr>
              <w:ind w:left="60"/>
              <w:spacing w:after="0" w:line="152" w:lineRule="exact"/>
              <w:rPr>
                <w:sz w:val="20"/>
                <w:szCs w:val="20"/>
                <w:color w:val="auto"/>
              </w:rPr>
            </w:pPr>
            <w:r>
              <w:rPr>
                <w:rFonts w:ascii="Arial" w:cs="Arial" w:eastAsia="Arial" w:hAnsi="Arial"/>
                <w:sz w:val="15"/>
                <w:szCs w:val="15"/>
                <w:color w:val="auto"/>
              </w:rPr>
              <w:t>Activision Blizzard Inc.</w:t>
            </w:r>
          </w:p>
        </w:tc>
        <w:tc>
          <w:tcPr>
            <w:tcW w:w="500" w:type="dxa"/>
            <w:vAlign w:val="bottom"/>
          </w:tcPr>
          <w:p>
            <w:pPr>
              <w:ind w:left="380"/>
              <w:spacing w:after="0" w:line="152" w:lineRule="exact"/>
              <w:rPr>
                <w:sz w:val="20"/>
                <w:szCs w:val="20"/>
                <w:color w:val="auto"/>
              </w:rPr>
            </w:pPr>
            <w:r>
              <w:rPr>
                <w:rFonts w:ascii="Arial" w:cs="Arial" w:eastAsia="Arial" w:hAnsi="Arial"/>
                <w:sz w:val="15"/>
                <w:szCs w:val="15"/>
                <w:color w:val="005CB9"/>
              </w:rPr>
              <w:t>•</w:t>
            </w:r>
          </w:p>
        </w:tc>
        <w:tc>
          <w:tcPr>
            <w:tcW w:w="2020" w:type="dxa"/>
            <w:vAlign w:val="bottom"/>
          </w:tcPr>
          <w:p>
            <w:pPr>
              <w:ind w:left="80"/>
              <w:spacing w:after="0" w:line="152" w:lineRule="exact"/>
              <w:rPr>
                <w:sz w:val="20"/>
                <w:szCs w:val="20"/>
                <w:color w:val="auto"/>
              </w:rPr>
            </w:pPr>
            <w:r>
              <w:rPr>
                <w:rFonts w:ascii="Arial" w:cs="Arial" w:eastAsia="Arial" w:hAnsi="Arial"/>
                <w:sz w:val="15"/>
                <w:szCs w:val="15"/>
                <w:color w:val="auto"/>
              </w:rPr>
              <w:t>Autodesk Inc.</w:t>
            </w:r>
          </w:p>
        </w:tc>
        <w:tc>
          <w:tcPr>
            <w:tcW w:w="480" w:type="dxa"/>
            <w:vAlign w:val="bottom"/>
          </w:tcPr>
          <w:p>
            <w:pPr>
              <w:ind w:left="340"/>
              <w:spacing w:after="0" w:line="152" w:lineRule="exact"/>
              <w:rPr>
                <w:sz w:val="20"/>
                <w:szCs w:val="20"/>
                <w:color w:val="auto"/>
              </w:rPr>
            </w:pPr>
            <w:r>
              <w:rPr>
                <w:rFonts w:ascii="Arial" w:cs="Arial" w:eastAsia="Arial" w:hAnsi="Arial"/>
                <w:sz w:val="15"/>
                <w:szCs w:val="15"/>
                <w:color w:val="005CB9"/>
              </w:rPr>
              <w:t>•</w:t>
            </w:r>
          </w:p>
        </w:tc>
        <w:tc>
          <w:tcPr>
            <w:tcW w:w="1760" w:type="dxa"/>
            <w:vAlign w:val="bottom"/>
          </w:tcPr>
          <w:p>
            <w:pPr>
              <w:ind w:left="60"/>
              <w:spacing w:after="0" w:line="152" w:lineRule="exact"/>
              <w:rPr>
                <w:sz w:val="20"/>
                <w:szCs w:val="20"/>
                <w:color w:val="auto"/>
              </w:rPr>
            </w:pPr>
            <w:r>
              <w:rPr>
                <w:rFonts w:ascii="Arial" w:cs="Arial" w:eastAsia="Arial" w:hAnsi="Arial"/>
                <w:sz w:val="15"/>
                <w:szCs w:val="15"/>
                <w:color w:val="auto"/>
              </w:rPr>
              <w:t>Nuance</w:t>
            </w:r>
          </w:p>
        </w:tc>
        <w:tc>
          <w:tcPr>
            <w:tcW w:w="320" w:type="dxa"/>
            <w:vAlign w:val="bottom"/>
          </w:tcPr>
          <w:p>
            <w:pPr>
              <w:ind w:left="200"/>
              <w:spacing w:after="0" w:line="152" w:lineRule="exact"/>
              <w:rPr>
                <w:sz w:val="20"/>
                <w:szCs w:val="20"/>
                <w:color w:val="auto"/>
              </w:rPr>
            </w:pPr>
            <w:r>
              <w:rPr>
                <w:rFonts w:ascii="Arial" w:cs="Arial" w:eastAsia="Arial" w:hAnsi="Arial"/>
                <w:sz w:val="15"/>
                <w:szCs w:val="15"/>
                <w:color w:val="005CB9"/>
              </w:rPr>
              <w:t>•</w:t>
            </w:r>
          </w:p>
        </w:tc>
        <w:tc>
          <w:tcPr>
            <w:tcW w:w="2740" w:type="dxa"/>
            <w:vAlign w:val="bottom"/>
          </w:tcPr>
          <w:p>
            <w:pPr>
              <w:ind w:left="80"/>
              <w:spacing w:after="0" w:line="152" w:lineRule="exact"/>
              <w:rPr>
                <w:sz w:val="20"/>
                <w:szCs w:val="20"/>
                <w:color w:val="auto"/>
              </w:rPr>
            </w:pPr>
            <w:r>
              <w:rPr>
                <w:rFonts w:ascii="Arial" w:cs="Arial" w:eastAsia="Arial" w:hAnsi="Arial"/>
                <w:sz w:val="15"/>
                <w:szCs w:val="15"/>
                <w:color w:val="auto"/>
              </w:rPr>
              <w:t>AMC Networks, Inc.</w:t>
            </w:r>
          </w:p>
        </w:tc>
      </w:tr>
      <w:tr>
        <w:trPr>
          <w:trHeight w:val="184"/>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ind w:left="100"/>
              <w:spacing w:after="0"/>
              <w:rPr>
                <w:sz w:val="20"/>
                <w:szCs w:val="20"/>
                <w:color w:val="auto"/>
              </w:rPr>
            </w:pPr>
            <w:r>
              <w:rPr>
                <w:rFonts w:ascii="Arial" w:cs="Arial" w:eastAsia="Arial" w:hAnsi="Arial"/>
                <w:sz w:val="15"/>
                <w:szCs w:val="15"/>
                <w:color w:val="auto"/>
              </w:rPr>
              <w:t>Communications, Inc.</w:t>
            </w:r>
          </w:p>
        </w:tc>
        <w:tc>
          <w:tcPr>
            <w:tcW w:w="32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230"/>
        </w:trPr>
        <w:tc>
          <w:tcPr>
            <w:tcW w:w="140" w:type="dxa"/>
            <w:vAlign w:val="bottom"/>
            <w:gridSpan w:val="2"/>
          </w:tcPr>
          <w:p>
            <w:pPr>
              <w:spacing w:after="0"/>
              <w:rPr>
                <w:sz w:val="20"/>
                <w:szCs w:val="20"/>
                <w:color w:val="auto"/>
              </w:rPr>
            </w:pPr>
            <w:r>
              <w:rPr>
                <w:rFonts w:ascii="Arial" w:cs="Arial" w:eastAsia="Arial" w:hAnsi="Arial"/>
                <w:sz w:val="15"/>
                <w:szCs w:val="15"/>
                <w:color w:val="005CB9"/>
              </w:rPr>
              <w:t>•</w:t>
            </w:r>
          </w:p>
        </w:tc>
        <w:tc>
          <w:tcPr>
            <w:tcW w:w="1960" w:type="dxa"/>
            <w:vAlign w:val="bottom"/>
          </w:tcPr>
          <w:p>
            <w:pPr>
              <w:ind w:left="80"/>
              <w:spacing w:after="0"/>
              <w:rPr>
                <w:sz w:val="20"/>
                <w:szCs w:val="20"/>
                <w:color w:val="auto"/>
              </w:rPr>
            </w:pPr>
            <w:r>
              <w:rPr>
                <w:rFonts w:ascii="Arial" w:cs="Arial" w:eastAsia="Arial" w:hAnsi="Arial"/>
                <w:sz w:val="15"/>
                <w:szCs w:val="15"/>
                <w:color w:val="auto"/>
              </w:rPr>
              <w:t>Electronic Arts Inc.</w:t>
            </w:r>
          </w:p>
        </w:tc>
        <w:tc>
          <w:tcPr>
            <w:tcW w:w="500" w:type="dxa"/>
            <w:vAlign w:val="bottom"/>
          </w:tcPr>
          <w:p>
            <w:pPr>
              <w:ind w:left="380"/>
              <w:spacing w:after="0"/>
              <w:rPr>
                <w:sz w:val="20"/>
                <w:szCs w:val="20"/>
                <w:color w:val="auto"/>
              </w:rPr>
            </w:pPr>
            <w:r>
              <w:rPr>
                <w:rFonts w:ascii="Arial" w:cs="Arial" w:eastAsia="Arial" w:hAnsi="Arial"/>
                <w:sz w:val="15"/>
                <w:szCs w:val="15"/>
                <w:color w:val="005CB9"/>
              </w:rPr>
              <w:t>•</w:t>
            </w:r>
          </w:p>
        </w:tc>
        <w:tc>
          <w:tcPr>
            <w:tcW w:w="2020" w:type="dxa"/>
            <w:vAlign w:val="bottom"/>
          </w:tcPr>
          <w:p>
            <w:pPr>
              <w:ind w:left="80"/>
              <w:spacing w:after="0"/>
              <w:rPr>
                <w:sz w:val="20"/>
                <w:szCs w:val="20"/>
                <w:color w:val="auto"/>
              </w:rPr>
            </w:pPr>
            <w:r>
              <w:rPr>
                <w:rFonts w:ascii="Arial" w:cs="Arial" w:eastAsia="Arial" w:hAnsi="Arial"/>
                <w:sz w:val="15"/>
                <w:szCs w:val="15"/>
                <w:color w:val="auto"/>
              </w:rPr>
              <w:t>Fair Isaac Corporation</w:t>
            </w:r>
          </w:p>
        </w:tc>
        <w:tc>
          <w:tcPr>
            <w:tcW w:w="480" w:type="dxa"/>
            <w:vAlign w:val="bottom"/>
          </w:tcPr>
          <w:p>
            <w:pPr>
              <w:ind w:left="340"/>
              <w:spacing w:after="0"/>
              <w:rPr>
                <w:sz w:val="20"/>
                <w:szCs w:val="20"/>
                <w:color w:val="auto"/>
              </w:rPr>
            </w:pPr>
            <w:r>
              <w:rPr>
                <w:rFonts w:ascii="Arial" w:cs="Arial" w:eastAsia="Arial" w:hAnsi="Arial"/>
                <w:sz w:val="15"/>
                <w:szCs w:val="15"/>
                <w:color w:val="005CB9"/>
              </w:rPr>
              <w:t>•</w:t>
            </w:r>
          </w:p>
        </w:tc>
        <w:tc>
          <w:tcPr>
            <w:tcW w:w="1760" w:type="dxa"/>
            <w:vAlign w:val="bottom"/>
          </w:tcPr>
          <w:p>
            <w:pPr>
              <w:ind w:left="60"/>
              <w:spacing w:after="0"/>
              <w:rPr>
                <w:sz w:val="20"/>
                <w:szCs w:val="20"/>
                <w:color w:val="auto"/>
              </w:rPr>
            </w:pPr>
            <w:r>
              <w:rPr>
                <w:rFonts w:ascii="Arial" w:cs="Arial" w:eastAsia="Arial" w:hAnsi="Arial"/>
                <w:sz w:val="15"/>
                <w:szCs w:val="15"/>
                <w:color w:val="auto"/>
              </w:rPr>
              <w:t>Red Hat, Inc.</w:t>
            </w:r>
          </w:p>
        </w:tc>
        <w:tc>
          <w:tcPr>
            <w:tcW w:w="320" w:type="dxa"/>
            <w:vAlign w:val="bottom"/>
          </w:tcPr>
          <w:p>
            <w:pPr>
              <w:ind w:left="200"/>
              <w:spacing w:after="0"/>
              <w:rPr>
                <w:sz w:val="20"/>
                <w:szCs w:val="20"/>
                <w:color w:val="auto"/>
              </w:rPr>
            </w:pPr>
            <w:r>
              <w:rPr>
                <w:rFonts w:ascii="Arial" w:cs="Arial" w:eastAsia="Arial" w:hAnsi="Arial"/>
                <w:sz w:val="15"/>
                <w:szCs w:val="15"/>
                <w:color w:val="005CB9"/>
              </w:rPr>
              <w:t>•</w:t>
            </w:r>
          </w:p>
        </w:tc>
        <w:tc>
          <w:tcPr>
            <w:tcW w:w="2740" w:type="dxa"/>
            <w:vAlign w:val="bottom"/>
          </w:tcPr>
          <w:p>
            <w:pPr>
              <w:ind w:left="80"/>
              <w:spacing w:after="0"/>
              <w:rPr>
                <w:sz w:val="20"/>
                <w:szCs w:val="20"/>
                <w:color w:val="auto"/>
              </w:rPr>
            </w:pPr>
            <w:r>
              <w:rPr>
                <w:rFonts w:ascii="Arial" w:cs="Arial" w:eastAsia="Arial" w:hAnsi="Arial"/>
                <w:sz w:val="15"/>
                <w:szCs w:val="15"/>
                <w:color w:val="auto"/>
              </w:rPr>
              <w:t>Scientific Games Corporation</w:t>
            </w:r>
          </w:p>
        </w:tc>
      </w:tr>
      <w:tr>
        <w:trPr>
          <w:trHeight w:val="230"/>
        </w:trPr>
        <w:tc>
          <w:tcPr>
            <w:tcW w:w="140" w:type="dxa"/>
            <w:vAlign w:val="bottom"/>
            <w:gridSpan w:val="2"/>
          </w:tcPr>
          <w:p>
            <w:pPr>
              <w:spacing w:after="0"/>
              <w:rPr>
                <w:sz w:val="20"/>
                <w:szCs w:val="20"/>
                <w:color w:val="auto"/>
              </w:rPr>
            </w:pPr>
            <w:r>
              <w:rPr>
                <w:rFonts w:ascii="Arial" w:cs="Arial" w:eastAsia="Arial" w:hAnsi="Arial"/>
                <w:sz w:val="15"/>
                <w:szCs w:val="15"/>
                <w:color w:val="005CB9"/>
              </w:rPr>
              <w:t>•</w:t>
            </w:r>
          </w:p>
        </w:tc>
        <w:tc>
          <w:tcPr>
            <w:tcW w:w="1960" w:type="dxa"/>
            <w:vAlign w:val="bottom"/>
          </w:tcPr>
          <w:p>
            <w:pPr>
              <w:ind w:left="80"/>
              <w:spacing w:after="0"/>
              <w:rPr>
                <w:sz w:val="20"/>
                <w:szCs w:val="20"/>
                <w:color w:val="auto"/>
              </w:rPr>
            </w:pPr>
            <w:r>
              <w:rPr>
                <w:rFonts w:ascii="Arial" w:cs="Arial" w:eastAsia="Arial" w:hAnsi="Arial"/>
                <w:sz w:val="15"/>
                <w:szCs w:val="15"/>
                <w:color w:val="auto"/>
              </w:rPr>
              <w:t>Zynga Inc.</w:t>
            </w:r>
          </w:p>
        </w:tc>
        <w:tc>
          <w:tcPr>
            <w:tcW w:w="500" w:type="dxa"/>
            <w:vAlign w:val="bottom"/>
          </w:tcPr>
          <w:p>
            <w:pPr>
              <w:ind w:left="380"/>
              <w:spacing w:after="0"/>
              <w:rPr>
                <w:sz w:val="20"/>
                <w:szCs w:val="20"/>
                <w:color w:val="auto"/>
              </w:rPr>
            </w:pPr>
            <w:r>
              <w:rPr>
                <w:rFonts w:ascii="Arial" w:cs="Arial" w:eastAsia="Arial" w:hAnsi="Arial"/>
                <w:sz w:val="15"/>
                <w:szCs w:val="15"/>
                <w:color w:val="005CB9"/>
              </w:rPr>
              <w:t>•</w:t>
            </w:r>
          </w:p>
        </w:tc>
        <w:tc>
          <w:tcPr>
            <w:tcW w:w="2020" w:type="dxa"/>
            <w:vAlign w:val="bottom"/>
          </w:tcPr>
          <w:p>
            <w:pPr>
              <w:ind w:left="80"/>
              <w:spacing w:after="0"/>
              <w:rPr>
                <w:sz w:val="20"/>
                <w:szCs w:val="20"/>
                <w:color w:val="auto"/>
              </w:rPr>
            </w:pPr>
            <w:r>
              <w:rPr>
                <w:rFonts w:ascii="Arial" w:cs="Arial" w:eastAsia="Arial" w:hAnsi="Arial"/>
                <w:sz w:val="15"/>
                <w:szCs w:val="15"/>
                <w:color w:val="auto"/>
              </w:rPr>
              <w:t>IAC/InterActiveCorp</w:t>
            </w:r>
          </w:p>
        </w:tc>
        <w:tc>
          <w:tcPr>
            <w:tcW w:w="480" w:type="dxa"/>
            <w:vAlign w:val="bottom"/>
          </w:tcPr>
          <w:p>
            <w:pPr>
              <w:ind w:left="340"/>
              <w:spacing w:after="0"/>
              <w:rPr>
                <w:sz w:val="20"/>
                <w:szCs w:val="20"/>
                <w:color w:val="auto"/>
              </w:rPr>
            </w:pPr>
            <w:r>
              <w:rPr>
                <w:rFonts w:ascii="Arial" w:cs="Arial" w:eastAsia="Arial" w:hAnsi="Arial"/>
                <w:sz w:val="15"/>
                <w:szCs w:val="15"/>
                <w:color w:val="005CB9"/>
              </w:rPr>
              <w:t>•</w:t>
            </w:r>
          </w:p>
        </w:tc>
        <w:tc>
          <w:tcPr>
            <w:tcW w:w="1760" w:type="dxa"/>
            <w:vAlign w:val="bottom"/>
          </w:tcPr>
          <w:p>
            <w:pPr>
              <w:ind w:left="60"/>
              <w:spacing w:after="0"/>
              <w:rPr>
                <w:sz w:val="20"/>
                <w:szCs w:val="20"/>
                <w:color w:val="auto"/>
              </w:rPr>
            </w:pPr>
            <w:r>
              <w:rPr>
                <w:rFonts w:ascii="Arial" w:cs="Arial" w:eastAsia="Arial" w:hAnsi="Arial"/>
                <w:sz w:val="15"/>
                <w:szCs w:val="15"/>
                <w:color w:val="auto"/>
              </w:rPr>
              <w:t>TiVo Corporation</w:t>
            </w:r>
          </w:p>
        </w:tc>
        <w:tc>
          <w:tcPr>
            <w:tcW w:w="320" w:type="dxa"/>
            <w:vAlign w:val="bottom"/>
          </w:tcPr>
          <w:p>
            <w:pPr>
              <w:ind w:left="200"/>
              <w:spacing w:after="0"/>
              <w:rPr>
                <w:sz w:val="20"/>
                <w:szCs w:val="20"/>
                <w:color w:val="auto"/>
              </w:rPr>
            </w:pPr>
            <w:r>
              <w:rPr>
                <w:rFonts w:ascii="Arial" w:cs="Arial" w:eastAsia="Arial" w:hAnsi="Arial"/>
                <w:sz w:val="15"/>
                <w:szCs w:val="15"/>
                <w:color w:val="005CB9"/>
              </w:rPr>
              <w:t>•</w:t>
            </w:r>
          </w:p>
        </w:tc>
        <w:tc>
          <w:tcPr>
            <w:tcW w:w="2740" w:type="dxa"/>
            <w:vAlign w:val="bottom"/>
          </w:tcPr>
          <w:p>
            <w:pPr>
              <w:ind w:left="80"/>
              <w:spacing w:after="0"/>
              <w:rPr>
                <w:sz w:val="20"/>
                <w:szCs w:val="20"/>
                <w:color w:val="auto"/>
              </w:rPr>
            </w:pPr>
            <w:r>
              <w:rPr>
                <w:rFonts w:ascii="Arial" w:cs="Arial" w:eastAsia="Arial" w:hAnsi="Arial"/>
                <w:sz w:val="15"/>
                <w:szCs w:val="15"/>
                <w:color w:val="auto"/>
              </w:rPr>
              <w:t>Hasbro, Inc.</w:t>
            </w: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ind w:left="380"/>
              <w:spacing w:after="0"/>
              <w:rPr>
                <w:sz w:val="20"/>
                <w:szCs w:val="20"/>
                <w:color w:val="auto"/>
              </w:rPr>
            </w:pPr>
            <w:r>
              <w:rPr>
                <w:rFonts w:ascii="Arial" w:cs="Arial" w:eastAsia="Arial" w:hAnsi="Arial"/>
                <w:sz w:val="15"/>
                <w:szCs w:val="15"/>
                <w:color w:val="005CB9"/>
              </w:rPr>
              <w:t>•</w:t>
            </w:r>
          </w:p>
        </w:tc>
        <w:tc>
          <w:tcPr>
            <w:tcW w:w="2020" w:type="dxa"/>
            <w:vAlign w:val="bottom"/>
          </w:tcPr>
          <w:p>
            <w:pPr>
              <w:ind w:left="80"/>
              <w:spacing w:after="0"/>
              <w:rPr>
                <w:sz w:val="20"/>
                <w:szCs w:val="20"/>
                <w:color w:val="auto"/>
              </w:rPr>
            </w:pPr>
            <w:r>
              <w:rPr>
                <w:rFonts w:ascii="Arial" w:cs="Arial" w:eastAsia="Arial" w:hAnsi="Arial"/>
                <w:sz w:val="15"/>
                <w:szCs w:val="15"/>
                <w:color w:val="auto"/>
              </w:rPr>
              <w:t>Sirius XM Holdings Inc.</w:t>
            </w:r>
          </w:p>
        </w:tc>
        <w:tc>
          <w:tcPr>
            <w:tcW w:w="480" w:type="dxa"/>
            <w:vAlign w:val="bottom"/>
          </w:tcPr>
          <w:p>
            <w:pPr>
              <w:ind w:left="340"/>
              <w:spacing w:after="0"/>
              <w:rPr>
                <w:sz w:val="20"/>
                <w:szCs w:val="20"/>
                <w:color w:val="auto"/>
              </w:rPr>
            </w:pPr>
            <w:r>
              <w:rPr>
                <w:rFonts w:ascii="Arial" w:cs="Arial" w:eastAsia="Arial" w:hAnsi="Arial"/>
                <w:sz w:val="15"/>
                <w:szCs w:val="15"/>
                <w:color w:val="005CB9"/>
              </w:rPr>
              <w:t>•</w:t>
            </w:r>
          </w:p>
        </w:tc>
        <w:tc>
          <w:tcPr>
            <w:tcW w:w="1760" w:type="dxa"/>
            <w:vAlign w:val="bottom"/>
          </w:tcPr>
          <w:p>
            <w:pPr>
              <w:ind w:left="60"/>
              <w:spacing w:after="0"/>
              <w:rPr>
                <w:sz w:val="20"/>
                <w:szCs w:val="20"/>
                <w:color w:val="auto"/>
              </w:rPr>
            </w:pPr>
            <w:r>
              <w:rPr>
                <w:rFonts w:ascii="Arial" w:cs="Arial" w:eastAsia="Arial" w:hAnsi="Arial"/>
                <w:sz w:val="15"/>
                <w:szCs w:val="15"/>
                <w:color w:val="auto"/>
              </w:rPr>
              <w:t>j2 Global, Inc.</w:t>
            </w:r>
          </w:p>
        </w:tc>
        <w:tc>
          <w:tcPr>
            <w:tcW w:w="320" w:type="dxa"/>
            <w:vAlign w:val="bottom"/>
          </w:tcPr>
          <w:p>
            <w:pPr>
              <w:ind w:left="200"/>
              <w:spacing w:after="0"/>
              <w:rPr>
                <w:sz w:val="20"/>
                <w:szCs w:val="20"/>
                <w:color w:val="auto"/>
              </w:rPr>
            </w:pPr>
            <w:r>
              <w:rPr>
                <w:rFonts w:ascii="Arial" w:cs="Arial" w:eastAsia="Arial" w:hAnsi="Arial"/>
                <w:sz w:val="15"/>
                <w:szCs w:val="15"/>
                <w:color w:val="005CB9"/>
              </w:rPr>
              <w:t>•</w:t>
            </w:r>
          </w:p>
        </w:tc>
        <w:tc>
          <w:tcPr>
            <w:tcW w:w="2740" w:type="dxa"/>
            <w:vAlign w:val="bottom"/>
          </w:tcPr>
          <w:p>
            <w:pPr>
              <w:ind w:left="80"/>
              <w:spacing w:after="0"/>
              <w:rPr>
                <w:sz w:val="20"/>
                <w:szCs w:val="20"/>
                <w:color w:val="auto"/>
              </w:rPr>
            </w:pPr>
            <w:r>
              <w:rPr>
                <w:rFonts w:ascii="Arial" w:cs="Arial" w:eastAsia="Arial" w:hAnsi="Arial"/>
                <w:sz w:val="15"/>
                <w:szCs w:val="15"/>
                <w:color w:val="auto"/>
              </w:rPr>
              <w:t>Lions Gate Entertainment Corp.</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0" w:type="dxa"/>
            <w:vAlign w:val="bottom"/>
          </w:tcPr>
          <w:p>
            <w:pPr>
              <w:ind w:left="200"/>
              <w:spacing w:after="0"/>
              <w:rPr>
                <w:sz w:val="20"/>
                <w:szCs w:val="20"/>
                <w:color w:val="auto"/>
              </w:rPr>
            </w:pPr>
            <w:r>
              <w:rPr>
                <w:rFonts w:ascii="Arial" w:cs="Arial" w:eastAsia="Arial" w:hAnsi="Arial"/>
                <w:sz w:val="15"/>
                <w:szCs w:val="15"/>
                <w:color w:val="005CB9"/>
              </w:rPr>
              <w:t>•</w:t>
            </w:r>
          </w:p>
        </w:tc>
        <w:tc>
          <w:tcPr>
            <w:tcW w:w="2740" w:type="dxa"/>
            <w:vAlign w:val="bottom"/>
          </w:tcPr>
          <w:p>
            <w:pPr>
              <w:ind w:left="80"/>
              <w:spacing w:after="0"/>
              <w:rPr>
                <w:sz w:val="20"/>
                <w:szCs w:val="20"/>
                <w:color w:val="auto"/>
              </w:rPr>
            </w:pPr>
            <w:r>
              <w:rPr>
                <w:rFonts w:ascii="Arial" w:cs="Arial" w:eastAsia="Arial" w:hAnsi="Arial"/>
                <w:sz w:val="15"/>
                <w:szCs w:val="15"/>
                <w:color w:val="auto"/>
              </w:rPr>
              <w:t>Mattel, Inc.</w:t>
            </w:r>
          </w:p>
        </w:tc>
      </w:tr>
    </w:tbl>
    <w:p>
      <w:pPr>
        <w:spacing w:after="0" w:line="199" w:lineRule="exact"/>
        <w:rPr>
          <w:sz w:val="20"/>
          <w:szCs w:val="20"/>
          <w:color w:val="auto"/>
        </w:rPr>
      </w:pPr>
    </w:p>
    <w:p>
      <w:pPr>
        <w:ind w:left="660" w:right="60"/>
        <w:spacing w:after="0" w:line="253" w:lineRule="auto"/>
        <w:rPr>
          <w:sz w:val="20"/>
          <w:szCs w:val="20"/>
          <w:color w:val="auto"/>
        </w:rPr>
      </w:pPr>
      <w:r>
        <w:rPr>
          <w:rFonts w:ascii="Arial" w:cs="Arial" w:eastAsia="Arial" w:hAnsi="Arial"/>
          <w:sz w:val="16"/>
          <w:szCs w:val="16"/>
          <w:color w:val="auto"/>
        </w:rPr>
        <w:t>The fiscal 2020 peer group is the same as the peer group analyzed for our fiscal 2019 incentive program, except that Pandora Media, Inc. was removed and replaced with Sirius XM Holdings Inc. which purchased Pandora Media in 2019 and is also engaged in other entertainment or consumer content businesses similar 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272415</wp:posOffset>
            </wp:positionV>
            <wp:extent cx="291465" cy="274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Fiscal 2021 Peer Group</w:t>
      </w:r>
    </w:p>
    <w:p>
      <w:pPr>
        <w:spacing w:after="0" w:line="133" w:lineRule="exact"/>
        <w:rPr>
          <w:sz w:val="20"/>
          <w:szCs w:val="20"/>
          <w:color w:val="auto"/>
        </w:rPr>
      </w:pPr>
    </w:p>
    <w:p>
      <w:pPr>
        <w:jc w:val="both"/>
        <w:ind w:left="660" w:right="80"/>
        <w:spacing w:after="0" w:line="251" w:lineRule="auto"/>
        <w:rPr>
          <w:sz w:val="20"/>
          <w:szCs w:val="20"/>
          <w:color w:val="auto"/>
        </w:rPr>
      </w:pPr>
      <w:r>
        <w:rPr>
          <w:rFonts w:ascii="Arial" w:cs="Arial" w:eastAsia="Arial" w:hAnsi="Arial"/>
          <w:sz w:val="16"/>
          <w:szCs w:val="16"/>
          <w:color w:val="auto"/>
        </w:rPr>
        <w:t>Peer groups require periodic review for fit to ensure that the peer framework continues to provide an appropriate benchmark for executive pay levels and other policies and practices. As such, to support development of our incentive program for fiscal 2021, Frederic W. Cook &amp; Co., Inc. performed a peer group analysis in June 2020 and recommended certain adjustments to the peer group, which were adopted by our Compensation Committee.</w:t>
      </w:r>
    </w:p>
    <w:p>
      <w:pPr>
        <w:spacing w:after="0" w:line="202" w:lineRule="exact"/>
        <w:rPr>
          <w:sz w:val="20"/>
          <w:szCs w:val="20"/>
          <w:color w:val="auto"/>
        </w:rPr>
      </w:pPr>
    </w:p>
    <w:p>
      <w:pPr>
        <w:ind w:left="660" w:right="160"/>
        <w:spacing w:after="0" w:line="249" w:lineRule="auto"/>
        <w:rPr>
          <w:sz w:val="20"/>
          <w:szCs w:val="20"/>
          <w:color w:val="auto"/>
        </w:rPr>
      </w:pPr>
      <w:r>
        <w:rPr>
          <w:rFonts w:ascii="Arial" w:cs="Arial" w:eastAsia="Arial" w:hAnsi="Arial"/>
          <w:sz w:val="16"/>
          <w:szCs w:val="16"/>
          <w:color w:val="auto"/>
        </w:rPr>
        <w:t>The Compensation Committee determined that the following changes should be made to the peer group for purposes of compensation planning for fiscal 2021, as compared to the peer group used for purposes of compensation planning for fiscal 2020: remove Red Hat, Inc., which was acquired by IBM in July 2019, and TiVo Corporation due to its smaller size and weaker business fit following its expected merger with Xperi Corporation in the first half of 2020; add NortonLifeLock Inc., which is similar in size to the Company and also is a consumer technology company, and Roku, Inc., which is engaged in other entertainment or consumer content businesses similar to the Company’s business.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Target Determinations</w:t>
      </w:r>
    </w:p>
    <w:p>
      <w:pPr>
        <w:spacing w:after="0" w:line="133" w:lineRule="exact"/>
        <w:rPr>
          <w:sz w:val="20"/>
          <w:szCs w:val="20"/>
          <w:color w:val="auto"/>
        </w:rPr>
      </w:pPr>
    </w:p>
    <w:p>
      <w:pPr>
        <w:ind w:left="660" w:right="100"/>
        <w:spacing w:after="0" w:line="218" w:lineRule="auto"/>
        <w:rPr>
          <w:sz w:val="20"/>
          <w:szCs w:val="20"/>
          <w:color w:val="auto"/>
        </w:rPr>
      </w:pPr>
      <w:r>
        <w:rPr>
          <w:rFonts w:ascii="Arial" w:cs="Arial" w:eastAsia="Arial" w:hAnsi="Arial"/>
          <w:sz w:val="16"/>
          <w:szCs w:val="16"/>
          <w:color w:val="auto"/>
        </w:rPr>
        <w:t>The Compensation Committee annually reviews total NEO compensation as compared to competitive market data. For purposes of calculating annual target compensation for any fiscal year, the Compensation Committee includes annual base salary, annual target cash bonus, annual target long-term incentive compensation and any special awards. Ms. Goldstein’s and Mr. Emerson’s annual pay targets in fiscal 2020 are both between the median and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peer group used by the Company in considering executive compensation.</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V. Principal Elements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right="260"/>
        <w:spacing w:after="0" w:line="260" w:lineRule="auto"/>
        <w:rPr>
          <w:sz w:val="20"/>
          <w:szCs w:val="20"/>
          <w:color w:val="auto"/>
        </w:rPr>
      </w:pPr>
      <w:r>
        <w:rPr>
          <w:rFonts w:ascii="Arial" w:cs="Arial" w:eastAsia="Arial" w:hAnsi="Arial"/>
          <w:sz w:val="16"/>
          <w:szCs w:val="16"/>
          <w:color w:val="auto"/>
        </w:rPr>
        <w:t>The following describes compensation processes and programs with respect to the NEOs other than the Executive Chairman and CEO and the President.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Pay Elements—Overview</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Executive compensation for our NEOs consists of the following elements:</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05CB9"/>
              </w:rPr>
              <w:t>Direct Compensation Elements</w:t>
            </w:r>
          </w:p>
        </w:tc>
        <w:tc>
          <w:tcPr>
            <w:tcW w:w="6260" w:type="dxa"/>
            <w:vAlign w:val="bottom"/>
            <w:tcBorders>
              <w:bottom w:val="single" w:sz="8" w:color="auto"/>
            </w:tcBorders>
          </w:tcPr>
          <w:p>
            <w:pPr>
              <w:ind w:left="2760"/>
              <w:spacing w:after="0"/>
              <w:rPr>
                <w:sz w:val="20"/>
                <w:szCs w:val="20"/>
                <w:color w:val="auto"/>
              </w:rPr>
            </w:pPr>
            <w:r>
              <w:rPr>
                <w:rFonts w:ascii="Arial" w:cs="Arial" w:eastAsia="Arial" w:hAnsi="Arial"/>
                <w:sz w:val="14"/>
                <w:szCs w:val="14"/>
                <w:b w:val="1"/>
                <w:bCs w:val="1"/>
                <w:color w:val="005CB9"/>
              </w:rPr>
              <w:t>Indirect Compensation Elements</w:t>
            </w:r>
          </w:p>
        </w:tc>
      </w:tr>
      <w:tr>
        <w:trPr>
          <w:trHeight w:val="190"/>
        </w:trPr>
        <w:tc>
          <w:tcPr>
            <w:tcW w:w="3660" w:type="dxa"/>
            <w:vAlign w:val="bottom"/>
          </w:tcPr>
          <w:p>
            <w:pPr>
              <w:spacing w:after="0"/>
              <w:rPr>
                <w:sz w:val="20"/>
                <w:szCs w:val="20"/>
                <w:color w:val="auto"/>
              </w:rPr>
            </w:pPr>
            <w:r>
              <w:rPr>
                <w:rFonts w:ascii="Arial" w:cs="Arial" w:eastAsia="Arial" w:hAnsi="Arial"/>
                <w:sz w:val="16"/>
                <w:szCs w:val="16"/>
                <w:color w:val="auto"/>
              </w:rPr>
              <w:t>Base Salary</w:t>
            </w:r>
          </w:p>
        </w:tc>
        <w:tc>
          <w:tcPr>
            <w:tcW w:w="6260" w:type="dxa"/>
            <w:vAlign w:val="bottom"/>
          </w:tcPr>
          <w:p>
            <w:pPr>
              <w:ind w:left="1500"/>
              <w:spacing w:after="0"/>
              <w:rPr>
                <w:sz w:val="20"/>
                <w:szCs w:val="20"/>
                <w:color w:val="auto"/>
              </w:rPr>
            </w:pPr>
            <w:r>
              <w:rPr>
                <w:rFonts w:ascii="Arial" w:cs="Arial" w:eastAsia="Arial" w:hAnsi="Arial"/>
                <w:sz w:val="16"/>
                <w:szCs w:val="16"/>
                <w:color w:val="auto"/>
              </w:rPr>
              <w:t>Other Compensation/Employee Benefits</w:t>
            </w:r>
          </w:p>
        </w:tc>
      </w:tr>
      <w:tr>
        <w:trPr>
          <w:trHeight w:val="257"/>
        </w:trPr>
        <w:tc>
          <w:tcPr>
            <w:tcW w:w="3660" w:type="dxa"/>
            <w:vAlign w:val="bottom"/>
          </w:tcPr>
          <w:p>
            <w:pPr>
              <w:spacing w:after="0"/>
              <w:rPr>
                <w:sz w:val="20"/>
                <w:szCs w:val="20"/>
                <w:color w:val="auto"/>
              </w:rPr>
            </w:pPr>
            <w:r>
              <w:rPr>
                <w:rFonts w:ascii="Arial" w:cs="Arial" w:eastAsia="Arial" w:hAnsi="Arial"/>
                <w:sz w:val="16"/>
                <w:szCs w:val="16"/>
                <w:color w:val="auto"/>
              </w:rPr>
              <w:t>Annual Cash Incentive</w:t>
            </w:r>
          </w:p>
        </w:tc>
        <w:tc>
          <w:tcPr>
            <w:tcW w:w="6260" w:type="dxa"/>
            <w:vAlign w:val="bottom"/>
          </w:tcPr>
          <w:p>
            <w:pPr>
              <w:ind w:left="1500"/>
              <w:spacing w:after="0"/>
              <w:rPr>
                <w:sz w:val="20"/>
                <w:szCs w:val="20"/>
                <w:color w:val="auto"/>
              </w:rPr>
            </w:pPr>
            <w:r>
              <w:rPr>
                <w:rFonts w:ascii="Arial" w:cs="Arial" w:eastAsia="Arial" w:hAnsi="Arial"/>
                <w:sz w:val="16"/>
                <w:szCs w:val="16"/>
                <w:color w:val="auto"/>
              </w:rPr>
              <w:t>Severance and Change in Control Protection</w:t>
            </w:r>
          </w:p>
        </w:tc>
      </w:tr>
      <w:tr>
        <w:trPr>
          <w:trHeight w:val="256"/>
        </w:trPr>
        <w:tc>
          <w:tcPr>
            <w:tcW w:w="3660" w:type="dxa"/>
            <w:vAlign w:val="bottom"/>
          </w:tcPr>
          <w:p>
            <w:pPr>
              <w:spacing w:after="0"/>
              <w:rPr>
                <w:sz w:val="20"/>
                <w:szCs w:val="20"/>
                <w:color w:val="auto"/>
              </w:rPr>
            </w:pPr>
            <w:r>
              <w:rPr>
                <w:rFonts w:ascii="Arial" w:cs="Arial" w:eastAsia="Arial" w:hAnsi="Arial"/>
                <w:sz w:val="16"/>
                <w:szCs w:val="16"/>
                <w:color w:val="auto"/>
              </w:rPr>
              <w:t>Long-Term Equity Incentives</w:t>
            </w:r>
          </w:p>
        </w:tc>
        <w:tc>
          <w:tcPr>
            <w:tcW w:w="6260" w:type="dxa"/>
            <w:vAlign w:val="bottom"/>
          </w:tcPr>
          <w:p>
            <w:pPr>
              <w:spacing w:after="0"/>
              <w:rPr>
                <w:sz w:val="22"/>
                <w:szCs w:val="22"/>
                <w:color w:val="auto"/>
              </w:rPr>
            </w:pPr>
          </w:p>
        </w:tc>
      </w:tr>
    </w:tbl>
    <w:p>
      <w:pPr>
        <w:spacing w:after="0" w:line="29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Base Salary</w:t>
      </w:r>
    </w:p>
    <w:p>
      <w:pPr>
        <w:spacing w:after="0" w:line="133"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color w:val="auto"/>
        </w:rPr>
        <w:t>Base salary is intended to provide fixed pay that takes into account an NEO’s role and responsibilities, experience, expertise, marketplace comparables and individual performance, and although established by the NEOs’ employment agreements, is subject to annual review by the Compensation Committee, including for discretionary year-to-year increases. On May 17, 2018, the Company entered into a third amendment to its employment agreement with Ms. Goldstein to extend the term of the agreement through March 31, 2023. In connection with this amendment, effective as of April 1, 2018, Ms. Goldstein’s base salary was increased to a fixed salary of $850,000 for the remainder of the agreement term, with no automatic, annual cost of living increases, but subject to increase from time to time, as determined by the Company.</w:t>
      </w:r>
    </w:p>
    <w:p>
      <w:pPr>
        <w:spacing w:after="0" w:line="208" w:lineRule="exact"/>
        <w:rPr>
          <w:sz w:val="20"/>
          <w:szCs w:val="20"/>
          <w:color w:val="auto"/>
        </w:rPr>
      </w:pPr>
    </w:p>
    <w:p>
      <w:pPr>
        <w:ind w:left="660" w:right="40"/>
        <w:spacing w:after="0" w:line="251" w:lineRule="auto"/>
        <w:rPr>
          <w:sz w:val="20"/>
          <w:szCs w:val="20"/>
          <w:color w:val="auto"/>
        </w:rPr>
      </w:pPr>
      <w:r>
        <w:rPr>
          <w:rFonts w:ascii="Arial" w:cs="Arial" w:eastAsia="Arial" w:hAnsi="Arial"/>
          <w:sz w:val="16"/>
          <w:szCs w:val="16"/>
          <w:color w:val="auto"/>
        </w:rPr>
        <w:t>Mr. Emerson’s base salary was $540,000 in both of fiscal 2019 and fiscal 2020 based on peer benchmarking. On May 26, 2020, the Compensation Committee determined that the fiscal 2021 base salary for Ms. Goldstein would remain at its fiscal 2020 level based on peer benchmarking, and approved an increase to Mr. Emerson’s base salary for fiscal 2021, effective April 1, 2020, to $625,000, based on Mr. Emerson’s strong individual performance and value to the organization as a key senior leader and peer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273050</wp:posOffset>
            </wp:positionV>
            <wp:extent cx="291465"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bl>
    <w:p>
      <w:pPr>
        <w:sectPr>
          <w:pgSz w:w="11900" w:h="16838" w:orient="portrait"/>
          <w:cols w:equalWidth="0" w:num="1">
            <w:col w:w="10580"/>
          </w:cols>
          <w:pgMar w:left="320" w:top="459" w:right="9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Annual Cash Incentive</w:t>
      </w:r>
    </w:p>
    <w:p>
      <w:pPr>
        <w:spacing w:after="0" w:line="133" w:lineRule="exact"/>
        <w:rPr>
          <w:sz w:val="20"/>
          <w:szCs w:val="20"/>
          <w:color w:val="auto"/>
        </w:rPr>
      </w:pPr>
    </w:p>
    <w:p>
      <w:pPr>
        <w:ind w:left="660" w:right="20"/>
        <w:spacing w:after="0" w:line="253" w:lineRule="auto"/>
        <w:rPr>
          <w:sz w:val="20"/>
          <w:szCs w:val="20"/>
          <w:color w:val="auto"/>
        </w:rPr>
      </w:pPr>
      <w:r>
        <w:rPr>
          <w:rFonts w:ascii="Arial" w:cs="Arial" w:eastAsia="Arial" w:hAnsi="Arial"/>
          <w:sz w:val="16"/>
          <w:szCs w:val="16"/>
          <w:color w:val="auto"/>
        </w:rPr>
        <w:t>The Compensation Committee has the authority to award annual performance-based cash bonuses to the NEOs pursuant to their employment agreements with the Company. The Compensation Committee believes that an annual performance-based bonus opportunity provides the incentives necessary to retain our NEOs and reward them for their attainment of the Company’s business goals.</w:t>
      </w:r>
    </w:p>
    <w:p>
      <w:pPr>
        <w:spacing w:after="0" w:line="201"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Annual bonus awards for Ms. Goldstein and Mr. Emerson are performance-based and primarily dependent on achievement of budgeted Adjusted EBITDA for the applicable fiscal year. Budgeted Adjusted EBITDA targets are pre-determined at the beginning of the applicable fiscal year. The Compensation Committee believes that using budgeted Adjusted EBITDA as the core performance metric in the annual bonus design represents an appropriate measure of the Company’s performance and an appropriate way to align NEOs’ short-term incentives with our shareholders’ interests. The factors considered in determining the appropriate annual Adjusted EBITDA target include the Company’s projected annual release schedule and its expected investment in future research and development. Because release schedules differ year over year, a rigorous target that provides an appropriate incentive for the Company’s executives will vary and may be higher or lower than the prior year’s actual adjusted EBITDA.</w:t>
      </w:r>
    </w:p>
    <w:p>
      <w:pPr>
        <w:spacing w:after="0" w:line="207" w:lineRule="exact"/>
        <w:rPr>
          <w:sz w:val="20"/>
          <w:szCs w:val="20"/>
          <w:color w:val="auto"/>
        </w:rPr>
      </w:pPr>
    </w:p>
    <w:p>
      <w:pPr>
        <w:ind w:left="660" w:right="80"/>
        <w:spacing w:after="0" w:line="260" w:lineRule="auto"/>
        <w:rPr>
          <w:sz w:val="20"/>
          <w:szCs w:val="20"/>
          <w:color w:val="auto"/>
        </w:rPr>
      </w:pPr>
      <w:r>
        <w:rPr>
          <w:rFonts w:ascii="Arial" w:cs="Arial" w:eastAsia="Arial" w:hAnsi="Arial"/>
          <w:sz w:val="16"/>
          <w:szCs w:val="16"/>
          <w:color w:val="auto"/>
        </w:rPr>
        <w:t>Bonus amounts for Ms. Goldstein and Mr. Emerson in fiscal 2020 were a function of Adjusted EBITDA relative to target, as set forth in the following table:</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05CB9"/>
              </w:rPr>
              <w:t>Adjusted EBITDA Achievement</w:t>
            </w:r>
          </w:p>
        </w:tc>
        <w:tc>
          <w:tcPr>
            <w:tcW w:w="338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005CB9"/>
              </w:rPr>
              <w:t>Annual Bonus for Mr. Emerson</w:t>
            </w:r>
          </w:p>
        </w:tc>
        <w:tc>
          <w:tcPr>
            <w:tcW w:w="35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005CB9"/>
              </w:rPr>
              <w:t>Annual Bonus for Ms. Goldstein</w:t>
            </w:r>
          </w:p>
        </w:tc>
      </w:tr>
      <w:tr>
        <w:trPr>
          <w:trHeight w:val="184"/>
        </w:trPr>
        <w:tc>
          <w:tcPr>
            <w:tcW w:w="2980" w:type="dxa"/>
            <w:vAlign w:val="bottom"/>
          </w:tcPr>
          <w:p>
            <w:pPr>
              <w:spacing w:after="0"/>
              <w:rPr>
                <w:sz w:val="20"/>
                <w:szCs w:val="20"/>
                <w:color w:val="auto"/>
              </w:rPr>
            </w:pPr>
            <w:r>
              <w:rPr>
                <w:rFonts w:ascii="Arial" w:cs="Arial" w:eastAsia="Arial" w:hAnsi="Arial"/>
                <w:sz w:val="16"/>
                <w:szCs w:val="16"/>
                <w:color w:val="auto"/>
              </w:rPr>
              <w:t>Less than 80% of the budget</w:t>
            </w:r>
          </w:p>
        </w:tc>
        <w:tc>
          <w:tcPr>
            <w:tcW w:w="3380" w:type="dxa"/>
            <w:vAlign w:val="bottom"/>
            <w:gridSpan w:val="2"/>
          </w:tcPr>
          <w:p>
            <w:pPr>
              <w:ind w:left="600"/>
              <w:spacing w:after="0"/>
              <w:rPr>
                <w:sz w:val="20"/>
                <w:szCs w:val="20"/>
                <w:color w:val="auto"/>
              </w:rPr>
            </w:pPr>
            <w:r>
              <w:rPr>
                <w:rFonts w:ascii="Arial" w:cs="Arial" w:eastAsia="Arial" w:hAnsi="Arial"/>
                <w:sz w:val="16"/>
                <w:szCs w:val="16"/>
                <w:color w:val="auto"/>
              </w:rPr>
              <w:t>No bonus earned</w:t>
            </w:r>
          </w:p>
        </w:tc>
        <w:tc>
          <w:tcPr>
            <w:tcW w:w="3560" w:type="dxa"/>
            <w:vAlign w:val="bottom"/>
          </w:tcPr>
          <w:p>
            <w:pPr>
              <w:ind w:left="500"/>
              <w:spacing w:after="0"/>
              <w:rPr>
                <w:sz w:val="20"/>
                <w:szCs w:val="20"/>
                <w:color w:val="auto"/>
              </w:rPr>
            </w:pPr>
            <w:r>
              <w:rPr>
                <w:rFonts w:ascii="Arial" w:cs="Arial" w:eastAsia="Arial" w:hAnsi="Arial"/>
                <w:sz w:val="16"/>
                <w:szCs w:val="16"/>
                <w:color w:val="auto"/>
              </w:rPr>
              <w:t>No bonus earned</w:t>
            </w:r>
          </w:p>
        </w:tc>
      </w:tr>
      <w:tr>
        <w:trPr>
          <w:trHeight w:val="189"/>
        </w:trPr>
        <w:tc>
          <w:tcPr>
            <w:tcW w:w="2980" w:type="dxa"/>
            <w:vAlign w:val="bottom"/>
          </w:tcPr>
          <w:p>
            <w:pPr>
              <w:spacing w:after="0"/>
              <w:rPr>
                <w:sz w:val="20"/>
                <w:szCs w:val="20"/>
                <w:color w:val="auto"/>
              </w:rPr>
            </w:pPr>
            <w:r>
              <w:rPr>
                <w:rFonts w:ascii="Arial" w:cs="Arial" w:eastAsia="Arial" w:hAnsi="Arial"/>
                <w:sz w:val="16"/>
                <w:szCs w:val="16"/>
                <w:color w:val="auto"/>
              </w:rPr>
              <w:t>80% - 100% of the budget</w:t>
            </w:r>
          </w:p>
        </w:tc>
        <w:tc>
          <w:tcPr>
            <w:tcW w:w="960" w:type="dxa"/>
            <w:vAlign w:val="bottom"/>
          </w:tcPr>
          <w:p>
            <w:pPr>
              <w:ind w:left="600"/>
              <w:spacing w:after="0"/>
              <w:rPr>
                <w:sz w:val="20"/>
                <w:szCs w:val="20"/>
                <w:color w:val="auto"/>
              </w:rPr>
            </w:pPr>
            <w:r>
              <w:rPr>
                <w:rFonts w:ascii="Arial" w:cs="Arial" w:eastAsia="Arial" w:hAnsi="Arial"/>
                <w:sz w:val="16"/>
                <w:szCs w:val="16"/>
                <w:color w:val="auto"/>
              </w:rPr>
              <w:t>25%</w:t>
            </w:r>
          </w:p>
        </w:tc>
        <w:tc>
          <w:tcPr>
            <w:tcW w:w="2420" w:type="dxa"/>
            <w:vAlign w:val="bottom"/>
          </w:tcPr>
          <w:p>
            <w:pPr>
              <w:ind w:left="20"/>
              <w:spacing w:after="0"/>
              <w:rPr>
                <w:sz w:val="20"/>
                <w:szCs w:val="20"/>
                <w:color w:val="auto"/>
              </w:rPr>
            </w:pPr>
            <w:r>
              <w:rPr>
                <w:rFonts w:ascii="Arial" w:cs="Arial" w:eastAsia="Arial" w:hAnsi="Arial"/>
                <w:sz w:val="16"/>
                <w:szCs w:val="16"/>
                <w:color w:val="auto"/>
              </w:rPr>
              <w:t>- 70% of base salary</w:t>
            </w:r>
          </w:p>
        </w:tc>
        <w:tc>
          <w:tcPr>
            <w:tcW w:w="3560" w:type="dxa"/>
            <w:vAlign w:val="bottom"/>
          </w:tcPr>
          <w:p>
            <w:pPr>
              <w:ind w:left="500"/>
              <w:spacing w:after="0"/>
              <w:rPr>
                <w:sz w:val="20"/>
                <w:szCs w:val="20"/>
                <w:color w:val="auto"/>
              </w:rPr>
            </w:pPr>
            <w:r>
              <w:rPr>
                <w:rFonts w:ascii="Arial" w:cs="Arial" w:eastAsia="Arial" w:hAnsi="Arial"/>
                <w:sz w:val="16"/>
                <w:szCs w:val="16"/>
                <w:color w:val="auto"/>
              </w:rPr>
              <w:t>36% - 100% of base salary</w:t>
            </w:r>
          </w:p>
        </w:tc>
      </w:tr>
      <w:tr>
        <w:trPr>
          <w:trHeight w:val="189"/>
        </w:trPr>
        <w:tc>
          <w:tcPr>
            <w:tcW w:w="2980" w:type="dxa"/>
            <w:vAlign w:val="bottom"/>
          </w:tcPr>
          <w:p>
            <w:pPr>
              <w:spacing w:after="0"/>
              <w:rPr>
                <w:sz w:val="20"/>
                <w:szCs w:val="20"/>
                <w:color w:val="auto"/>
              </w:rPr>
            </w:pPr>
            <w:r>
              <w:rPr>
                <w:rFonts w:ascii="Arial" w:cs="Arial" w:eastAsia="Arial" w:hAnsi="Arial"/>
                <w:sz w:val="16"/>
                <w:szCs w:val="16"/>
                <w:color w:val="auto"/>
              </w:rPr>
              <w:t>100% - 120% of the budget</w:t>
            </w:r>
          </w:p>
        </w:tc>
        <w:tc>
          <w:tcPr>
            <w:tcW w:w="960" w:type="dxa"/>
            <w:vAlign w:val="bottom"/>
          </w:tcPr>
          <w:p>
            <w:pPr>
              <w:ind w:left="600"/>
              <w:spacing w:after="0"/>
              <w:rPr>
                <w:sz w:val="20"/>
                <w:szCs w:val="20"/>
                <w:color w:val="auto"/>
              </w:rPr>
            </w:pPr>
            <w:r>
              <w:rPr>
                <w:rFonts w:ascii="Arial" w:cs="Arial" w:eastAsia="Arial" w:hAnsi="Arial"/>
                <w:sz w:val="16"/>
                <w:szCs w:val="16"/>
                <w:color w:val="auto"/>
              </w:rPr>
              <w:t>70%</w:t>
            </w:r>
          </w:p>
        </w:tc>
        <w:tc>
          <w:tcPr>
            <w:tcW w:w="2420" w:type="dxa"/>
            <w:vAlign w:val="bottom"/>
          </w:tcPr>
          <w:p>
            <w:pPr>
              <w:ind w:left="20"/>
              <w:spacing w:after="0"/>
              <w:rPr>
                <w:sz w:val="20"/>
                <w:szCs w:val="20"/>
                <w:color w:val="auto"/>
              </w:rPr>
            </w:pPr>
            <w:r>
              <w:rPr>
                <w:rFonts w:ascii="Arial" w:cs="Arial" w:eastAsia="Arial" w:hAnsi="Arial"/>
                <w:sz w:val="16"/>
                <w:szCs w:val="16"/>
                <w:color w:val="auto"/>
              </w:rPr>
              <w:t>- 98% of base salary</w:t>
            </w:r>
          </w:p>
        </w:tc>
        <w:tc>
          <w:tcPr>
            <w:tcW w:w="3560" w:type="dxa"/>
            <w:vAlign w:val="bottom"/>
          </w:tcPr>
          <w:p>
            <w:pPr>
              <w:ind w:left="500"/>
              <w:spacing w:after="0"/>
              <w:rPr>
                <w:sz w:val="20"/>
                <w:szCs w:val="20"/>
                <w:color w:val="auto"/>
              </w:rPr>
            </w:pPr>
            <w:r>
              <w:rPr>
                <w:rFonts w:ascii="Arial" w:cs="Arial" w:eastAsia="Arial" w:hAnsi="Arial"/>
                <w:sz w:val="16"/>
                <w:szCs w:val="16"/>
                <w:color w:val="auto"/>
              </w:rPr>
              <w:t>100% - 140% of base salary</w:t>
            </w:r>
          </w:p>
        </w:tc>
      </w:tr>
      <w:tr>
        <w:trPr>
          <w:trHeight w:val="189"/>
        </w:trPr>
        <w:tc>
          <w:tcPr>
            <w:tcW w:w="2980" w:type="dxa"/>
            <w:vAlign w:val="bottom"/>
          </w:tcPr>
          <w:p>
            <w:pPr>
              <w:spacing w:after="0"/>
              <w:rPr>
                <w:sz w:val="20"/>
                <w:szCs w:val="20"/>
                <w:color w:val="auto"/>
              </w:rPr>
            </w:pPr>
            <w:r>
              <w:rPr>
                <w:rFonts w:ascii="Arial" w:cs="Arial" w:eastAsia="Arial" w:hAnsi="Arial"/>
                <w:sz w:val="16"/>
                <w:szCs w:val="16"/>
                <w:color w:val="auto"/>
              </w:rPr>
              <w:t>120% - 150% of the budget</w:t>
            </w:r>
          </w:p>
        </w:tc>
        <w:tc>
          <w:tcPr>
            <w:tcW w:w="960" w:type="dxa"/>
            <w:vAlign w:val="bottom"/>
          </w:tcPr>
          <w:p>
            <w:pPr>
              <w:ind w:left="600"/>
              <w:spacing w:after="0"/>
              <w:rPr>
                <w:sz w:val="20"/>
                <w:szCs w:val="20"/>
                <w:color w:val="auto"/>
              </w:rPr>
            </w:pPr>
            <w:r>
              <w:rPr>
                <w:rFonts w:ascii="Arial" w:cs="Arial" w:eastAsia="Arial" w:hAnsi="Arial"/>
                <w:sz w:val="16"/>
                <w:szCs w:val="16"/>
                <w:color w:val="auto"/>
              </w:rPr>
              <w:t>98%</w:t>
            </w:r>
          </w:p>
        </w:tc>
        <w:tc>
          <w:tcPr>
            <w:tcW w:w="2420" w:type="dxa"/>
            <w:vAlign w:val="bottom"/>
          </w:tcPr>
          <w:p>
            <w:pPr>
              <w:ind w:left="20"/>
              <w:spacing w:after="0"/>
              <w:rPr>
                <w:sz w:val="20"/>
                <w:szCs w:val="20"/>
                <w:color w:val="auto"/>
              </w:rPr>
            </w:pPr>
            <w:r>
              <w:rPr>
                <w:rFonts w:ascii="Arial" w:cs="Arial" w:eastAsia="Arial" w:hAnsi="Arial"/>
                <w:sz w:val="16"/>
                <w:szCs w:val="16"/>
                <w:color w:val="auto"/>
              </w:rPr>
              <w:t>- 140% of base salary</w:t>
            </w:r>
          </w:p>
        </w:tc>
        <w:tc>
          <w:tcPr>
            <w:tcW w:w="3560" w:type="dxa"/>
            <w:vAlign w:val="bottom"/>
          </w:tcPr>
          <w:p>
            <w:pPr>
              <w:ind w:left="500"/>
              <w:spacing w:after="0"/>
              <w:rPr>
                <w:sz w:val="20"/>
                <w:szCs w:val="20"/>
                <w:color w:val="auto"/>
              </w:rPr>
            </w:pPr>
            <w:r>
              <w:rPr>
                <w:rFonts w:ascii="Arial" w:cs="Arial" w:eastAsia="Arial" w:hAnsi="Arial"/>
                <w:sz w:val="16"/>
                <w:szCs w:val="16"/>
                <w:color w:val="auto"/>
              </w:rPr>
              <w:t>140% - 200% of base salary</w:t>
            </w:r>
          </w:p>
        </w:tc>
      </w:tr>
      <w:tr>
        <w:trPr>
          <w:trHeight w:val="195"/>
        </w:trPr>
        <w:tc>
          <w:tcPr>
            <w:tcW w:w="2980" w:type="dxa"/>
            <w:vAlign w:val="bottom"/>
          </w:tcPr>
          <w:p>
            <w:pPr>
              <w:spacing w:after="0"/>
              <w:rPr>
                <w:sz w:val="20"/>
                <w:szCs w:val="20"/>
                <w:color w:val="auto"/>
              </w:rPr>
            </w:pPr>
            <w:r>
              <w:rPr>
                <w:rFonts w:ascii="Arial" w:cs="Arial" w:eastAsia="Arial" w:hAnsi="Arial"/>
                <w:sz w:val="16"/>
                <w:szCs w:val="16"/>
                <w:color w:val="auto"/>
              </w:rPr>
              <w:t>Greater than 150% of the budget</w:t>
            </w:r>
          </w:p>
        </w:tc>
        <w:tc>
          <w:tcPr>
            <w:tcW w:w="3380" w:type="dxa"/>
            <w:vAlign w:val="bottom"/>
            <w:gridSpan w:val="2"/>
          </w:tcPr>
          <w:p>
            <w:pPr>
              <w:ind w:left="600"/>
              <w:spacing w:after="0"/>
              <w:rPr>
                <w:sz w:val="20"/>
                <w:szCs w:val="20"/>
                <w:color w:val="auto"/>
              </w:rPr>
            </w:pPr>
            <w:r>
              <w:rPr>
                <w:rFonts w:ascii="Arial" w:cs="Arial" w:eastAsia="Arial" w:hAnsi="Arial"/>
                <w:sz w:val="16"/>
                <w:szCs w:val="16"/>
                <w:color w:val="auto"/>
              </w:rPr>
              <w:t>Capped at 140% of base salary</w:t>
            </w:r>
          </w:p>
        </w:tc>
        <w:tc>
          <w:tcPr>
            <w:tcW w:w="3560" w:type="dxa"/>
            <w:vAlign w:val="bottom"/>
          </w:tcPr>
          <w:p>
            <w:pPr>
              <w:ind w:left="500"/>
              <w:spacing w:after="0"/>
              <w:rPr>
                <w:sz w:val="20"/>
                <w:szCs w:val="20"/>
                <w:color w:val="auto"/>
              </w:rPr>
            </w:pPr>
            <w:r>
              <w:rPr>
                <w:rFonts w:ascii="Arial" w:cs="Arial" w:eastAsia="Arial" w:hAnsi="Arial"/>
                <w:sz w:val="16"/>
                <w:szCs w:val="16"/>
                <w:color w:val="auto"/>
              </w:rPr>
              <w:t>Capped at 200% of base salary</w:t>
            </w:r>
          </w:p>
        </w:tc>
      </w:tr>
    </w:tbl>
    <w:p>
      <w:pPr>
        <w:spacing w:after="0" w:line="210" w:lineRule="exact"/>
        <w:rPr>
          <w:sz w:val="20"/>
          <w:szCs w:val="20"/>
          <w:color w:val="auto"/>
        </w:rPr>
      </w:pPr>
    </w:p>
    <w:p>
      <w:pPr>
        <w:ind w:left="660" w:right="60"/>
        <w:spacing w:after="0" w:line="253" w:lineRule="auto"/>
        <w:rPr>
          <w:sz w:val="20"/>
          <w:szCs w:val="20"/>
          <w:color w:val="auto"/>
        </w:rPr>
      </w:pPr>
      <w:r>
        <w:rPr>
          <w:rFonts w:ascii="Arial" w:cs="Arial" w:eastAsia="Arial" w:hAnsi="Arial"/>
          <w:sz w:val="16"/>
          <w:szCs w:val="16"/>
          <w:color w:val="auto"/>
        </w:rPr>
        <w:t>Budgeted Adjusted EBITDA for fiscal 2020 was $520.4 million and the Company achieved actual Adjusted EBITDA of $787.4 million. This Adjusted EBITDA achievement was 151.3% of the budgeted Adjusted EBITDA, which was greater than the maximum of 150% of the budgeted Adjusted EBITDA, and so Ms. Goldstein and Mr. Emerson each received the maximum annual cash bonus as follows:</w:t>
      </w:r>
    </w:p>
    <w:p>
      <w:pPr>
        <w:spacing w:after="0" w:line="226" w:lineRule="exact"/>
        <w:rPr>
          <w:sz w:val="20"/>
          <w:szCs w:val="20"/>
          <w:color w:val="auto"/>
        </w:rPr>
      </w:pPr>
    </w:p>
    <w:tbl>
      <w:tblPr>
        <w:tblLayout w:type="fixed"/>
        <w:tblInd w:w="670" w:type="dxa"/>
        <w:tblCellMar>
          <w:top w:w="0" w:type="dxa"/>
          <w:left w:w="0" w:type="dxa"/>
          <w:bottom w:w="0" w:type="dxa"/>
          <w:right w:w="0" w:type="dxa"/>
        </w:tblCellMar>
      </w:tblPr>
      <w:tr>
        <w:trPr>
          <w:trHeight w:val="203"/>
        </w:trPr>
        <w:tc>
          <w:tcPr>
            <w:tcW w:w="1520" w:type="dxa"/>
            <w:vAlign w:val="bottom"/>
            <w:tcBorders>
              <w:left w:val="single" w:sz="8" w:color="7F7F7F"/>
              <w:right w:val="single" w:sz="8" w:color="7F7F7F"/>
            </w:tcBorders>
            <w:shd w:val="clear" w:color="auto" w:fill="005CB9"/>
          </w:tcPr>
          <w:p>
            <w:pPr>
              <w:spacing w:after="0"/>
              <w:rPr>
                <w:sz w:val="17"/>
                <w:szCs w:val="17"/>
                <w:color w:val="auto"/>
              </w:rPr>
            </w:pPr>
          </w:p>
        </w:tc>
        <w:tc>
          <w:tcPr>
            <w:tcW w:w="900" w:type="dxa"/>
            <w:vAlign w:val="bottom"/>
            <w:tcBorders>
              <w:right w:val="single" w:sz="8" w:color="7F7F7F"/>
            </w:tcBorders>
            <w:shd w:val="clear" w:color="auto" w:fill="005CB9"/>
          </w:tcPr>
          <w:p>
            <w:pPr>
              <w:jc w:val="center"/>
              <w:ind w:left="104"/>
              <w:spacing w:after="0"/>
              <w:rPr>
                <w:sz w:val="20"/>
                <w:szCs w:val="20"/>
                <w:color w:val="auto"/>
              </w:rPr>
            </w:pPr>
            <w:r>
              <w:rPr>
                <w:rFonts w:ascii="Arial" w:cs="Arial" w:eastAsia="Arial" w:hAnsi="Arial"/>
                <w:sz w:val="14"/>
                <w:szCs w:val="14"/>
                <w:b w:val="1"/>
                <w:bCs w:val="1"/>
                <w:color w:val="FFFFFF"/>
              </w:rPr>
              <w:t>Annual</w:t>
            </w:r>
          </w:p>
        </w:tc>
        <w:tc>
          <w:tcPr>
            <w:tcW w:w="3100" w:type="dxa"/>
            <w:vAlign w:val="bottom"/>
            <w:tcBorders>
              <w:right w:val="single" w:sz="8" w:color="7F7F7F"/>
            </w:tcBorders>
            <w:shd w:val="clear" w:color="auto" w:fill="005CB9"/>
          </w:tcPr>
          <w:p>
            <w:pPr>
              <w:spacing w:after="0"/>
              <w:rPr>
                <w:sz w:val="17"/>
                <w:szCs w:val="17"/>
                <w:color w:val="auto"/>
              </w:rPr>
            </w:pPr>
          </w:p>
        </w:tc>
        <w:tc>
          <w:tcPr>
            <w:tcW w:w="3180" w:type="dxa"/>
            <w:vAlign w:val="bottom"/>
            <w:tcBorders>
              <w:right w:val="single" w:sz="8" w:color="7F7F7F"/>
            </w:tcBorders>
            <w:shd w:val="clear" w:color="auto" w:fill="005CB9"/>
          </w:tcPr>
          <w:p>
            <w:pPr>
              <w:spacing w:after="0"/>
              <w:rPr>
                <w:sz w:val="17"/>
                <w:szCs w:val="17"/>
                <w:color w:val="auto"/>
              </w:rPr>
            </w:pPr>
          </w:p>
        </w:tc>
        <w:tc>
          <w:tcPr>
            <w:tcW w:w="1220" w:type="dxa"/>
            <w:vAlign w:val="bottom"/>
            <w:shd w:val="clear" w:color="auto" w:fill="005CB9"/>
          </w:tcPr>
          <w:p>
            <w:pPr>
              <w:ind w:left="480"/>
              <w:spacing w:after="0"/>
              <w:rPr>
                <w:sz w:val="20"/>
                <w:szCs w:val="20"/>
                <w:color w:val="auto"/>
              </w:rPr>
            </w:pPr>
            <w:r>
              <w:rPr>
                <w:rFonts w:ascii="Arial" w:cs="Arial" w:eastAsia="Arial" w:hAnsi="Arial"/>
                <w:sz w:val="14"/>
                <w:szCs w:val="14"/>
                <w:b w:val="1"/>
                <w:bCs w:val="1"/>
                <w:color w:val="FFFFFF"/>
              </w:rPr>
              <w:t>Actual</w:t>
            </w:r>
          </w:p>
        </w:tc>
      </w:tr>
      <w:tr>
        <w:trPr>
          <w:trHeight w:val="202"/>
        </w:trPr>
        <w:tc>
          <w:tcPr>
            <w:tcW w:w="1520" w:type="dxa"/>
            <w:vAlign w:val="bottom"/>
            <w:tcBorders>
              <w:left w:val="single" w:sz="8" w:color="7F7F7F"/>
              <w:right w:val="single" w:sz="8" w:color="7F7F7F"/>
            </w:tcBorders>
            <w:shd w:val="clear" w:color="auto" w:fill="005CB9"/>
          </w:tcPr>
          <w:p>
            <w:pPr>
              <w:spacing w:after="0"/>
              <w:rPr>
                <w:sz w:val="17"/>
                <w:szCs w:val="17"/>
                <w:color w:val="auto"/>
              </w:rPr>
            </w:pPr>
          </w:p>
        </w:tc>
        <w:tc>
          <w:tcPr>
            <w:tcW w:w="900" w:type="dxa"/>
            <w:vAlign w:val="bottom"/>
            <w:tcBorders>
              <w:right w:val="single" w:sz="8" w:color="7F7F7F"/>
            </w:tcBorders>
            <w:shd w:val="clear" w:color="auto" w:fill="005CB9"/>
          </w:tcPr>
          <w:p>
            <w:pPr>
              <w:jc w:val="center"/>
              <w:ind w:left="104"/>
              <w:spacing w:after="0"/>
              <w:rPr>
                <w:sz w:val="20"/>
                <w:szCs w:val="20"/>
                <w:color w:val="auto"/>
              </w:rPr>
            </w:pPr>
            <w:r>
              <w:rPr>
                <w:rFonts w:ascii="Arial" w:cs="Arial" w:eastAsia="Arial" w:hAnsi="Arial"/>
                <w:sz w:val="14"/>
                <w:szCs w:val="14"/>
                <w:b w:val="1"/>
                <w:bCs w:val="1"/>
                <w:color w:val="FFFFFF"/>
              </w:rPr>
              <w:t>Salary</w:t>
            </w:r>
          </w:p>
        </w:tc>
        <w:tc>
          <w:tcPr>
            <w:tcW w:w="3100" w:type="dxa"/>
            <w:vAlign w:val="bottom"/>
            <w:tcBorders>
              <w:right w:val="single" w:sz="8" w:color="7F7F7F"/>
            </w:tcBorders>
            <w:shd w:val="clear" w:color="auto" w:fill="005CB9"/>
          </w:tcPr>
          <w:p>
            <w:pPr>
              <w:ind w:left="1180"/>
              <w:spacing w:after="0"/>
              <w:rPr>
                <w:sz w:val="20"/>
                <w:szCs w:val="20"/>
                <w:color w:val="auto"/>
              </w:rPr>
            </w:pPr>
            <w:r>
              <w:rPr>
                <w:rFonts w:ascii="Arial" w:cs="Arial" w:eastAsia="Arial" w:hAnsi="Arial"/>
                <w:sz w:val="14"/>
                <w:szCs w:val="14"/>
                <w:b w:val="1"/>
                <w:bCs w:val="1"/>
                <w:color w:val="FFFFFF"/>
              </w:rPr>
              <w:t>Target Bonus</w:t>
            </w:r>
          </w:p>
        </w:tc>
        <w:tc>
          <w:tcPr>
            <w:tcW w:w="3180" w:type="dxa"/>
            <w:vAlign w:val="bottom"/>
            <w:tcBorders>
              <w:right w:val="single" w:sz="8" w:color="7F7F7F"/>
            </w:tcBorders>
            <w:shd w:val="clear" w:color="auto" w:fill="005CB9"/>
          </w:tcPr>
          <w:p>
            <w:pPr>
              <w:ind w:left="1100"/>
              <w:spacing w:after="0"/>
              <w:rPr>
                <w:sz w:val="20"/>
                <w:szCs w:val="20"/>
                <w:color w:val="auto"/>
              </w:rPr>
            </w:pPr>
            <w:r>
              <w:rPr>
                <w:rFonts w:ascii="Arial" w:cs="Arial" w:eastAsia="Arial" w:hAnsi="Arial"/>
                <w:sz w:val="14"/>
                <w:szCs w:val="14"/>
                <w:b w:val="1"/>
                <w:bCs w:val="1"/>
                <w:color w:val="FFFFFF"/>
              </w:rPr>
              <w:t>Maximum Bonus</w:t>
            </w:r>
          </w:p>
        </w:tc>
        <w:tc>
          <w:tcPr>
            <w:tcW w:w="1220" w:type="dxa"/>
            <w:vAlign w:val="bottom"/>
            <w:shd w:val="clear" w:color="auto" w:fill="005CB9"/>
          </w:tcPr>
          <w:p>
            <w:pPr>
              <w:ind w:left="480"/>
              <w:spacing w:after="0"/>
              <w:rPr>
                <w:sz w:val="20"/>
                <w:szCs w:val="20"/>
                <w:color w:val="auto"/>
              </w:rPr>
            </w:pPr>
            <w:r>
              <w:rPr>
                <w:rFonts w:ascii="Arial" w:cs="Arial" w:eastAsia="Arial" w:hAnsi="Arial"/>
                <w:sz w:val="14"/>
                <w:szCs w:val="14"/>
                <w:b w:val="1"/>
                <w:bCs w:val="1"/>
                <w:color w:val="FFFFFF"/>
              </w:rPr>
              <w:t>Bonus</w:t>
            </w:r>
          </w:p>
        </w:tc>
      </w:tr>
      <w:tr>
        <w:trPr>
          <w:trHeight w:val="240"/>
        </w:trPr>
        <w:tc>
          <w:tcPr>
            <w:tcW w:w="1520" w:type="dxa"/>
            <w:vAlign w:val="bottom"/>
            <w:tcBorders>
              <w:left w:val="single" w:sz="8" w:color="7F7F7F"/>
              <w:bottom w:val="single" w:sz="8" w:color="7F7F7F"/>
              <w:right w:val="single" w:sz="8" w:color="7F7F7F"/>
            </w:tcBorders>
            <w:shd w:val="clear" w:color="auto" w:fill="EAEAEA"/>
          </w:tcPr>
          <w:p>
            <w:pPr>
              <w:ind w:left="280"/>
              <w:spacing w:after="0"/>
              <w:rPr>
                <w:sz w:val="20"/>
                <w:szCs w:val="20"/>
                <w:color w:val="auto"/>
              </w:rPr>
            </w:pPr>
            <w:r>
              <w:rPr>
                <w:rFonts w:ascii="Arial" w:cs="Arial" w:eastAsia="Arial" w:hAnsi="Arial"/>
                <w:sz w:val="16"/>
                <w:szCs w:val="16"/>
                <w:color w:val="auto"/>
              </w:rPr>
              <w:t>Ms. Goldstein</w:t>
            </w:r>
          </w:p>
        </w:tc>
        <w:tc>
          <w:tcPr>
            <w:tcW w:w="900" w:type="dxa"/>
            <w:vAlign w:val="bottom"/>
            <w:tcBorders>
              <w:bottom w:val="single" w:sz="8" w:color="7F7F7F"/>
              <w:right w:val="single" w:sz="8" w:color="7F7F7F"/>
            </w:tcBorders>
            <w:shd w:val="clear" w:color="auto" w:fill="EAEAEA"/>
          </w:tcPr>
          <w:p>
            <w:pPr>
              <w:jc w:val="center"/>
              <w:ind w:left="104"/>
              <w:spacing w:after="0"/>
              <w:rPr>
                <w:sz w:val="20"/>
                <w:szCs w:val="20"/>
                <w:color w:val="auto"/>
              </w:rPr>
            </w:pPr>
            <w:r>
              <w:rPr>
                <w:rFonts w:ascii="Arial" w:cs="Arial" w:eastAsia="Arial" w:hAnsi="Arial"/>
                <w:sz w:val="16"/>
                <w:szCs w:val="16"/>
                <w:color w:val="auto"/>
              </w:rPr>
              <w:t>$850,000</w:t>
            </w:r>
          </w:p>
        </w:tc>
        <w:tc>
          <w:tcPr>
            <w:tcW w:w="3100" w:type="dxa"/>
            <w:vAlign w:val="bottom"/>
            <w:tcBorders>
              <w:bottom w:val="single" w:sz="8" w:color="7F7F7F"/>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$850,000 (100% of base salary)</w:t>
            </w:r>
          </w:p>
        </w:tc>
        <w:tc>
          <w:tcPr>
            <w:tcW w:w="3180" w:type="dxa"/>
            <w:vAlign w:val="bottom"/>
            <w:tcBorders>
              <w:bottom w:val="single" w:sz="8" w:color="7F7F7F"/>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$1,700,000 (200% of base salary)</w:t>
            </w:r>
          </w:p>
        </w:tc>
        <w:tc>
          <w:tcPr>
            <w:tcW w:w="1220" w:type="dxa"/>
            <w:vAlign w:val="bottom"/>
            <w:tcBorders>
              <w:bottom w:val="single" w:sz="8" w:color="7F7F7F"/>
            </w:tcBorders>
            <w:shd w:val="clear" w:color="auto" w:fill="EAEAEA"/>
          </w:tcPr>
          <w:p>
            <w:pPr>
              <w:jc w:val="right"/>
              <w:ind w:right="24"/>
              <w:spacing w:after="0"/>
              <w:rPr>
                <w:sz w:val="20"/>
                <w:szCs w:val="20"/>
                <w:color w:val="auto"/>
              </w:rPr>
            </w:pPr>
            <w:r>
              <w:rPr>
                <w:rFonts w:ascii="Arial" w:cs="Arial" w:eastAsia="Arial" w:hAnsi="Arial"/>
                <w:sz w:val="16"/>
                <w:szCs w:val="16"/>
                <w:color w:val="auto"/>
              </w:rPr>
              <w:t>$1,700,000</w:t>
            </w:r>
          </w:p>
        </w:tc>
      </w:tr>
      <w:tr>
        <w:trPr>
          <w:trHeight w:val="237"/>
        </w:trPr>
        <w:tc>
          <w:tcPr>
            <w:tcW w:w="1520" w:type="dxa"/>
            <w:vAlign w:val="bottom"/>
            <w:tcBorders>
              <w:left w:val="single" w:sz="8" w:color="7F7F7F"/>
              <w:bottom w:val="single" w:sz="8" w:color="7F7F7F"/>
              <w:right w:val="single" w:sz="8" w:color="7F7F7F"/>
            </w:tcBorders>
            <w:shd w:val="clear" w:color="auto" w:fill="EAEAEA"/>
          </w:tcPr>
          <w:p>
            <w:pPr>
              <w:ind w:left="280"/>
              <w:spacing w:after="0"/>
              <w:rPr>
                <w:sz w:val="20"/>
                <w:szCs w:val="20"/>
                <w:color w:val="auto"/>
              </w:rPr>
            </w:pPr>
            <w:r>
              <w:rPr>
                <w:rFonts w:ascii="Arial" w:cs="Arial" w:eastAsia="Arial" w:hAnsi="Arial"/>
                <w:sz w:val="16"/>
                <w:szCs w:val="16"/>
                <w:color w:val="auto"/>
              </w:rPr>
              <w:t>Mr. Emerson</w:t>
            </w:r>
          </w:p>
        </w:tc>
        <w:tc>
          <w:tcPr>
            <w:tcW w:w="900" w:type="dxa"/>
            <w:vAlign w:val="bottom"/>
            <w:tcBorders>
              <w:bottom w:val="single" w:sz="8" w:color="7F7F7F"/>
              <w:right w:val="single" w:sz="8" w:color="7F7F7F"/>
            </w:tcBorders>
            <w:shd w:val="clear" w:color="auto" w:fill="EAEAEA"/>
          </w:tcPr>
          <w:p>
            <w:pPr>
              <w:jc w:val="center"/>
              <w:ind w:left="104"/>
              <w:spacing w:after="0"/>
              <w:rPr>
                <w:sz w:val="20"/>
                <w:szCs w:val="20"/>
                <w:color w:val="auto"/>
              </w:rPr>
            </w:pPr>
            <w:r>
              <w:rPr>
                <w:rFonts w:ascii="Arial" w:cs="Arial" w:eastAsia="Arial" w:hAnsi="Arial"/>
                <w:sz w:val="16"/>
                <w:szCs w:val="16"/>
                <w:color w:val="auto"/>
              </w:rPr>
              <w:t>$540,000</w:t>
            </w:r>
          </w:p>
        </w:tc>
        <w:tc>
          <w:tcPr>
            <w:tcW w:w="3100" w:type="dxa"/>
            <w:vAlign w:val="bottom"/>
            <w:tcBorders>
              <w:bottom w:val="single" w:sz="8" w:color="7F7F7F"/>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$378,000 (70% of base salary)</w:t>
            </w:r>
          </w:p>
        </w:tc>
        <w:tc>
          <w:tcPr>
            <w:tcW w:w="3180" w:type="dxa"/>
            <w:vAlign w:val="bottom"/>
            <w:tcBorders>
              <w:bottom w:val="single" w:sz="8" w:color="7F7F7F"/>
              <w:right w:val="single" w:sz="8" w:color="7F7F7F"/>
            </w:tcBorders>
            <w:shd w:val="clear" w:color="auto" w:fill="EAEAEA"/>
          </w:tcPr>
          <w:p>
            <w:pPr>
              <w:jc w:val="center"/>
              <w:spacing w:after="0"/>
              <w:rPr>
                <w:sz w:val="20"/>
                <w:szCs w:val="20"/>
                <w:color w:val="auto"/>
              </w:rPr>
            </w:pPr>
            <w:r>
              <w:rPr>
                <w:rFonts w:ascii="Arial" w:cs="Arial" w:eastAsia="Arial" w:hAnsi="Arial"/>
                <w:sz w:val="16"/>
                <w:szCs w:val="16"/>
                <w:color w:val="auto"/>
              </w:rPr>
              <w:t>$756,000 (140% of base salary)</w:t>
            </w:r>
          </w:p>
        </w:tc>
        <w:tc>
          <w:tcPr>
            <w:tcW w:w="1220" w:type="dxa"/>
            <w:vAlign w:val="bottom"/>
            <w:tcBorders>
              <w:bottom w:val="single" w:sz="8" w:color="7F7F7F"/>
            </w:tcBorders>
            <w:shd w:val="clear" w:color="auto" w:fill="EAEAEA"/>
          </w:tcPr>
          <w:p>
            <w:pPr>
              <w:jc w:val="right"/>
              <w:ind w:right="104"/>
              <w:spacing w:after="0"/>
              <w:rPr>
                <w:sz w:val="20"/>
                <w:szCs w:val="20"/>
                <w:color w:val="auto"/>
              </w:rPr>
            </w:pPr>
            <w:r>
              <w:rPr>
                <w:rFonts w:ascii="Arial" w:cs="Arial" w:eastAsia="Arial" w:hAnsi="Arial"/>
                <w:sz w:val="16"/>
                <w:szCs w:val="16"/>
                <w:color w:val="auto"/>
              </w:rPr>
              <w:t>$756,000</w:t>
            </w:r>
          </w:p>
        </w:tc>
      </w:tr>
    </w:tbl>
    <w:p>
      <w:pPr>
        <w:spacing w:after="0" w:line="30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Long-Term Equity Incentives</w:t>
      </w:r>
    </w:p>
    <w:p>
      <w:pPr>
        <w:spacing w:after="0" w:line="133"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Equity is an essential tool to attract and retain highly-skilled employees, including key creative and technical talent, and it aligns the interests of creative employees with our shareholders. Our creative employees at our labels drive our business, are critical to our continued success, and help us build shareholder value. We also believe that equity-based awards are an important factor in aligning the long-term financial interests of the NEOs and certain other employees of the Company with its shareholders. The Compensation Committee continually evaluates the use of equity-based awards and intends to continue to use such awards in the future as part of designing and administering the Company’s compensation program. Equity-based awards are generally granted to new key employees on a quarterly basis following the commencement of employment and to existing key employees on an annual basis and following a significant change in job responsibilities or to meet other special retention objectives.</w:t>
      </w:r>
    </w:p>
    <w:p>
      <w:pPr>
        <w:spacing w:after="0" w:line="207"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Our compensation program design, and in particular the use of equity awards as a key incentive element, establishes strong links between our creative teams and long-term value creation for shareholders. Our long-term equity incentive program reflects the importance of creative talent to our business and allows for Take-Two to retain and incentivize key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272415</wp:posOffset>
            </wp:positionV>
            <wp:extent cx="291465" cy="274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660" w:right="480"/>
        <w:spacing w:after="0" w:line="251" w:lineRule="auto"/>
        <w:rPr>
          <w:sz w:val="20"/>
          <w:szCs w:val="20"/>
          <w:color w:val="auto"/>
        </w:rPr>
      </w:pPr>
      <w:r>
        <w:rPr>
          <w:rFonts w:ascii="Arial" w:cs="Arial" w:eastAsia="Arial" w:hAnsi="Arial"/>
          <w:sz w:val="16"/>
          <w:szCs w:val="16"/>
          <w:color w:val="auto"/>
        </w:rPr>
        <w:t>All grants made to employees, including the NEOs, are approved by the Compensation Committee. The current outstanding awards granted to our NEOs are governed by the Company’s 2009 Stock Incentive Plan, as amended and restated (the “</w:t>
      </w:r>
      <w:r>
        <w:rPr>
          <w:rFonts w:ascii="Arial" w:cs="Arial" w:eastAsia="Arial" w:hAnsi="Arial"/>
          <w:sz w:val="16"/>
          <w:szCs w:val="16"/>
          <w:i w:val="1"/>
          <w:iCs w:val="1"/>
          <w:color w:val="auto"/>
        </w:rPr>
        <w:t>2009 Plan</w:t>
      </w:r>
      <w:r>
        <w:rPr>
          <w:rFonts w:ascii="Arial" w:cs="Arial" w:eastAsia="Arial" w:hAnsi="Arial"/>
          <w:sz w:val="16"/>
          <w:szCs w:val="16"/>
          <w:color w:val="auto"/>
        </w:rPr>
        <w:t>”) or the Company’s 2017 Stock Incentive Plan, as amended and restated (the “</w:t>
      </w:r>
      <w:r>
        <w:rPr>
          <w:rFonts w:ascii="Arial" w:cs="Arial" w:eastAsia="Arial" w:hAnsi="Arial"/>
          <w:sz w:val="16"/>
          <w:szCs w:val="16"/>
          <w:i w:val="1"/>
          <w:iCs w:val="1"/>
          <w:color w:val="auto"/>
        </w:rPr>
        <w:t>2017 Plan</w:t>
      </w:r>
      <w:r>
        <w:rPr>
          <w:rFonts w:ascii="Arial" w:cs="Arial" w:eastAsia="Arial" w:hAnsi="Arial"/>
          <w:sz w:val="16"/>
          <w:szCs w:val="16"/>
          <w:color w:val="auto"/>
        </w:rPr>
        <w:t>”), which is discussed further in “Executive Compensation—Narrative Disclosure Regarding Equity Plans and Employment Agreements.”</w:t>
      </w:r>
    </w:p>
    <w:p>
      <w:pPr>
        <w:spacing w:after="0" w:line="202" w:lineRule="exact"/>
        <w:rPr>
          <w:sz w:val="20"/>
          <w:szCs w:val="20"/>
          <w:color w:val="auto"/>
        </w:rPr>
      </w:pPr>
    </w:p>
    <w:p>
      <w:pPr>
        <w:ind w:left="660" w:right="200"/>
        <w:spacing w:after="0" w:line="251" w:lineRule="auto"/>
        <w:rPr>
          <w:sz w:val="20"/>
          <w:szCs w:val="20"/>
          <w:color w:val="auto"/>
        </w:rPr>
      </w:pPr>
      <w:r>
        <w:rPr>
          <w:rFonts w:ascii="Arial" w:cs="Arial" w:eastAsia="Arial" w:hAnsi="Arial"/>
          <w:sz w:val="16"/>
          <w:szCs w:val="16"/>
          <w:color w:val="auto"/>
        </w:rPr>
        <w:t>The Company generally uses a mix of performance-based and time-based vesting for NEO long-term equity incentive grants to achieve separate and distinct purposes. Performance-based vesting awards support the goal of retention as well as alignment of the executives’ incentives with the interests of the Company’s shareholders, while time-based vesting awards emphasize the retention of skilled executives.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NEO Long-Term Incentives Awarded in Fiscal 2020</w:t>
      </w:r>
    </w:p>
    <w:p>
      <w:pPr>
        <w:spacing w:after="0" w:line="129"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In May 2019, the Compensation Committee approved an award of 10,953 RSUs, based on a value of $1,050,000 (based in part on peer benchmarking) divided by the average of the closing prices of the Company’s common stock on the ten trading days immediately prior to April 1, 2019, to Mr. Emerson. Based on the revised target annual equity range included in the May 2018 amendment to Ms. Goldstein’s employment agreement, in May 2019, the Compensation Committee approved an award of 31,296 RSUs, based on a value of $3,000,000 (based in part on peer benchmarking) divided by the average of the closing prices of the Company’s common stock on the ten trading days immediately prior to April 1, 2019, to Ms. Goldstein. In each case, the incentive awards were granted in June 2019 and made in recognition of the achievement of their individual performance goals and targets during fiscal 2019 and a desire to incentivize continued strong performance.</w:t>
      </w:r>
    </w:p>
    <w:p>
      <w:pPr>
        <w:spacing w:after="0" w:line="207" w:lineRule="exact"/>
        <w:rPr>
          <w:sz w:val="20"/>
          <w:szCs w:val="20"/>
          <w:color w:val="auto"/>
        </w:rPr>
      </w:pPr>
    </w:p>
    <w:p>
      <w:pPr>
        <w:ind w:left="660" w:right="60"/>
        <w:spacing w:after="0" w:line="248" w:lineRule="auto"/>
        <w:rPr>
          <w:sz w:val="20"/>
          <w:szCs w:val="20"/>
          <w:color w:val="auto"/>
        </w:rPr>
      </w:pPr>
      <w:r>
        <w:rPr>
          <w:rFonts w:ascii="Arial" w:cs="Arial" w:eastAsia="Arial" w:hAnsi="Arial"/>
          <w:sz w:val="16"/>
          <w:szCs w:val="16"/>
          <w:color w:val="auto"/>
        </w:rPr>
        <w:t>The Compensation Committee made the fiscal 2020 grants in the form of two grants of RSUs, rather than restricted stock, in order to preserve flexibility to settle the awards in stock, cash or a combination of stock and cash. One grant, equal to 66.7% of the value at target, was a performance-based grant subject to satisfaction of TSR performance criteria during the vesting period (described in more detail below). A second grant, equal to 33.3% of the value at target, consisted of time-based RSUs and vests in three (3) equal annual installments commencing on June 1, 2020 based on continued service with the Company. The number of shares of common stock that may be issued upon vesting of the performance-based RSUs included in the award amounts stated above assumes the achievement of the target performance criteria established by the Compensation Committee; however, the actual number of such shares for Mr. Emerson may range from zero to a maximum of 14,610 (equal to 200% of target), with the number of shares at target performance equal to 7,305; and the actual number of such shares for Ms. Goldstein may range from zero to a maximum of 41,748 (equal to 200% of target), with the number of shares at target performance equal to 20,874.</w:t>
      </w:r>
    </w:p>
    <w:p>
      <w:pPr>
        <w:spacing w:after="0" w:line="205"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The relative TSR metric is measured against the NASDAQ Composite Index over a period of two years (for grants made in fiscal 2020 this period is April 1, 2019 to March 31, 2021) to determine achievement of TSR goals. To the extent earned, the awards vest 50% upon the second anniversary of the grant date and 50% one year later. The TSR performance schedule is as follows with proration on a straight-line basis between the amounts listed:</w:t>
      </w:r>
    </w:p>
    <w:p>
      <w:pPr>
        <w:spacing w:after="0" w:line="214" w:lineRule="exact"/>
        <w:rPr>
          <w:sz w:val="20"/>
          <w:szCs w:val="20"/>
          <w:color w:val="auto"/>
        </w:rPr>
      </w:pPr>
    </w:p>
    <w:tbl>
      <w:tblPr>
        <w:tblLayout w:type="fixed"/>
        <w:tblInd w:w="67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20" w:type="dxa"/>
            <w:vAlign w:val="bottom"/>
            <w:gridSpan w:val="3"/>
          </w:tcPr>
          <w:p>
            <w:pPr>
              <w:jc w:val="center"/>
              <w:ind w:left="345"/>
              <w:spacing w:after="0"/>
              <w:rPr>
                <w:sz w:val="20"/>
                <w:szCs w:val="20"/>
                <w:color w:val="auto"/>
              </w:rPr>
            </w:pPr>
            <w:r>
              <w:rPr>
                <w:rFonts w:ascii="Arial" w:cs="Arial" w:eastAsia="Arial" w:hAnsi="Arial"/>
                <w:sz w:val="14"/>
                <w:szCs w:val="14"/>
                <w:b w:val="1"/>
                <w:bCs w:val="1"/>
                <w:color w:val="005CB9"/>
              </w:rPr>
              <w:t>Shares Earned</w:t>
            </w:r>
          </w:p>
        </w:tc>
      </w:tr>
      <w:tr>
        <w:trPr>
          <w:trHeight w:val="162"/>
        </w:trPr>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20" w:type="dxa"/>
            <w:vAlign w:val="bottom"/>
            <w:gridSpan w:val="3"/>
          </w:tcPr>
          <w:p>
            <w:pPr>
              <w:jc w:val="center"/>
              <w:ind w:left="325"/>
              <w:spacing w:after="0"/>
              <w:rPr>
                <w:sz w:val="20"/>
                <w:szCs w:val="20"/>
                <w:color w:val="auto"/>
              </w:rPr>
            </w:pPr>
            <w:r>
              <w:rPr>
                <w:rFonts w:ascii="Arial" w:cs="Arial" w:eastAsia="Arial" w:hAnsi="Arial"/>
                <w:sz w:val="14"/>
                <w:szCs w:val="14"/>
                <w:b w:val="1"/>
                <w:bCs w:val="1"/>
                <w:color w:val="005CB9"/>
              </w:rPr>
              <w:t>as % of</w:t>
            </w:r>
          </w:p>
        </w:tc>
      </w:tr>
      <w:tr>
        <w:trPr>
          <w:trHeight w:val="175"/>
        </w:trPr>
        <w:tc>
          <w:tcPr>
            <w:tcW w:w="3120" w:type="dxa"/>
            <w:vAlign w:val="bottom"/>
            <w:gridSpan w:val="5"/>
          </w:tcPr>
          <w:p>
            <w:pPr>
              <w:ind w:left="800"/>
              <w:spacing w:after="0"/>
              <w:rPr>
                <w:sz w:val="20"/>
                <w:szCs w:val="20"/>
                <w:color w:val="auto"/>
              </w:rPr>
            </w:pPr>
            <w:r>
              <w:rPr>
                <w:rFonts w:ascii="Arial" w:cs="Arial" w:eastAsia="Arial" w:hAnsi="Arial"/>
                <w:sz w:val="14"/>
                <w:szCs w:val="14"/>
                <w:b w:val="1"/>
                <w:bCs w:val="1"/>
                <w:color w:val="005CB9"/>
              </w:rPr>
              <w:t>TSR Percentile Rank</w:t>
            </w:r>
          </w:p>
        </w:tc>
        <w:tc>
          <w:tcPr>
            <w:tcW w:w="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20" w:type="dxa"/>
            <w:vAlign w:val="bottom"/>
            <w:gridSpan w:val="3"/>
          </w:tcPr>
          <w:p>
            <w:pPr>
              <w:jc w:val="center"/>
              <w:ind w:left="325"/>
              <w:spacing w:after="0"/>
              <w:rPr>
                <w:sz w:val="20"/>
                <w:szCs w:val="20"/>
                <w:color w:val="auto"/>
              </w:rPr>
            </w:pPr>
            <w:r>
              <w:rPr>
                <w:rFonts w:ascii="Arial" w:cs="Arial" w:eastAsia="Arial" w:hAnsi="Arial"/>
                <w:sz w:val="14"/>
                <w:szCs w:val="14"/>
                <w:b w:val="1"/>
                <w:bCs w:val="1"/>
                <w:color w:val="005CB9"/>
                <w:w w:val="98"/>
              </w:rPr>
              <w:t>Target</w:t>
            </w:r>
          </w:p>
        </w:tc>
      </w:tr>
      <w:tr>
        <w:trPr>
          <w:trHeight w:val="237"/>
        </w:trPr>
        <w:tc>
          <w:tcPr>
            <w:tcW w:w="800" w:type="dxa"/>
            <w:vAlign w:val="bottom"/>
          </w:tcPr>
          <w:p>
            <w:pPr>
              <w:spacing w:after="0"/>
              <w:rPr>
                <w:sz w:val="20"/>
                <w:szCs w:val="20"/>
                <w:color w:val="auto"/>
              </w:rPr>
            </w:pPr>
          </w:p>
        </w:tc>
        <w:tc>
          <w:tcPr>
            <w:tcW w:w="2320" w:type="dxa"/>
            <w:vAlign w:val="bottom"/>
            <w:tcBorders>
              <w:top w:val="single" w:sz="8" w:color="auto"/>
            </w:tcBorders>
            <w:gridSpan w:val="4"/>
            <w:shd w:val="clear" w:color="auto" w:fill="EAEAEA"/>
          </w:tcPr>
          <w:p>
            <w:pPr>
              <w:ind w:left="80"/>
              <w:spacing w:after="0"/>
              <w:rPr>
                <w:sz w:val="20"/>
                <w:szCs w:val="20"/>
                <w:color w:val="auto"/>
              </w:rPr>
            </w:pPr>
            <w:r>
              <w:rPr>
                <w:rFonts w:ascii="Arial" w:cs="Arial" w:eastAsia="Arial" w:hAnsi="Arial"/>
                <w:sz w:val="16"/>
                <w:szCs w:val="16"/>
                <w:color w:val="auto"/>
              </w:rPr>
              <w:t>Less than 40th Percentile</w:t>
            </w:r>
          </w:p>
        </w:tc>
        <w:tc>
          <w:tcPr>
            <w:tcW w:w="860" w:type="dxa"/>
            <w:vAlign w:val="bottom"/>
            <w:tcBorders>
              <w:top w:val="single" w:sz="8" w:color="auto"/>
              <w:right w:val="single" w:sz="8" w:color="EAEAEA"/>
            </w:tcBorders>
            <w:shd w:val="clear" w:color="auto" w:fill="EAEAEA"/>
          </w:tcPr>
          <w:p>
            <w:pPr>
              <w:spacing w:after="0"/>
              <w:rPr>
                <w:sz w:val="20"/>
                <w:szCs w:val="20"/>
                <w:color w:val="auto"/>
              </w:rPr>
            </w:pPr>
          </w:p>
        </w:tc>
        <w:tc>
          <w:tcPr>
            <w:tcW w:w="1580" w:type="dxa"/>
            <w:vAlign w:val="bottom"/>
            <w:tcBorders>
              <w:top w:val="single" w:sz="8" w:color="auto"/>
              <w:right w:val="single" w:sz="8" w:color="EAEAEA"/>
            </w:tcBorders>
            <w:shd w:val="clear" w:color="auto" w:fill="EAEAEA"/>
          </w:tcPr>
          <w:p>
            <w:pPr>
              <w:spacing w:after="0"/>
              <w:rPr>
                <w:sz w:val="20"/>
                <w:szCs w:val="20"/>
                <w:color w:val="auto"/>
              </w:rPr>
            </w:pPr>
          </w:p>
        </w:tc>
        <w:tc>
          <w:tcPr>
            <w:tcW w:w="1340" w:type="dxa"/>
            <w:vAlign w:val="bottom"/>
            <w:tcBorders>
              <w:top w:val="single" w:sz="8" w:color="auto"/>
              <w:right w:val="single" w:sz="8" w:color="EAEAEA"/>
            </w:tcBorders>
            <w:shd w:val="clear" w:color="auto" w:fill="EAEAEA"/>
          </w:tcPr>
          <w:p>
            <w:pPr>
              <w:spacing w:after="0"/>
              <w:rPr>
                <w:sz w:val="20"/>
                <w:szCs w:val="20"/>
                <w:color w:val="auto"/>
              </w:rPr>
            </w:pPr>
          </w:p>
        </w:tc>
        <w:tc>
          <w:tcPr>
            <w:tcW w:w="1640" w:type="dxa"/>
            <w:vAlign w:val="bottom"/>
            <w:tcBorders>
              <w:top w:val="single" w:sz="8" w:color="auto"/>
              <w:right w:val="single" w:sz="8" w:color="EAEAEA"/>
            </w:tcBorders>
            <w:shd w:val="clear" w:color="auto" w:fill="EAEAEA"/>
          </w:tcPr>
          <w:p>
            <w:pPr>
              <w:spacing w:after="0"/>
              <w:rPr>
                <w:sz w:val="20"/>
                <w:szCs w:val="20"/>
                <w:color w:val="auto"/>
              </w:rPr>
            </w:pPr>
          </w:p>
        </w:tc>
        <w:tc>
          <w:tcPr>
            <w:tcW w:w="580" w:type="dxa"/>
            <w:vAlign w:val="bottom"/>
            <w:tcBorders>
              <w:top w:val="single" w:sz="8" w:color="auto"/>
            </w:tcBorders>
            <w:shd w:val="clear" w:color="auto" w:fill="EAEAEA"/>
          </w:tcPr>
          <w:p>
            <w:pPr>
              <w:jc w:val="right"/>
              <w:ind w:right="82"/>
              <w:spacing w:after="0"/>
              <w:rPr>
                <w:sz w:val="20"/>
                <w:szCs w:val="20"/>
                <w:color w:val="auto"/>
              </w:rPr>
            </w:pPr>
            <w:r>
              <w:rPr>
                <w:rFonts w:ascii="Arial" w:cs="Arial" w:eastAsia="Arial" w:hAnsi="Arial"/>
                <w:sz w:val="16"/>
                <w:szCs w:val="16"/>
                <w:color w:val="auto"/>
              </w:rPr>
              <w:t>0%</w:t>
            </w:r>
          </w:p>
        </w:tc>
        <w:tc>
          <w:tcPr>
            <w:tcW w:w="800" w:type="dxa"/>
            <w:vAlign w:val="bottom"/>
          </w:tcPr>
          <w:p>
            <w:pPr>
              <w:spacing w:after="0"/>
              <w:rPr>
                <w:sz w:val="20"/>
                <w:szCs w:val="20"/>
                <w:color w:val="auto"/>
              </w:rPr>
            </w:pPr>
          </w:p>
        </w:tc>
      </w:tr>
      <w:tr>
        <w:trPr>
          <w:trHeight w:val="240"/>
        </w:trPr>
        <w:tc>
          <w:tcPr>
            <w:tcW w:w="80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color w:val="auto"/>
              </w:rPr>
              <w:t>40th Percentile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 w:type="dxa"/>
            <w:vAlign w:val="bottom"/>
          </w:tcPr>
          <w:p>
            <w:pPr>
              <w:jc w:val="right"/>
              <w:ind w:right="82"/>
              <w:spacing w:after="0"/>
              <w:rPr>
                <w:sz w:val="20"/>
                <w:szCs w:val="20"/>
                <w:color w:val="auto"/>
              </w:rPr>
            </w:pPr>
            <w:r>
              <w:rPr>
                <w:rFonts w:ascii="Arial" w:cs="Arial" w:eastAsia="Arial" w:hAnsi="Arial"/>
                <w:sz w:val="16"/>
                <w:szCs w:val="16"/>
                <w:color w:val="auto"/>
              </w:rPr>
              <w:t>50%</w:t>
            </w:r>
          </w:p>
        </w:tc>
        <w:tc>
          <w:tcPr>
            <w:tcW w:w="800" w:type="dxa"/>
            <w:vAlign w:val="bottom"/>
          </w:tcPr>
          <w:p>
            <w:pPr>
              <w:spacing w:after="0"/>
              <w:rPr>
                <w:sz w:val="20"/>
                <w:szCs w:val="20"/>
                <w:color w:val="auto"/>
              </w:rPr>
            </w:pPr>
          </w:p>
        </w:tc>
      </w:tr>
      <w:tr>
        <w:trPr>
          <w:trHeight w:val="246"/>
        </w:trPr>
        <w:tc>
          <w:tcPr>
            <w:tcW w:w="800" w:type="dxa"/>
            <w:vAlign w:val="bottom"/>
          </w:tcPr>
          <w:p>
            <w:pPr>
              <w:spacing w:after="0"/>
              <w:rPr>
                <w:sz w:val="21"/>
                <w:szCs w:val="21"/>
                <w:color w:val="auto"/>
              </w:rPr>
            </w:pPr>
          </w:p>
        </w:tc>
        <w:tc>
          <w:tcPr>
            <w:tcW w:w="1200" w:type="dxa"/>
            <w:vAlign w:val="bottom"/>
            <w:gridSpan w:val="2"/>
            <w:shd w:val="clear" w:color="auto" w:fill="EAEAEA"/>
          </w:tcPr>
          <w:p>
            <w:pPr>
              <w:ind w:left="80"/>
              <w:spacing w:after="0"/>
              <w:rPr>
                <w:sz w:val="20"/>
                <w:szCs w:val="20"/>
                <w:color w:val="auto"/>
              </w:rPr>
            </w:pPr>
            <w:r>
              <w:rPr>
                <w:rFonts w:ascii="Arial" w:cs="Arial" w:eastAsia="Arial" w:hAnsi="Arial"/>
                <w:sz w:val="16"/>
                <w:szCs w:val="16"/>
                <w:color w:val="auto"/>
              </w:rPr>
              <w:t>50th Percentile</w:t>
            </w:r>
          </w:p>
        </w:tc>
        <w:tc>
          <w:tcPr>
            <w:tcW w:w="900" w:type="dxa"/>
            <w:vAlign w:val="bottom"/>
            <w:tcBorders>
              <w:right w:val="single" w:sz="8" w:color="EAEAEA"/>
            </w:tcBorders>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860" w:type="dxa"/>
            <w:vAlign w:val="bottom"/>
            <w:tcBorders>
              <w:right w:val="single" w:sz="8" w:color="EAEAEA"/>
            </w:tcBorders>
            <w:shd w:val="clear" w:color="auto" w:fill="EAEAEA"/>
          </w:tcPr>
          <w:p>
            <w:pPr>
              <w:spacing w:after="0"/>
              <w:rPr>
                <w:sz w:val="21"/>
                <w:szCs w:val="21"/>
                <w:color w:val="auto"/>
              </w:rPr>
            </w:pPr>
          </w:p>
        </w:tc>
        <w:tc>
          <w:tcPr>
            <w:tcW w:w="1580" w:type="dxa"/>
            <w:vAlign w:val="bottom"/>
            <w:tcBorders>
              <w:right w:val="single" w:sz="8" w:color="EAEAEA"/>
            </w:tcBorders>
            <w:shd w:val="clear" w:color="auto" w:fill="EAEAEA"/>
          </w:tcPr>
          <w:p>
            <w:pPr>
              <w:spacing w:after="0"/>
              <w:rPr>
                <w:sz w:val="21"/>
                <w:szCs w:val="21"/>
                <w:color w:val="auto"/>
              </w:rPr>
            </w:pPr>
          </w:p>
        </w:tc>
        <w:tc>
          <w:tcPr>
            <w:tcW w:w="1340" w:type="dxa"/>
            <w:vAlign w:val="bottom"/>
            <w:tcBorders>
              <w:right w:val="single" w:sz="8" w:color="EAEAEA"/>
            </w:tcBorders>
            <w:shd w:val="clear" w:color="auto" w:fill="EAEAEA"/>
          </w:tcPr>
          <w:p>
            <w:pPr>
              <w:spacing w:after="0"/>
              <w:rPr>
                <w:sz w:val="21"/>
                <w:szCs w:val="21"/>
                <w:color w:val="auto"/>
              </w:rPr>
            </w:pPr>
          </w:p>
        </w:tc>
        <w:tc>
          <w:tcPr>
            <w:tcW w:w="1640" w:type="dxa"/>
            <w:vAlign w:val="bottom"/>
            <w:tcBorders>
              <w:right w:val="single" w:sz="8" w:color="EAEAEA"/>
            </w:tcBorders>
            <w:shd w:val="clear" w:color="auto" w:fill="EAEAEA"/>
          </w:tcPr>
          <w:p>
            <w:pPr>
              <w:spacing w:after="0"/>
              <w:rPr>
                <w:sz w:val="21"/>
                <w:szCs w:val="21"/>
                <w:color w:val="auto"/>
              </w:rPr>
            </w:pPr>
          </w:p>
        </w:tc>
        <w:tc>
          <w:tcPr>
            <w:tcW w:w="580" w:type="dxa"/>
            <w:vAlign w:val="bottom"/>
            <w:shd w:val="clear" w:color="auto" w:fill="EAEAEA"/>
          </w:tcPr>
          <w:p>
            <w:pPr>
              <w:jc w:val="right"/>
              <w:ind w:right="82"/>
              <w:spacing w:after="0"/>
              <w:rPr>
                <w:sz w:val="20"/>
                <w:szCs w:val="20"/>
                <w:color w:val="auto"/>
              </w:rPr>
            </w:pPr>
            <w:r>
              <w:rPr>
                <w:rFonts w:ascii="Arial" w:cs="Arial" w:eastAsia="Arial" w:hAnsi="Arial"/>
                <w:sz w:val="16"/>
                <w:szCs w:val="16"/>
                <w:color w:val="auto"/>
                <w:w w:val="97"/>
              </w:rPr>
              <w:t>100%</w:t>
            </w:r>
          </w:p>
        </w:tc>
        <w:tc>
          <w:tcPr>
            <w:tcW w:w="800" w:type="dxa"/>
            <w:vAlign w:val="bottom"/>
          </w:tcPr>
          <w:p>
            <w:pPr>
              <w:spacing w:after="0"/>
              <w:rPr>
                <w:sz w:val="21"/>
                <w:szCs w:val="21"/>
                <w:color w:val="auto"/>
              </w:rPr>
            </w:pPr>
          </w:p>
        </w:tc>
      </w:tr>
      <w:tr>
        <w:trPr>
          <w:trHeight w:val="237"/>
        </w:trPr>
        <w:tc>
          <w:tcPr>
            <w:tcW w:w="80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color w:val="auto"/>
              </w:rPr>
              <w:t>75th Percentile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 w:type="dxa"/>
            <w:vAlign w:val="bottom"/>
          </w:tcPr>
          <w:p>
            <w:pPr>
              <w:jc w:val="right"/>
              <w:ind w:right="82"/>
              <w:spacing w:after="0"/>
              <w:rPr>
                <w:sz w:val="20"/>
                <w:szCs w:val="20"/>
                <w:color w:val="auto"/>
              </w:rPr>
            </w:pPr>
            <w:r>
              <w:rPr>
                <w:rFonts w:ascii="Arial" w:cs="Arial" w:eastAsia="Arial" w:hAnsi="Arial"/>
                <w:sz w:val="16"/>
                <w:szCs w:val="16"/>
                <w:color w:val="auto"/>
                <w:w w:val="97"/>
              </w:rPr>
              <w:t>200%</w:t>
            </w:r>
          </w:p>
        </w:tc>
        <w:tc>
          <w:tcPr>
            <w:tcW w:w="800" w:type="dxa"/>
            <w:vAlign w:val="bottom"/>
          </w:tcPr>
          <w:p>
            <w:pPr>
              <w:spacing w:after="0"/>
              <w:rPr>
                <w:sz w:val="20"/>
                <w:szCs w:val="20"/>
                <w:color w:val="auto"/>
              </w:rPr>
            </w:pPr>
          </w:p>
        </w:tc>
      </w:tr>
      <w:tr>
        <w:trPr>
          <w:trHeight w:val="418"/>
        </w:trPr>
        <w:tc>
          <w:tcPr>
            <w:tcW w:w="3120" w:type="dxa"/>
            <w:vAlign w:val="bottom"/>
            <w:gridSpan w:val="5"/>
          </w:tcPr>
          <w:p>
            <w:pPr>
              <w:spacing w:after="0"/>
              <w:rPr>
                <w:sz w:val="20"/>
                <w:szCs w:val="20"/>
                <w:color w:val="auto"/>
              </w:rPr>
            </w:pPr>
            <w:r>
              <w:rPr>
                <w:rFonts w:ascii="Arial" w:cs="Arial" w:eastAsia="Arial" w:hAnsi="Arial"/>
                <w:sz w:val="16"/>
                <w:szCs w:val="16"/>
                <w:color w:val="auto"/>
              </w:rPr>
              <w:t>The awards for fiscal 2020 were as follows:</w:t>
            </w: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5"/>
        </w:trPr>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80" w:type="dxa"/>
            <w:vAlign w:val="bottom"/>
            <w:gridSpan w:val="2"/>
          </w:tcPr>
          <w:p>
            <w:pPr>
              <w:spacing w:after="0"/>
              <w:rPr>
                <w:sz w:val="20"/>
                <w:szCs w:val="20"/>
                <w:color w:val="auto"/>
              </w:rPr>
            </w:pPr>
          </w:p>
        </w:tc>
      </w:tr>
      <w:tr>
        <w:trPr>
          <w:trHeight w:val="176"/>
        </w:trPr>
        <w:tc>
          <w:tcPr>
            <w:tcW w:w="800" w:type="dxa"/>
            <w:vAlign w:val="bottom"/>
            <w:tcBorders>
              <w:left w:val="single" w:sz="8" w:color="7F7F7F"/>
            </w:tcBorders>
            <w:shd w:val="clear" w:color="auto" w:fill="005CB9"/>
          </w:tcPr>
          <w:p>
            <w:pPr>
              <w:spacing w:after="0"/>
              <w:rPr>
                <w:sz w:val="15"/>
                <w:szCs w:val="15"/>
                <w:color w:val="auto"/>
              </w:rPr>
            </w:pPr>
          </w:p>
        </w:tc>
        <w:tc>
          <w:tcPr>
            <w:tcW w:w="1020" w:type="dxa"/>
            <w:vAlign w:val="bottom"/>
            <w:tcBorders>
              <w:right w:val="single" w:sz="8" w:color="7F7F7F"/>
            </w:tcBorders>
            <w:shd w:val="clear" w:color="auto" w:fill="005CB9"/>
          </w:tcPr>
          <w:p>
            <w:pPr>
              <w:spacing w:after="0"/>
              <w:rPr>
                <w:sz w:val="15"/>
                <w:szCs w:val="15"/>
                <w:color w:val="auto"/>
              </w:rPr>
            </w:pPr>
          </w:p>
        </w:tc>
        <w:tc>
          <w:tcPr>
            <w:tcW w:w="180" w:type="dxa"/>
            <w:vAlign w:val="bottom"/>
            <w:shd w:val="clear" w:color="auto" w:fill="005CB9"/>
          </w:tcPr>
          <w:p>
            <w:pPr>
              <w:spacing w:after="0"/>
              <w:rPr>
                <w:sz w:val="15"/>
                <w:szCs w:val="15"/>
                <w:color w:val="auto"/>
              </w:rPr>
            </w:pPr>
          </w:p>
        </w:tc>
        <w:tc>
          <w:tcPr>
            <w:tcW w:w="900" w:type="dxa"/>
            <w:vAlign w:val="bottom"/>
            <w:tcBorders>
              <w:right w:val="single" w:sz="8" w:color="7F7F7F"/>
            </w:tcBorders>
            <w:shd w:val="clear" w:color="auto" w:fill="005CB9"/>
          </w:tcPr>
          <w:p>
            <w:pPr>
              <w:spacing w:after="0"/>
              <w:rPr>
                <w:sz w:val="15"/>
                <w:szCs w:val="15"/>
                <w:color w:val="auto"/>
              </w:rPr>
            </w:pPr>
          </w:p>
        </w:tc>
        <w:tc>
          <w:tcPr>
            <w:tcW w:w="220" w:type="dxa"/>
            <w:vAlign w:val="bottom"/>
            <w:shd w:val="clear" w:color="auto" w:fill="005CB9"/>
          </w:tcPr>
          <w:p>
            <w:pPr>
              <w:spacing w:after="0"/>
              <w:rPr>
                <w:sz w:val="15"/>
                <w:szCs w:val="15"/>
                <w:color w:val="auto"/>
              </w:rPr>
            </w:pPr>
          </w:p>
        </w:tc>
        <w:tc>
          <w:tcPr>
            <w:tcW w:w="86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Time-</w:t>
            </w:r>
          </w:p>
        </w:tc>
        <w:tc>
          <w:tcPr>
            <w:tcW w:w="1580" w:type="dxa"/>
            <w:vAlign w:val="bottom"/>
            <w:tcBorders>
              <w:right w:val="single" w:sz="8" w:color="7F7F7F"/>
            </w:tcBorders>
            <w:shd w:val="clear" w:color="auto" w:fill="005CB9"/>
          </w:tcPr>
          <w:p>
            <w:pPr>
              <w:jc w:val="center"/>
              <w:ind w:left="144"/>
              <w:spacing w:after="0"/>
              <w:rPr>
                <w:sz w:val="20"/>
                <w:szCs w:val="20"/>
                <w:color w:val="auto"/>
              </w:rPr>
            </w:pPr>
            <w:r>
              <w:rPr>
                <w:rFonts w:ascii="Arial" w:cs="Arial" w:eastAsia="Arial" w:hAnsi="Arial"/>
                <w:sz w:val="14"/>
                <w:szCs w:val="14"/>
                <w:b w:val="1"/>
                <w:bCs w:val="1"/>
                <w:color w:val="FFFFFF"/>
              </w:rPr>
              <w:t>Performance-</w:t>
            </w:r>
          </w:p>
        </w:tc>
        <w:tc>
          <w:tcPr>
            <w:tcW w:w="1340" w:type="dxa"/>
            <w:vAlign w:val="bottom"/>
            <w:tcBorders>
              <w:right w:val="single" w:sz="8" w:color="7F7F7F"/>
            </w:tcBorders>
            <w:shd w:val="clear" w:color="auto" w:fill="005CB9"/>
          </w:tcPr>
          <w:p>
            <w:pPr>
              <w:jc w:val="center"/>
              <w:ind w:left="144"/>
              <w:spacing w:after="0"/>
              <w:rPr>
                <w:sz w:val="20"/>
                <w:szCs w:val="20"/>
                <w:color w:val="auto"/>
              </w:rPr>
            </w:pPr>
            <w:r>
              <w:rPr>
                <w:rFonts w:ascii="Arial" w:cs="Arial" w:eastAsia="Arial" w:hAnsi="Arial"/>
                <w:sz w:val="14"/>
                <w:szCs w:val="14"/>
                <w:b w:val="1"/>
                <w:bCs w:val="1"/>
                <w:color w:val="FFFFFF"/>
              </w:rPr>
              <w:t>Performance-</w:t>
            </w:r>
          </w:p>
        </w:tc>
        <w:tc>
          <w:tcPr>
            <w:tcW w:w="1640" w:type="dxa"/>
            <w:vAlign w:val="bottom"/>
            <w:tcBorders>
              <w:right w:val="single" w:sz="8" w:color="7F7F7F"/>
            </w:tcBorders>
            <w:shd w:val="clear" w:color="auto" w:fill="005CB9"/>
          </w:tcPr>
          <w:p>
            <w:pPr>
              <w:spacing w:after="0"/>
              <w:rPr>
                <w:sz w:val="15"/>
                <w:szCs w:val="15"/>
                <w:color w:val="auto"/>
              </w:rPr>
            </w:pPr>
          </w:p>
        </w:tc>
        <w:tc>
          <w:tcPr>
            <w:tcW w:w="1380" w:type="dxa"/>
            <w:vAlign w:val="bottom"/>
            <w:gridSpan w:val="2"/>
            <w:shd w:val="clear" w:color="auto" w:fill="005CB9"/>
          </w:tcPr>
          <w:p>
            <w:pPr>
              <w:jc w:val="center"/>
              <w:ind w:left="142"/>
              <w:spacing w:after="0"/>
              <w:rPr>
                <w:sz w:val="20"/>
                <w:szCs w:val="20"/>
                <w:color w:val="auto"/>
              </w:rPr>
            </w:pPr>
            <w:r>
              <w:rPr>
                <w:rFonts w:ascii="Arial" w:cs="Arial" w:eastAsia="Arial" w:hAnsi="Arial"/>
                <w:sz w:val="14"/>
                <w:szCs w:val="14"/>
                <w:b w:val="1"/>
                <w:bCs w:val="1"/>
                <w:color w:val="FFFFFF"/>
              </w:rPr>
              <w:t>Performance-</w:t>
            </w:r>
          </w:p>
        </w:tc>
      </w:tr>
      <w:tr>
        <w:trPr>
          <w:trHeight w:val="162"/>
        </w:trPr>
        <w:tc>
          <w:tcPr>
            <w:tcW w:w="800" w:type="dxa"/>
            <w:vAlign w:val="bottom"/>
            <w:tcBorders>
              <w:left w:val="single" w:sz="8" w:color="7F7F7F"/>
            </w:tcBorders>
            <w:shd w:val="clear" w:color="auto" w:fill="005CB9"/>
          </w:tcPr>
          <w:p>
            <w:pPr>
              <w:spacing w:after="0"/>
              <w:rPr>
                <w:sz w:val="14"/>
                <w:szCs w:val="14"/>
                <w:color w:val="auto"/>
              </w:rPr>
            </w:pPr>
          </w:p>
        </w:tc>
        <w:tc>
          <w:tcPr>
            <w:tcW w:w="1020" w:type="dxa"/>
            <w:vAlign w:val="bottom"/>
            <w:tcBorders>
              <w:right w:val="single" w:sz="8" w:color="7F7F7F"/>
            </w:tcBorders>
            <w:shd w:val="clear" w:color="auto" w:fill="005CB9"/>
          </w:tcPr>
          <w:p>
            <w:pPr>
              <w:spacing w:after="0"/>
              <w:rPr>
                <w:sz w:val="14"/>
                <w:szCs w:val="14"/>
                <w:color w:val="auto"/>
              </w:rPr>
            </w:pPr>
          </w:p>
        </w:tc>
        <w:tc>
          <w:tcPr>
            <w:tcW w:w="180" w:type="dxa"/>
            <w:vAlign w:val="bottom"/>
            <w:shd w:val="clear" w:color="auto" w:fill="005CB9"/>
          </w:tcPr>
          <w:p>
            <w:pPr>
              <w:spacing w:after="0"/>
              <w:rPr>
                <w:sz w:val="14"/>
                <w:szCs w:val="14"/>
                <w:color w:val="auto"/>
              </w:rPr>
            </w:pPr>
          </w:p>
        </w:tc>
        <w:tc>
          <w:tcPr>
            <w:tcW w:w="90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Time-Based</w:t>
            </w:r>
          </w:p>
        </w:tc>
        <w:tc>
          <w:tcPr>
            <w:tcW w:w="220" w:type="dxa"/>
            <w:vAlign w:val="bottom"/>
            <w:shd w:val="clear" w:color="auto" w:fill="005CB9"/>
          </w:tcPr>
          <w:p>
            <w:pPr>
              <w:spacing w:after="0"/>
              <w:rPr>
                <w:sz w:val="14"/>
                <w:szCs w:val="14"/>
                <w:color w:val="auto"/>
              </w:rPr>
            </w:pPr>
          </w:p>
        </w:tc>
        <w:tc>
          <w:tcPr>
            <w:tcW w:w="86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Based</w:t>
            </w:r>
          </w:p>
        </w:tc>
        <w:tc>
          <w:tcPr>
            <w:tcW w:w="1580" w:type="dxa"/>
            <w:vAlign w:val="bottom"/>
            <w:tcBorders>
              <w:right w:val="single" w:sz="8" w:color="7F7F7F"/>
            </w:tcBorders>
            <w:shd w:val="clear" w:color="auto" w:fill="005CB9"/>
          </w:tcPr>
          <w:p>
            <w:pPr>
              <w:jc w:val="center"/>
              <w:ind w:left="144"/>
              <w:spacing w:after="0"/>
              <w:rPr>
                <w:sz w:val="20"/>
                <w:szCs w:val="20"/>
                <w:color w:val="auto"/>
              </w:rPr>
            </w:pPr>
            <w:r>
              <w:rPr>
                <w:rFonts w:ascii="Arial" w:cs="Arial" w:eastAsia="Arial" w:hAnsi="Arial"/>
                <w:sz w:val="14"/>
                <w:szCs w:val="14"/>
                <w:b w:val="1"/>
                <w:bCs w:val="1"/>
                <w:color w:val="FFFFFF"/>
              </w:rPr>
              <w:t>Based</w:t>
            </w:r>
          </w:p>
        </w:tc>
        <w:tc>
          <w:tcPr>
            <w:tcW w:w="1340" w:type="dxa"/>
            <w:vAlign w:val="bottom"/>
            <w:tcBorders>
              <w:right w:val="single" w:sz="8" w:color="7F7F7F"/>
            </w:tcBorders>
            <w:shd w:val="clear" w:color="auto" w:fill="005CB9"/>
          </w:tcPr>
          <w:p>
            <w:pPr>
              <w:jc w:val="center"/>
              <w:ind w:left="144"/>
              <w:spacing w:after="0"/>
              <w:rPr>
                <w:sz w:val="20"/>
                <w:szCs w:val="20"/>
                <w:color w:val="auto"/>
              </w:rPr>
            </w:pPr>
            <w:r>
              <w:rPr>
                <w:rFonts w:ascii="Arial" w:cs="Arial" w:eastAsia="Arial" w:hAnsi="Arial"/>
                <w:sz w:val="14"/>
                <w:szCs w:val="14"/>
                <w:b w:val="1"/>
                <w:bCs w:val="1"/>
                <w:color w:val="FFFFFF"/>
              </w:rPr>
              <w:t>Based RSUs ($)</w:t>
            </w:r>
          </w:p>
        </w:tc>
        <w:tc>
          <w:tcPr>
            <w:tcW w:w="1640" w:type="dxa"/>
            <w:vAlign w:val="bottom"/>
            <w:tcBorders>
              <w:right w:val="single" w:sz="8" w:color="7F7F7F"/>
            </w:tcBorders>
            <w:shd w:val="clear" w:color="auto" w:fill="005CB9"/>
          </w:tcPr>
          <w:p>
            <w:pPr>
              <w:jc w:val="center"/>
              <w:ind w:left="165"/>
              <w:spacing w:after="0"/>
              <w:rPr>
                <w:sz w:val="20"/>
                <w:szCs w:val="20"/>
                <w:color w:val="auto"/>
              </w:rPr>
            </w:pPr>
            <w:r>
              <w:rPr>
                <w:rFonts w:ascii="Arial" w:cs="Arial" w:eastAsia="Arial" w:hAnsi="Arial"/>
                <w:sz w:val="14"/>
                <w:szCs w:val="14"/>
                <w:b w:val="1"/>
                <w:bCs w:val="1"/>
                <w:color w:val="FFFFFF"/>
              </w:rPr>
              <w:t>Performance-Based</w:t>
            </w:r>
          </w:p>
        </w:tc>
        <w:tc>
          <w:tcPr>
            <w:tcW w:w="1380" w:type="dxa"/>
            <w:vAlign w:val="bottom"/>
            <w:gridSpan w:val="2"/>
            <w:shd w:val="clear" w:color="auto" w:fill="005CB9"/>
          </w:tcPr>
          <w:p>
            <w:pPr>
              <w:jc w:val="center"/>
              <w:ind w:left="142"/>
              <w:spacing w:after="0"/>
              <w:rPr>
                <w:sz w:val="20"/>
                <w:szCs w:val="20"/>
                <w:color w:val="auto"/>
              </w:rPr>
            </w:pPr>
            <w:r>
              <w:rPr>
                <w:rFonts w:ascii="Arial" w:cs="Arial" w:eastAsia="Arial" w:hAnsi="Arial"/>
                <w:sz w:val="14"/>
                <w:szCs w:val="14"/>
                <w:b w:val="1"/>
                <w:bCs w:val="1"/>
                <w:color w:val="FFFFFF"/>
              </w:rPr>
              <w:t>Based RSUs ($)</w:t>
            </w:r>
          </w:p>
        </w:tc>
      </w:tr>
      <w:tr>
        <w:trPr>
          <w:trHeight w:val="216"/>
        </w:trPr>
        <w:tc>
          <w:tcPr>
            <w:tcW w:w="800" w:type="dxa"/>
            <w:vAlign w:val="bottom"/>
            <w:tcBorders>
              <w:left w:val="single" w:sz="8" w:color="7F7F7F"/>
            </w:tcBorders>
            <w:shd w:val="clear" w:color="auto" w:fill="005CB9"/>
          </w:tcPr>
          <w:p>
            <w:pPr>
              <w:spacing w:after="0"/>
              <w:rPr>
                <w:sz w:val="18"/>
                <w:szCs w:val="18"/>
                <w:color w:val="auto"/>
              </w:rPr>
            </w:pPr>
          </w:p>
        </w:tc>
        <w:tc>
          <w:tcPr>
            <w:tcW w:w="1020" w:type="dxa"/>
            <w:vAlign w:val="bottom"/>
            <w:tcBorders>
              <w:right w:val="single" w:sz="8" w:color="7F7F7F"/>
            </w:tcBorders>
            <w:shd w:val="clear" w:color="auto" w:fill="005CB9"/>
          </w:tcPr>
          <w:p>
            <w:pPr>
              <w:spacing w:after="0"/>
              <w:rPr>
                <w:sz w:val="18"/>
                <w:szCs w:val="18"/>
                <w:color w:val="auto"/>
              </w:rPr>
            </w:pPr>
          </w:p>
        </w:tc>
        <w:tc>
          <w:tcPr>
            <w:tcW w:w="180" w:type="dxa"/>
            <w:vAlign w:val="bottom"/>
            <w:shd w:val="clear" w:color="auto" w:fill="005CB9"/>
          </w:tcPr>
          <w:p>
            <w:pPr>
              <w:spacing w:after="0"/>
              <w:rPr>
                <w:sz w:val="18"/>
                <w:szCs w:val="18"/>
                <w:color w:val="auto"/>
              </w:rPr>
            </w:pPr>
          </w:p>
        </w:tc>
        <w:tc>
          <w:tcPr>
            <w:tcW w:w="90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RSUs (#)</w:t>
            </w:r>
          </w:p>
        </w:tc>
        <w:tc>
          <w:tcPr>
            <w:tcW w:w="220" w:type="dxa"/>
            <w:vAlign w:val="bottom"/>
            <w:shd w:val="clear" w:color="auto" w:fill="005CB9"/>
          </w:tcPr>
          <w:p>
            <w:pPr>
              <w:spacing w:after="0"/>
              <w:rPr>
                <w:sz w:val="18"/>
                <w:szCs w:val="18"/>
                <w:color w:val="auto"/>
              </w:rPr>
            </w:pPr>
          </w:p>
        </w:tc>
        <w:tc>
          <w:tcPr>
            <w:tcW w:w="860" w:type="dxa"/>
            <w:vAlign w:val="bottom"/>
            <w:tcBorders>
              <w:right w:val="single" w:sz="8" w:color="7F7F7F"/>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RSUs ($)(1)</w:t>
            </w:r>
          </w:p>
        </w:tc>
        <w:tc>
          <w:tcPr>
            <w:tcW w:w="1580" w:type="dxa"/>
            <w:vAlign w:val="bottom"/>
            <w:tcBorders>
              <w:right w:val="single" w:sz="8" w:color="7F7F7F"/>
            </w:tcBorders>
            <w:shd w:val="clear" w:color="auto" w:fill="005CB9"/>
          </w:tcPr>
          <w:p>
            <w:pPr>
              <w:jc w:val="center"/>
              <w:ind w:left="124"/>
              <w:spacing w:after="0"/>
              <w:rPr>
                <w:sz w:val="20"/>
                <w:szCs w:val="20"/>
                <w:color w:val="auto"/>
              </w:rPr>
            </w:pPr>
            <w:r>
              <w:rPr>
                <w:rFonts w:ascii="Arial" w:cs="Arial" w:eastAsia="Arial" w:hAnsi="Arial"/>
                <w:sz w:val="14"/>
                <w:szCs w:val="14"/>
                <w:b w:val="1"/>
                <w:bCs w:val="1"/>
                <w:color w:val="FFFFFF"/>
              </w:rPr>
              <w:t>RSUs (#) (at target)</w:t>
            </w:r>
          </w:p>
        </w:tc>
        <w:tc>
          <w:tcPr>
            <w:tcW w:w="1340" w:type="dxa"/>
            <w:vAlign w:val="bottom"/>
            <w:tcBorders>
              <w:right w:val="single" w:sz="8" w:color="7F7F7F"/>
            </w:tcBorders>
            <w:shd w:val="clear" w:color="auto" w:fill="005CB9"/>
          </w:tcPr>
          <w:p>
            <w:pPr>
              <w:jc w:val="center"/>
              <w:ind w:left="144"/>
              <w:spacing w:after="0"/>
              <w:rPr>
                <w:sz w:val="20"/>
                <w:szCs w:val="20"/>
                <w:color w:val="auto"/>
              </w:rPr>
            </w:pPr>
            <w:r>
              <w:rPr>
                <w:rFonts w:ascii="Arial" w:cs="Arial" w:eastAsia="Arial" w:hAnsi="Arial"/>
                <w:sz w:val="14"/>
                <w:szCs w:val="14"/>
                <w:b w:val="1"/>
                <w:bCs w:val="1"/>
                <w:color w:val="FFFFFF"/>
              </w:rPr>
              <w:t>(at target)(1)</w:t>
            </w:r>
          </w:p>
        </w:tc>
        <w:tc>
          <w:tcPr>
            <w:tcW w:w="1640" w:type="dxa"/>
            <w:vAlign w:val="bottom"/>
            <w:tcBorders>
              <w:right w:val="single" w:sz="8" w:color="7F7F7F"/>
            </w:tcBorders>
            <w:shd w:val="clear" w:color="auto" w:fill="005CB9"/>
          </w:tcPr>
          <w:p>
            <w:pPr>
              <w:jc w:val="center"/>
              <w:ind w:left="145"/>
              <w:spacing w:after="0"/>
              <w:rPr>
                <w:sz w:val="20"/>
                <w:szCs w:val="20"/>
                <w:color w:val="auto"/>
              </w:rPr>
            </w:pPr>
            <w:r>
              <w:rPr>
                <w:rFonts w:ascii="Arial" w:cs="Arial" w:eastAsia="Arial" w:hAnsi="Arial"/>
                <w:sz w:val="14"/>
                <w:szCs w:val="14"/>
                <w:b w:val="1"/>
                <w:bCs w:val="1"/>
                <w:color w:val="FFFFFF"/>
              </w:rPr>
              <w:t>RSUs (#) (at max)</w:t>
            </w:r>
          </w:p>
        </w:tc>
        <w:tc>
          <w:tcPr>
            <w:tcW w:w="1380" w:type="dxa"/>
            <w:vAlign w:val="bottom"/>
            <w:gridSpan w:val="2"/>
            <w:shd w:val="clear" w:color="auto" w:fill="005CB9"/>
          </w:tcPr>
          <w:p>
            <w:pPr>
              <w:jc w:val="center"/>
              <w:ind w:left="142"/>
              <w:spacing w:after="0"/>
              <w:rPr>
                <w:sz w:val="20"/>
                <w:szCs w:val="20"/>
                <w:color w:val="auto"/>
              </w:rPr>
            </w:pPr>
            <w:r>
              <w:rPr>
                <w:rFonts w:ascii="Arial" w:cs="Arial" w:eastAsia="Arial" w:hAnsi="Arial"/>
                <w:sz w:val="14"/>
                <w:szCs w:val="14"/>
                <w:b w:val="1"/>
                <w:bCs w:val="1"/>
                <w:color w:val="FFFFFF"/>
              </w:rPr>
              <w:t>(at max)(1)</w:t>
            </w:r>
          </w:p>
        </w:tc>
      </w:tr>
      <w:tr>
        <w:trPr>
          <w:trHeight w:val="240"/>
        </w:trPr>
        <w:tc>
          <w:tcPr>
            <w:tcW w:w="1820" w:type="dxa"/>
            <w:vAlign w:val="bottom"/>
            <w:tcBorders>
              <w:left w:val="single" w:sz="8" w:color="7F7F7F"/>
              <w:bottom w:val="single" w:sz="8" w:color="7F7F7F"/>
              <w:right w:val="single" w:sz="8" w:color="7F7F7F"/>
            </w:tcBorders>
            <w:gridSpan w:val="2"/>
            <w:shd w:val="clear" w:color="auto" w:fill="EAEAEA"/>
          </w:tcPr>
          <w:p>
            <w:pPr>
              <w:jc w:val="center"/>
              <w:ind w:left="141"/>
              <w:spacing w:after="0"/>
              <w:rPr>
                <w:sz w:val="20"/>
                <w:szCs w:val="20"/>
                <w:color w:val="auto"/>
              </w:rPr>
            </w:pPr>
            <w:r>
              <w:rPr>
                <w:rFonts w:ascii="Arial" w:cs="Arial" w:eastAsia="Arial" w:hAnsi="Arial"/>
                <w:sz w:val="16"/>
                <w:szCs w:val="16"/>
                <w:color w:val="auto"/>
              </w:rPr>
              <w:t>Mr. Emerson</w:t>
            </w:r>
          </w:p>
        </w:tc>
        <w:tc>
          <w:tcPr>
            <w:tcW w:w="180" w:type="dxa"/>
            <w:vAlign w:val="bottom"/>
            <w:tcBorders>
              <w:bottom w:val="single" w:sz="8" w:color="7F7F7F"/>
            </w:tcBorders>
            <w:shd w:val="clear" w:color="auto" w:fill="EAEAEA"/>
          </w:tcPr>
          <w:p>
            <w:pPr>
              <w:spacing w:after="0"/>
              <w:rPr>
                <w:sz w:val="20"/>
                <w:szCs w:val="20"/>
                <w:color w:val="auto"/>
              </w:rPr>
            </w:pPr>
          </w:p>
        </w:tc>
        <w:tc>
          <w:tcPr>
            <w:tcW w:w="900" w:type="dxa"/>
            <w:vAlign w:val="bottom"/>
            <w:tcBorders>
              <w:bottom w:val="single" w:sz="8" w:color="7F7F7F"/>
              <w:right w:val="single" w:sz="8" w:color="7F7F7F"/>
            </w:tcBorders>
            <w:shd w:val="clear" w:color="auto" w:fill="EAEAEA"/>
          </w:tcPr>
          <w:p>
            <w:pPr>
              <w:jc w:val="right"/>
              <w:ind w:right="164"/>
              <w:spacing w:after="0"/>
              <w:rPr>
                <w:sz w:val="20"/>
                <w:szCs w:val="20"/>
                <w:color w:val="auto"/>
              </w:rPr>
            </w:pPr>
            <w:r>
              <w:rPr>
                <w:rFonts w:ascii="Arial" w:cs="Arial" w:eastAsia="Arial" w:hAnsi="Arial"/>
                <w:sz w:val="16"/>
                <w:szCs w:val="16"/>
                <w:color w:val="auto"/>
              </w:rPr>
              <w:t>3,648</w:t>
            </w:r>
          </w:p>
        </w:tc>
        <w:tc>
          <w:tcPr>
            <w:tcW w:w="220" w:type="dxa"/>
            <w:vAlign w:val="bottom"/>
            <w:tcBorders>
              <w:bottom w:val="single" w:sz="8" w:color="7F7F7F"/>
            </w:tcBorders>
            <w:shd w:val="clear" w:color="auto" w:fill="EAEAEA"/>
          </w:tcPr>
          <w:p>
            <w:pPr>
              <w:spacing w:after="0"/>
              <w:rPr>
                <w:sz w:val="20"/>
                <w:szCs w:val="20"/>
                <w:color w:val="auto"/>
              </w:rPr>
            </w:pPr>
          </w:p>
        </w:tc>
        <w:tc>
          <w:tcPr>
            <w:tcW w:w="860" w:type="dxa"/>
            <w:vAlign w:val="bottom"/>
            <w:tcBorders>
              <w:bottom w:val="single" w:sz="8" w:color="7F7F7F"/>
              <w:right w:val="single" w:sz="8" w:color="7F7F7F"/>
            </w:tcBorders>
            <w:shd w:val="clear" w:color="auto" w:fill="EAEAEA"/>
          </w:tcPr>
          <w:p>
            <w:pPr>
              <w:jc w:val="right"/>
              <w:ind w:right="24"/>
              <w:spacing w:after="0"/>
              <w:rPr>
                <w:sz w:val="20"/>
                <w:szCs w:val="20"/>
                <w:color w:val="auto"/>
              </w:rPr>
            </w:pPr>
            <w:r>
              <w:rPr>
                <w:rFonts w:ascii="Arial" w:cs="Arial" w:eastAsia="Arial" w:hAnsi="Arial"/>
                <w:sz w:val="16"/>
                <w:szCs w:val="16"/>
                <w:color w:val="auto"/>
              </w:rPr>
              <w:t>$350,000</w:t>
            </w:r>
          </w:p>
        </w:tc>
        <w:tc>
          <w:tcPr>
            <w:tcW w:w="1580" w:type="dxa"/>
            <w:vAlign w:val="bottom"/>
            <w:tcBorders>
              <w:bottom w:val="single" w:sz="8" w:color="7F7F7F"/>
              <w:right w:val="single" w:sz="8" w:color="7F7F7F"/>
            </w:tcBorders>
            <w:shd w:val="clear" w:color="auto" w:fill="EAEAEA"/>
          </w:tcPr>
          <w:p>
            <w:pPr>
              <w:jc w:val="right"/>
              <w:ind w:right="404"/>
              <w:spacing w:after="0"/>
              <w:rPr>
                <w:sz w:val="20"/>
                <w:szCs w:val="20"/>
                <w:color w:val="auto"/>
              </w:rPr>
            </w:pPr>
            <w:r>
              <w:rPr>
                <w:rFonts w:ascii="Arial" w:cs="Arial" w:eastAsia="Arial" w:hAnsi="Arial"/>
                <w:sz w:val="16"/>
                <w:szCs w:val="16"/>
                <w:color w:val="auto"/>
              </w:rPr>
              <w:t>7,305</w:t>
            </w:r>
          </w:p>
        </w:tc>
        <w:tc>
          <w:tcPr>
            <w:tcW w:w="1340" w:type="dxa"/>
            <w:vAlign w:val="bottom"/>
            <w:tcBorders>
              <w:bottom w:val="single" w:sz="8" w:color="7F7F7F"/>
              <w:right w:val="single" w:sz="8" w:color="7F7F7F"/>
            </w:tcBorders>
            <w:shd w:val="clear" w:color="auto" w:fill="EAEAEA"/>
          </w:tcPr>
          <w:p>
            <w:pPr>
              <w:jc w:val="right"/>
              <w:ind w:right="144"/>
              <w:spacing w:after="0"/>
              <w:rPr>
                <w:sz w:val="20"/>
                <w:szCs w:val="20"/>
                <w:color w:val="auto"/>
              </w:rPr>
            </w:pPr>
            <w:r>
              <w:rPr>
                <w:rFonts w:ascii="Arial" w:cs="Arial" w:eastAsia="Arial" w:hAnsi="Arial"/>
                <w:sz w:val="16"/>
                <w:szCs w:val="16"/>
                <w:color w:val="auto"/>
              </w:rPr>
              <w:t>$700,000</w:t>
            </w:r>
          </w:p>
        </w:tc>
        <w:tc>
          <w:tcPr>
            <w:tcW w:w="1640" w:type="dxa"/>
            <w:vAlign w:val="bottom"/>
            <w:tcBorders>
              <w:bottom w:val="single" w:sz="8" w:color="7F7F7F"/>
              <w:right w:val="single" w:sz="8" w:color="7F7F7F"/>
            </w:tcBorders>
            <w:shd w:val="clear" w:color="auto" w:fill="EAEAEA"/>
          </w:tcPr>
          <w:p>
            <w:pPr>
              <w:jc w:val="center"/>
              <w:ind w:left="145"/>
              <w:spacing w:after="0"/>
              <w:rPr>
                <w:sz w:val="20"/>
                <w:szCs w:val="20"/>
                <w:color w:val="auto"/>
              </w:rPr>
            </w:pPr>
            <w:r>
              <w:rPr>
                <w:rFonts w:ascii="Arial" w:cs="Arial" w:eastAsia="Arial" w:hAnsi="Arial"/>
                <w:sz w:val="16"/>
                <w:szCs w:val="16"/>
                <w:color w:val="auto"/>
              </w:rPr>
              <w:t>14,610</w:t>
            </w:r>
          </w:p>
        </w:tc>
        <w:tc>
          <w:tcPr>
            <w:tcW w:w="1380" w:type="dxa"/>
            <w:vAlign w:val="bottom"/>
            <w:tcBorders>
              <w:bottom w:val="single" w:sz="8" w:color="7F7F7F"/>
            </w:tcBorders>
            <w:gridSpan w:val="2"/>
            <w:shd w:val="clear" w:color="auto" w:fill="EAEAEA"/>
          </w:tcPr>
          <w:p>
            <w:pPr>
              <w:jc w:val="center"/>
              <w:ind w:left="182"/>
              <w:spacing w:after="0"/>
              <w:rPr>
                <w:sz w:val="20"/>
                <w:szCs w:val="20"/>
                <w:color w:val="auto"/>
              </w:rPr>
            </w:pPr>
            <w:r>
              <w:rPr>
                <w:rFonts w:ascii="Arial" w:cs="Arial" w:eastAsia="Arial" w:hAnsi="Arial"/>
                <w:sz w:val="16"/>
                <w:szCs w:val="16"/>
                <w:color w:val="auto"/>
                <w:w w:val="99"/>
              </w:rPr>
              <w:t>$1,400,000</w:t>
            </w:r>
          </w:p>
        </w:tc>
      </w:tr>
      <w:tr>
        <w:trPr>
          <w:trHeight w:val="236"/>
        </w:trPr>
        <w:tc>
          <w:tcPr>
            <w:tcW w:w="1820" w:type="dxa"/>
            <w:vAlign w:val="bottom"/>
            <w:tcBorders>
              <w:left w:val="single" w:sz="8" w:color="7F7F7F"/>
              <w:bottom w:val="single" w:sz="8" w:color="7F7F7F"/>
              <w:right w:val="single" w:sz="8" w:color="7F7F7F"/>
            </w:tcBorders>
            <w:gridSpan w:val="2"/>
            <w:shd w:val="clear" w:color="auto" w:fill="EAEAEA"/>
          </w:tcPr>
          <w:p>
            <w:pPr>
              <w:jc w:val="center"/>
              <w:ind w:left="121"/>
              <w:spacing w:after="0"/>
              <w:rPr>
                <w:sz w:val="20"/>
                <w:szCs w:val="20"/>
                <w:color w:val="auto"/>
              </w:rPr>
            </w:pPr>
            <w:r>
              <w:rPr>
                <w:rFonts w:ascii="Arial" w:cs="Arial" w:eastAsia="Arial" w:hAnsi="Arial"/>
                <w:sz w:val="16"/>
                <w:szCs w:val="16"/>
                <w:color w:val="auto"/>
              </w:rPr>
              <w:t>Ms. Goldstein</w:t>
            </w:r>
          </w:p>
        </w:tc>
        <w:tc>
          <w:tcPr>
            <w:tcW w:w="180" w:type="dxa"/>
            <w:vAlign w:val="bottom"/>
            <w:tcBorders>
              <w:bottom w:val="single" w:sz="8" w:color="7F7F7F"/>
            </w:tcBorders>
            <w:shd w:val="clear" w:color="auto" w:fill="EAEAEA"/>
          </w:tcPr>
          <w:p>
            <w:pPr>
              <w:spacing w:after="0"/>
              <w:rPr>
                <w:sz w:val="20"/>
                <w:szCs w:val="20"/>
                <w:color w:val="auto"/>
              </w:rPr>
            </w:pPr>
          </w:p>
        </w:tc>
        <w:tc>
          <w:tcPr>
            <w:tcW w:w="900" w:type="dxa"/>
            <w:vAlign w:val="bottom"/>
            <w:tcBorders>
              <w:bottom w:val="single" w:sz="8" w:color="7F7F7F"/>
              <w:right w:val="single" w:sz="8" w:color="7F7F7F"/>
            </w:tcBorders>
            <w:shd w:val="clear" w:color="auto" w:fill="EAEAEA"/>
          </w:tcPr>
          <w:p>
            <w:pPr>
              <w:jc w:val="right"/>
              <w:ind w:right="124"/>
              <w:spacing w:after="0"/>
              <w:rPr>
                <w:sz w:val="20"/>
                <w:szCs w:val="20"/>
                <w:color w:val="auto"/>
              </w:rPr>
            </w:pPr>
            <w:r>
              <w:rPr>
                <w:rFonts w:ascii="Arial" w:cs="Arial" w:eastAsia="Arial" w:hAnsi="Arial"/>
                <w:sz w:val="16"/>
                <w:szCs w:val="16"/>
                <w:color w:val="auto"/>
              </w:rPr>
              <w:t>10,422</w:t>
            </w:r>
          </w:p>
        </w:tc>
        <w:tc>
          <w:tcPr>
            <w:tcW w:w="220" w:type="dxa"/>
            <w:vAlign w:val="bottom"/>
            <w:tcBorders>
              <w:bottom w:val="single" w:sz="8" w:color="7F7F7F"/>
            </w:tcBorders>
            <w:shd w:val="clear" w:color="auto" w:fill="EAEAEA"/>
          </w:tcPr>
          <w:p>
            <w:pPr>
              <w:spacing w:after="0"/>
              <w:rPr>
                <w:sz w:val="20"/>
                <w:szCs w:val="20"/>
                <w:color w:val="auto"/>
              </w:rPr>
            </w:pPr>
          </w:p>
        </w:tc>
        <w:tc>
          <w:tcPr>
            <w:tcW w:w="860" w:type="dxa"/>
            <w:vAlign w:val="bottom"/>
            <w:tcBorders>
              <w:bottom w:val="single" w:sz="8" w:color="7F7F7F"/>
              <w:right w:val="single" w:sz="8" w:color="7F7F7F"/>
            </w:tcBorders>
            <w:shd w:val="clear" w:color="auto" w:fill="EAEAEA"/>
          </w:tcPr>
          <w:p>
            <w:pPr>
              <w:jc w:val="right"/>
              <w:spacing w:after="0"/>
              <w:rPr>
                <w:sz w:val="20"/>
                <w:szCs w:val="20"/>
                <w:color w:val="auto"/>
              </w:rPr>
            </w:pPr>
            <w:r>
              <w:rPr>
                <w:rFonts w:ascii="Arial" w:cs="Arial" w:eastAsia="Arial" w:hAnsi="Arial"/>
                <w:sz w:val="16"/>
                <w:szCs w:val="16"/>
                <w:color w:val="auto"/>
                <w:w w:val="99"/>
              </w:rPr>
              <w:t>$1,000,000</w:t>
            </w:r>
          </w:p>
        </w:tc>
        <w:tc>
          <w:tcPr>
            <w:tcW w:w="1580" w:type="dxa"/>
            <w:vAlign w:val="bottom"/>
            <w:tcBorders>
              <w:bottom w:val="single" w:sz="8" w:color="7F7F7F"/>
              <w:right w:val="single" w:sz="8" w:color="7F7F7F"/>
            </w:tcBorders>
            <w:shd w:val="clear" w:color="auto" w:fill="EAEAEA"/>
          </w:tcPr>
          <w:p>
            <w:pPr>
              <w:jc w:val="right"/>
              <w:ind w:right="364"/>
              <w:spacing w:after="0"/>
              <w:rPr>
                <w:sz w:val="20"/>
                <w:szCs w:val="20"/>
                <w:color w:val="auto"/>
              </w:rPr>
            </w:pPr>
            <w:r>
              <w:rPr>
                <w:rFonts w:ascii="Arial" w:cs="Arial" w:eastAsia="Arial" w:hAnsi="Arial"/>
                <w:sz w:val="16"/>
                <w:szCs w:val="16"/>
                <w:color w:val="auto"/>
              </w:rPr>
              <w:t>20,874</w:t>
            </w:r>
          </w:p>
        </w:tc>
        <w:tc>
          <w:tcPr>
            <w:tcW w:w="1340" w:type="dxa"/>
            <w:vAlign w:val="bottom"/>
            <w:tcBorders>
              <w:bottom w:val="single" w:sz="8" w:color="7F7F7F"/>
              <w:right w:val="single" w:sz="8" w:color="7F7F7F"/>
            </w:tcBorders>
            <w:shd w:val="clear" w:color="auto" w:fill="EAEAEA"/>
          </w:tcPr>
          <w:p>
            <w:pPr>
              <w:jc w:val="right"/>
              <w:ind w:right="84"/>
              <w:spacing w:after="0"/>
              <w:rPr>
                <w:sz w:val="20"/>
                <w:szCs w:val="20"/>
                <w:color w:val="auto"/>
              </w:rPr>
            </w:pPr>
            <w:r>
              <w:rPr>
                <w:rFonts w:ascii="Arial" w:cs="Arial" w:eastAsia="Arial" w:hAnsi="Arial"/>
                <w:sz w:val="16"/>
                <w:szCs w:val="16"/>
                <w:color w:val="auto"/>
              </w:rPr>
              <w:t>$2,000,000</w:t>
            </w:r>
          </w:p>
        </w:tc>
        <w:tc>
          <w:tcPr>
            <w:tcW w:w="1640" w:type="dxa"/>
            <w:vAlign w:val="bottom"/>
            <w:tcBorders>
              <w:bottom w:val="single" w:sz="8" w:color="7F7F7F"/>
              <w:right w:val="single" w:sz="8" w:color="7F7F7F"/>
            </w:tcBorders>
            <w:shd w:val="clear" w:color="auto" w:fill="EAEAEA"/>
          </w:tcPr>
          <w:p>
            <w:pPr>
              <w:jc w:val="center"/>
              <w:ind w:left="145"/>
              <w:spacing w:after="0"/>
              <w:rPr>
                <w:sz w:val="20"/>
                <w:szCs w:val="20"/>
                <w:color w:val="auto"/>
              </w:rPr>
            </w:pPr>
            <w:r>
              <w:rPr>
                <w:rFonts w:ascii="Arial" w:cs="Arial" w:eastAsia="Arial" w:hAnsi="Arial"/>
                <w:sz w:val="16"/>
                <w:szCs w:val="16"/>
                <w:color w:val="auto"/>
              </w:rPr>
              <w:t>41,748</w:t>
            </w:r>
          </w:p>
        </w:tc>
        <w:tc>
          <w:tcPr>
            <w:tcW w:w="1380" w:type="dxa"/>
            <w:vAlign w:val="bottom"/>
            <w:tcBorders>
              <w:bottom w:val="single" w:sz="8" w:color="7F7F7F"/>
            </w:tcBorders>
            <w:gridSpan w:val="2"/>
            <w:shd w:val="clear" w:color="auto" w:fill="EAEAEA"/>
          </w:tcPr>
          <w:p>
            <w:pPr>
              <w:jc w:val="center"/>
              <w:ind w:left="182"/>
              <w:spacing w:after="0"/>
              <w:rPr>
                <w:sz w:val="20"/>
                <w:szCs w:val="20"/>
                <w:color w:val="auto"/>
              </w:rPr>
            </w:pPr>
            <w:r>
              <w:rPr>
                <w:rFonts w:ascii="Arial" w:cs="Arial" w:eastAsia="Arial" w:hAnsi="Arial"/>
                <w:sz w:val="16"/>
                <w:szCs w:val="16"/>
                <w:color w:val="auto"/>
                <w:w w:val="99"/>
              </w:rPr>
              <w:t>$4,000,000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282575</wp:posOffset>
            </wp:positionV>
            <wp:extent cx="291465" cy="274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39</w:t>
            </w:r>
          </w:p>
        </w:tc>
      </w:tr>
    </w:tbl>
    <w:p>
      <w:pPr>
        <w:sectPr>
          <w:pgSz w:w="11900" w:h="16838" w:orient="portrait"/>
          <w:cols w:equalWidth="0" w:num="1">
            <w:col w:w="10580"/>
          </w:cols>
          <w:pgMar w:left="320" w:top="459" w:right="9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1000" w:right="40" w:hanging="331"/>
        <w:spacing w:after="0" w:line="253"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the aggregate grant date fair values of the shares displayed in the Summary Compensation Table for fiscal 2020 and the Grants of Plan-Based Awards table later in this proxy statement are computed in accordance with stock-based accounting rules, the values in those tables differ from the value displayed in the table above.</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NEO Long-Term Incentives Awarded in Fiscal 2021</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2020, the Compensation Committee determined that the Company would issue: 9,468 RSUs to Mr. Emerson; and 27,052 RSUs to</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Ms. Goldstein. The RSUs are comprised of:</w:t>
      </w:r>
    </w:p>
    <w:p>
      <w:pPr>
        <w:spacing w:after="0" w:line="127" w:lineRule="exact"/>
        <w:rPr>
          <w:sz w:val="20"/>
          <w:szCs w:val="20"/>
          <w:color w:val="auto"/>
        </w:rPr>
      </w:pPr>
    </w:p>
    <w:p>
      <w:pPr>
        <w:ind w:left="1320" w:right="60" w:hanging="329"/>
        <w:spacing w:after="0" w:line="260" w:lineRule="auto"/>
        <w:tabs>
          <w:tab w:leader="none" w:pos="1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3,153 time-based RSUs for Mr. Emerson and 9,009 time-based RSUs for Ms. Goldstein, in each case that vest in three (3) equal annual installments commencing on June 1, 2020; and</w:t>
      </w:r>
    </w:p>
    <w:p>
      <w:pPr>
        <w:spacing w:after="0" w:line="100" w:lineRule="exact"/>
        <w:rPr>
          <w:rFonts w:ascii="Arial" w:cs="Arial" w:eastAsia="Arial" w:hAnsi="Arial"/>
          <w:sz w:val="16"/>
          <w:szCs w:val="16"/>
          <w:color w:val="auto"/>
        </w:rPr>
      </w:pPr>
    </w:p>
    <w:p>
      <w:pPr>
        <w:ind w:left="1320" w:right="200" w:hanging="329"/>
        <w:spacing w:after="0" w:line="253" w:lineRule="auto"/>
        <w:tabs>
          <w:tab w:leader="none" w:pos="1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6,315 performance-based RSUs at target for Mr. Emerson and 18,043 performance-based RSUs at target for Ms. Goldstein, in each case that vest in two (2) equal annual installments commencing on June 1, 2022, subject to the satisfaction of certain performance criteria based on relative TSR performance during the measurement period.</w:t>
      </w:r>
    </w:p>
    <w:p>
      <w:pPr>
        <w:spacing w:after="0" w:line="201" w:lineRule="exact"/>
        <w:rPr>
          <w:sz w:val="20"/>
          <w:szCs w:val="20"/>
          <w:color w:val="auto"/>
        </w:rPr>
      </w:pPr>
    </w:p>
    <w:p>
      <w:pPr>
        <w:ind w:left="660" w:right="120"/>
        <w:spacing w:after="0" w:line="253" w:lineRule="auto"/>
        <w:rPr>
          <w:sz w:val="20"/>
          <w:szCs w:val="20"/>
          <w:color w:val="auto"/>
        </w:rPr>
      </w:pPr>
      <w:r>
        <w:rPr>
          <w:rFonts w:ascii="Arial" w:cs="Arial" w:eastAsia="Arial" w:hAnsi="Arial"/>
          <w:sz w:val="16"/>
          <w:szCs w:val="16"/>
          <w:color w:val="auto"/>
        </w:rPr>
        <w:t>The number of shares of common stock that may be issued upon vesting of the performance-based RSUs assumes the achievement of the target performance criteria established by the Compensation Committee; however, the actual number of such shares may range from zero to a maximum of 12,630 for Mr. Emerson and 36,086 for Ms. Goldstein (in each case equal to 200% of target).</w:t>
      </w:r>
    </w:p>
    <w:p>
      <w:pPr>
        <w:spacing w:after="0" w:line="201" w:lineRule="exact"/>
        <w:rPr>
          <w:sz w:val="20"/>
          <w:szCs w:val="20"/>
          <w:color w:val="auto"/>
        </w:rPr>
      </w:pPr>
    </w:p>
    <w:p>
      <w:pPr>
        <w:ind w:left="660" w:right="60"/>
        <w:spacing w:after="0" w:line="251" w:lineRule="auto"/>
        <w:rPr>
          <w:sz w:val="20"/>
          <w:szCs w:val="20"/>
          <w:color w:val="auto"/>
        </w:rPr>
      </w:pPr>
      <w:r>
        <w:rPr>
          <w:rFonts w:ascii="Arial" w:cs="Arial" w:eastAsia="Arial" w:hAnsi="Arial"/>
          <w:sz w:val="16"/>
          <w:szCs w:val="16"/>
          <w:color w:val="auto"/>
        </w:rPr>
        <w:t>SEC regulations generally require that the grant date fair value of equity awards be disclosed in the Summary Compensation Table for the year in which the equity awards were granted, not the year to which the services relate. As a result, the grant date value for equity grants made in June 2019 are shown in the Summary Compensation Table on page 47, and the grant date value for the equity grants made in June 2020 will be reflected in the Summary Compensation Table in our proxy statement for the 2021 Annual Meeting of Shareholders.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NEO Long-Term Incentive Awards Vested in Fiscal 2020</w:t>
      </w:r>
    </w:p>
    <w:p>
      <w:pPr>
        <w:spacing w:after="0" w:line="129" w:lineRule="exact"/>
        <w:rPr>
          <w:sz w:val="20"/>
          <w:szCs w:val="20"/>
          <w:color w:val="auto"/>
        </w:rPr>
      </w:pPr>
    </w:p>
    <w:p>
      <w:pPr>
        <w:ind w:left="660" w:right="100"/>
        <w:spacing w:after="0" w:line="260" w:lineRule="auto"/>
        <w:rPr>
          <w:sz w:val="20"/>
          <w:szCs w:val="20"/>
          <w:color w:val="auto"/>
        </w:rPr>
      </w:pPr>
      <w:r>
        <w:rPr>
          <w:rFonts w:ascii="Arial" w:cs="Arial" w:eastAsia="Arial" w:hAnsi="Arial"/>
          <w:sz w:val="16"/>
          <w:szCs w:val="16"/>
          <w:color w:val="auto"/>
        </w:rPr>
        <w:t>The results and payout levels for the performance-based RSUs and/or restricted stock granted to Ms. Goldstein and Mr. Emerson prior to fiscal 2020 that vested, or failed to vest, in fiscal 2020, are as follows:</w:t>
      </w:r>
    </w:p>
    <w:p>
      <w:pPr>
        <w:spacing w:after="0" w:line="220" w:lineRule="exact"/>
        <w:rPr>
          <w:sz w:val="20"/>
          <w:szCs w:val="20"/>
          <w:color w:val="auto"/>
        </w:rPr>
      </w:pPr>
    </w:p>
    <w:tbl>
      <w:tblPr>
        <w:tblLayout w:type="fixed"/>
        <w:tblInd w:w="670" w:type="dxa"/>
        <w:tblCellMar>
          <w:top w:w="0" w:type="dxa"/>
          <w:left w:w="0" w:type="dxa"/>
          <w:bottom w:w="0" w:type="dxa"/>
          <w:right w:w="0" w:type="dxa"/>
        </w:tblCellMar>
      </w:tblPr>
      <w:tr>
        <w:trPr>
          <w:trHeight w:val="203"/>
        </w:trPr>
        <w:tc>
          <w:tcPr>
            <w:tcW w:w="2200" w:type="dxa"/>
            <w:vAlign w:val="bottom"/>
            <w:tcBorders>
              <w:left w:val="single" w:sz="8" w:color="7F7F7F"/>
              <w:right w:val="single" w:sz="8" w:color="7F7F7F"/>
            </w:tcBorders>
            <w:shd w:val="clear" w:color="auto" w:fill="005CB9"/>
          </w:tcPr>
          <w:p>
            <w:pPr>
              <w:spacing w:after="0"/>
              <w:rPr>
                <w:sz w:val="17"/>
                <w:szCs w:val="17"/>
                <w:color w:val="auto"/>
              </w:rPr>
            </w:pPr>
          </w:p>
        </w:tc>
        <w:tc>
          <w:tcPr>
            <w:tcW w:w="3860" w:type="dxa"/>
            <w:vAlign w:val="bottom"/>
            <w:tcBorders>
              <w:right w:val="single" w:sz="8" w:color="7F7F7F"/>
            </w:tcBorders>
            <w:shd w:val="clear" w:color="auto" w:fill="005CB9"/>
          </w:tcPr>
          <w:p>
            <w:pPr>
              <w:jc w:val="center"/>
              <w:ind w:left="204"/>
              <w:spacing w:after="0"/>
              <w:rPr>
                <w:sz w:val="20"/>
                <w:szCs w:val="20"/>
                <w:color w:val="auto"/>
              </w:rPr>
            </w:pPr>
            <w:r>
              <w:rPr>
                <w:rFonts w:ascii="Arial" w:cs="Arial" w:eastAsia="Arial" w:hAnsi="Arial"/>
                <w:sz w:val="14"/>
                <w:szCs w:val="14"/>
                <w:b w:val="1"/>
                <w:bCs w:val="1"/>
                <w:color w:val="FFFFFF"/>
              </w:rPr>
              <w:t>Performance-Based RSUs and/or</w:t>
            </w:r>
          </w:p>
        </w:tc>
        <w:tc>
          <w:tcPr>
            <w:tcW w:w="3860" w:type="dxa"/>
            <w:vAlign w:val="bottom"/>
            <w:shd w:val="clear" w:color="auto" w:fill="005CB9"/>
          </w:tcPr>
          <w:p>
            <w:pPr>
              <w:jc w:val="center"/>
              <w:ind w:left="164"/>
              <w:spacing w:after="0"/>
              <w:rPr>
                <w:sz w:val="20"/>
                <w:szCs w:val="20"/>
                <w:color w:val="auto"/>
              </w:rPr>
            </w:pPr>
            <w:r>
              <w:rPr>
                <w:rFonts w:ascii="Arial" w:cs="Arial" w:eastAsia="Arial" w:hAnsi="Arial"/>
                <w:sz w:val="14"/>
                <w:szCs w:val="14"/>
                <w:b w:val="1"/>
                <w:bCs w:val="1"/>
                <w:color w:val="FFFFFF"/>
              </w:rPr>
              <w:t>Performance-Based RSUs and/or</w:t>
            </w:r>
          </w:p>
        </w:tc>
      </w:tr>
      <w:tr>
        <w:trPr>
          <w:trHeight w:val="162"/>
        </w:trPr>
        <w:tc>
          <w:tcPr>
            <w:tcW w:w="2200" w:type="dxa"/>
            <w:vAlign w:val="bottom"/>
            <w:tcBorders>
              <w:left w:val="single" w:sz="8" w:color="7F7F7F"/>
              <w:right w:val="single" w:sz="8" w:color="7F7F7F"/>
            </w:tcBorders>
            <w:shd w:val="clear" w:color="auto" w:fill="005CB9"/>
          </w:tcPr>
          <w:p>
            <w:pPr>
              <w:spacing w:after="0"/>
              <w:rPr>
                <w:sz w:val="14"/>
                <w:szCs w:val="14"/>
                <w:color w:val="auto"/>
              </w:rPr>
            </w:pPr>
          </w:p>
        </w:tc>
        <w:tc>
          <w:tcPr>
            <w:tcW w:w="3860" w:type="dxa"/>
            <w:vAlign w:val="bottom"/>
            <w:tcBorders>
              <w:right w:val="single" w:sz="8" w:color="7F7F7F"/>
            </w:tcBorders>
            <w:shd w:val="clear" w:color="auto" w:fill="005CB9"/>
          </w:tcPr>
          <w:p>
            <w:pPr>
              <w:jc w:val="center"/>
              <w:ind w:left="184"/>
              <w:spacing w:after="0"/>
              <w:rPr>
                <w:sz w:val="20"/>
                <w:szCs w:val="20"/>
                <w:color w:val="auto"/>
              </w:rPr>
            </w:pPr>
            <w:r>
              <w:rPr>
                <w:rFonts w:ascii="Arial" w:cs="Arial" w:eastAsia="Arial" w:hAnsi="Arial"/>
                <w:sz w:val="14"/>
                <w:szCs w:val="14"/>
                <w:b w:val="1"/>
                <w:bCs w:val="1"/>
                <w:color w:val="FFFFFF"/>
              </w:rPr>
              <w:t>Restricted Stock Vested</w:t>
            </w:r>
          </w:p>
        </w:tc>
        <w:tc>
          <w:tcPr>
            <w:tcW w:w="3860" w:type="dxa"/>
            <w:vAlign w:val="bottom"/>
            <w:shd w:val="clear" w:color="auto" w:fill="005CB9"/>
          </w:tcPr>
          <w:p>
            <w:pPr>
              <w:jc w:val="center"/>
              <w:ind w:left="184"/>
              <w:spacing w:after="0"/>
              <w:rPr>
                <w:sz w:val="20"/>
                <w:szCs w:val="20"/>
                <w:color w:val="auto"/>
              </w:rPr>
            </w:pPr>
            <w:r>
              <w:rPr>
                <w:rFonts w:ascii="Arial" w:cs="Arial" w:eastAsia="Arial" w:hAnsi="Arial"/>
                <w:sz w:val="14"/>
                <w:szCs w:val="14"/>
                <w:b w:val="1"/>
                <w:bCs w:val="1"/>
                <w:color w:val="FFFFFF"/>
              </w:rPr>
              <w:t>Restricted Stock Forfeited</w:t>
            </w:r>
          </w:p>
        </w:tc>
      </w:tr>
      <w:tr>
        <w:trPr>
          <w:trHeight w:val="202"/>
        </w:trPr>
        <w:tc>
          <w:tcPr>
            <w:tcW w:w="2200" w:type="dxa"/>
            <w:vAlign w:val="bottom"/>
            <w:tcBorders>
              <w:left w:val="single" w:sz="8" w:color="7F7F7F"/>
              <w:right w:val="single" w:sz="8" w:color="7F7F7F"/>
            </w:tcBorders>
            <w:shd w:val="clear" w:color="auto" w:fill="005CB9"/>
          </w:tcPr>
          <w:p>
            <w:pPr>
              <w:spacing w:after="0"/>
              <w:rPr>
                <w:sz w:val="17"/>
                <w:szCs w:val="17"/>
                <w:color w:val="auto"/>
              </w:rPr>
            </w:pPr>
          </w:p>
        </w:tc>
        <w:tc>
          <w:tcPr>
            <w:tcW w:w="3860" w:type="dxa"/>
            <w:vAlign w:val="bottom"/>
            <w:tcBorders>
              <w:right w:val="single" w:sz="8" w:color="7F7F7F"/>
            </w:tcBorders>
            <w:shd w:val="clear" w:color="auto" w:fill="005CB9"/>
          </w:tcPr>
          <w:p>
            <w:pPr>
              <w:jc w:val="center"/>
              <w:ind w:left="184"/>
              <w:spacing w:after="0"/>
              <w:rPr>
                <w:sz w:val="20"/>
                <w:szCs w:val="20"/>
                <w:color w:val="auto"/>
              </w:rPr>
            </w:pPr>
            <w:r>
              <w:rPr>
                <w:rFonts w:ascii="Arial" w:cs="Arial" w:eastAsia="Arial" w:hAnsi="Arial"/>
                <w:sz w:val="14"/>
                <w:szCs w:val="14"/>
                <w:b w:val="1"/>
                <w:bCs w:val="1"/>
                <w:color w:val="FFFFFF"/>
                <w:w w:val="93"/>
              </w:rPr>
              <w:t>(#)</w:t>
            </w:r>
          </w:p>
        </w:tc>
        <w:tc>
          <w:tcPr>
            <w:tcW w:w="3860" w:type="dxa"/>
            <w:vAlign w:val="bottom"/>
            <w:shd w:val="clear" w:color="auto" w:fill="005CB9"/>
          </w:tcPr>
          <w:p>
            <w:pPr>
              <w:jc w:val="center"/>
              <w:ind w:left="184"/>
              <w:spacing w:after="0"/>
              <w:rPr>
                <w:sz w:val="20"/>
                <w:szCs w:val="20"/>
                <w:color w:val="auto"/>
              </w:rPr>
            </w:pPr>
            <w:r>
              <w:rPr>
                <w:rFonts w:ascii="Arial" w:cs="Arial" w:eastAsia="Arial" w:hAnsi="Arial"/>
                <w:sz w:val="14"/>
                <w:szCs w:val="14"/>
                <w:b w:val="1"/>
                <w:bCs w:val="1"/>
                <w:color w:val="FFFFFF"/>
                <w:w w:val="93"/>
              </w:rPr>
              <w:t>(#)</w:t>
            </w:r>
          </w:p>
        </w:tc>
      </w:tr>
      <w:tr>
        <w:trPr>
          <w:trHeight w:val="240"/>
        </w:trPr>
        <w:tc>
          <w:tcPr>
            <w:tcW w:w="2200" w:type="dxa"/>
            <w:vAlign w:val="bottom"/>
            <w:tcBorders>
              <w:left w:val="single" w:sz="8" w:color="7F7F7F"/>
              <w:bottom w:val="single" w:sz="8" w:color="7F7F7F"/>
              <w:right w:val="single" w:sz="8" w:color="7F7F7F"/>
            </w:tcBorders>
            <w:shd w:val="clear" w:color="auto" w:fill="EAEAEA"/>
          </w:tcPr>
          <w:p>
            <w:pPr>
              <w:ind w:left="240"/>
              <w:spacing w:after="0"/>
              <w:rPr>
                <w:sz w:val="20"/>
                <w:szCs w:val="20"/>
                <w:color w:val="auto"/>
              </w:rPr>
            </w:pPr>
            <w:r>
              <w:rPr>
                <w:rFonts w:ascii="Arial" w:cs="Arial" w:eastAsia="Arial" w:hAnsi="Arial"/>
                <w:sz w:val="16"/>
                <w:szCs w:val="16"/>
                <w:color w:val="auto"/>
              </w:rPr>
              <w:t>Ms. Goldstein</w:t>
            </w:r>
          </w:p>
        </w:tc>
        <w:tc>
          <w:tcPr>
            <w:tcW w:w="3860" w:type="dxa"/>
            <w:vAlign w:val="bottom"/>
            <w:tcBorders>
              <w:bottom w:val="single" w:sz="8" w:color="7F7F7F"/>
              <w:right w:val="single" w:sz="8" w:color="7F7F7F"/>
            </w:tcBorders>
            <w:shd w:val="clear" w:color="auto" w:fill="EAEAEA"/>
          </w:tcPr>
          <w:p>
            <w:pPr>
              <w:jc w:val="center"/>
              <w:ind w:left="204"/>
              <w:spacing w:after="0"/>
              <w:rPr>
                <w:sz w:val="20"/>
                <w:szCs w:val="20"/>
                <w:color w:val="auto"/>
              </w:rPr>
            </w:pPr>
            <w:r>
              <w:rPr>
                <w:rFonts w:ascii="Arial" w:cs="Arial" w:eastAsia="Arial" w:hAnsi="Arial"/>
                <w:sz w:val="16"/>
                <w:szCs w:val="16"/>
                <w:color w:val="auto"/>
              </w:rPr>
              <w:t>28,584 (1)</w:t>
            </w:r>
          </w:p>
        </w:tc>
        <w:tc>
          <w:tcPr>
            <w:tcW w:w="3860" w:type="dxa"/>
            <w:vAlign w:val="bottom"/>
            <w:tcBorders>
              <w:bottom w:val="single" w:sz="8" w:color="7F7F7F"/>
            </w:tcBorders>
            <w:shd w:val="clear" w:color="auto" w:fill="EAEAEA"/>
          </w:tcPr>
          <w:p>
            <w:pPr>
              <w:jc w:val="center"/>
              <w:ind w:left="184"/>
              <w:spacing w:after="0"/>
              <w:rPr>
                <w:sz w:val="20"/>
                <w:szCs w:val="20"/>
                <w:color w:val="auto"/>
              </w:rPr>
            </w:pPr>
            <w:r>
              <w:rPr>
                <w:rFonts w:ascii="Arial" w:cs="Arial" w:eastAsia="Arial" w:hAnsi="Arial"/>
                <w:sz w:val="16"/>
                <w:szCs w:val="16"/>
                <w:color w:val="auto"/>
                <w:w w:val="89"/>
              </w:rPr>
              <w:t>0</w:t>
            </w:r>
          </w:p>
        </w:tc>
      </w:tr>
      <w:tr>
        <w:trPr>
          <w:trHeight w:val="237"/>
        </w:trPr>
        <w:tc>
          <w:tcPr>
            <w:tcW w:w="2200" w:type="dxa"/>
            <w:vAlign w:val="bottom"/>
            <w:tcBorders>
              <w:left w:val="single" w:sz="8" w:color="7F7F7F"/>
              <w:bottom w:val="single" w:sz="8" w:color="7F7F7F"/>
              <w:right w:val="single" w:sz="8" w:color="7F7F7F"/>
            </w:tcBorders>
            <w:shd w:val="clear" w:color="auto" w:fill="EAEAEA"/>
          </w:tcPr>
          <w:p>
            <w:pPr>
              <w:ind w:left="240"/>
              <w:spacing w:after="0"/>
              <w:rPr>
                <w:sz w:val="20"/>
                <w:szCs w:val="20"/>
                <w:color w:val="auto"/>
              </w:rPr>
            </w:pPr>
            <w:r>
              <w:rPr>
                <w:rFonts w:ascii="Arial" w:cs="Arial" w:eastAsia="Arial" w:hAnsi="Arial"/>
                <w:sz w:val="16"/>
                <w:szCs w:val="16"/>
                <w:color w:val="auto"/>
              </w:rPr>
              <w:t>Mr. Emerson</w:t>
            </w:r>
          </w:p>
        </w:tc>
        <w:tc>
          <w:tcPr>
            <w:tcW w:w="3860" w:type="dxa"/>
            <w:vAlign w:val="bottom"/>
            <w:tcBorders>
              <w:bottom w:val="single" w:sz="8" w:color="7F7F7F"/>
              <w:right w:val="single" w:sz="8" w:color="7F7F7F"/>
            </w:tcBorders>
            <w:shd w:val="clear" w:color="auto" w:fill="EAEAEA"/>
          </w:tcPr>
          <w:p>
            <w:pPr>
              <w:jc w:val="center"/>
              <w:ind w:left="204"/>
              <w:spacing w:after="0"/>
              <w:rPr>
                <w:sz w:val="20"/>
                <w:szCs w:val="20"/>
                <w:color w:val="auto"/>
              </w:rPr>
            </w:pPr>
            <w:r>
              <w:rPr>
                <w:rFonts w:ascii="Arial" w:cs="Arial" w:eastAsia="Arial" w:hAnsi="Arial"/>
                <w:sz w:val="16"/>
                <w:szCs w:val="16"/>
                <w:color w:val="auto"/>
              </w:rPr>
              <w:t>28,584 (1)</w:t>
            </w:r>
          </w:p>
        </w:tc>
        <w:tc>
          <w:tcPr>
            <w:tcW w:w="3860" w:type="dxa"/>
            <w:vAlign w:val="bottom"/>
            <w:tcBorders>
              <w:bottom w:val="single" w:sz="8" w:color="7F7F7F"/>
            </w:tcBorders>
            <w:shd w:val="clear" w:color="auto" w:fill="EAEAEA"/>
          </w:tcPr>
          <w:p>
            <w:pPr>
              <w:jc w:val="center"/>
              <w:ind w:left="184"/>
              <w:spacing w:after="0"/>
              <w:rPr>
                <w:sz w:val="20"/>
                <w:szCs w:val="20"/>
                <w:color w:val="auto"/>
              </w:rPr>
            </w:pPr>
            <w:r>
              <w:rPr>
                <w:rFonts w:ascii="Arial" w:cs="Arial" w:eastAsia="Arial" w:hAnsi="Arial"/>
                <w:sz w:val="16"/>
                <w:szCs w:val="16"/>
                <w:color w:val="auto"/>
                <w:w w:val="8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85725</wp:posOffset>
            </wp:positionV>
            <wp:extent cx="6940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71" w:lineRule="exact"/>
        <w:rPr>
          <w:sz w:val="20"/>
          <w:szCs w:val="20"/>
          <w:color w:val="auto"/>
        </w:rPr>
      </w:pPr>
    </w:p>
    <w:p>
      <w:pPr>
        <w:ind w:left="1000" w:right="240" w:hanging="331"/>
        <w:spacing w:after="0" w:line="253"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(i) 19,000 performance-based RSUs originally granted on June 1, 2016, which vested on May 31, 2019, and (ii) 9,584 performance-based RSUs originally granted on June 1, 2017, which vested on May 31, 2019, in each case for which the maximum performance criteria was achieved.</w:t>
      </w:r>
    </w:p>
    <w:p>
      <w:pPr>
        <w:spacing w:after="0" w:line="201" w:lineRule="exact"/>
        <w:rPr>
          <w:sz w:val="20"/>
          <w:szCs w:val="20"/>
          <w:color w:val="auto"/>
        </w:rPr>
      </w:pPr>
    </w:p>
    <w:p>
      <w:pPr>
        <w:ind w:left="660" w:right="100"/>
        <w:spacing w:after="0" w:line="253" w:lineRule="auto"/>
        <w:rPr>
          <w:sz w:val="20"/>
          <w:szCs w:val="20"/>
          <w:color w:val="auto"/>
        </w:rPr>
      </w:pPr>
      <w:r>
        <w:rPr>
          <w:rFonts w:ascii="Arial" w:cs="Arial" w:eastAsia="Arial" w:hAnsi="Arial"/>
          <w:sz w:val="16"/>
          <w:szCs w:val="16"/>
          <w:color w:val="auto"/>
        </w:rPr>
        <w:t>Additionally, the compensation received by the NEOs is strongly aligned with the Company’s outperformance on TSR during the same period as evidenced by our ranking in the top quartile (above 75th percentile) of all companies in the NASDAQ Composite Index for fiscal years 2018 through 2020.</w:t>
      </w:r>
    </w:p>
    <w:p>
      <w:pPr>
        <w:spacing w:after="0" w:line="201" w:lineRule="exact"/>
        <w:rPr>
          <w:sz w:val="20"/>
          <w:szCs w:val="20"/>
          <w:color w:val="auto"/>
        </w:rPr>
      </w:pPr>
    </w:p>
    <w:p>
      <w:pPr>
        <w:ind w:left="660" w:right="40"/>
        <w:spacing w:after="0" w:line="253" w:lineRule="auto"/>
        <w:rPr>
          <w:sz w:val="20"/>
          <w:szCs w:val="20"/>
          <w:color w:val="auto"/>
        </w:rPr>
      </w:pPr>
      <w:r>
        <w:rPr>
          <w:rFonts w:ascii="Arial" w:cs="Arial" w:eastAsia="Arial" w:hAnsi="Arial"/>
          <w:sz w:val="16"/>
          <w:szCs w:val="16"/>
          <w:color w:val="auto"/>
        </w:rPr>
        <w:t>For a description of the results and payout levels for performance-based RSUs previously granted to ZelnickMedia that vested, or failed to vest, in fiscal 2020, see “Certain Relationships and Related Transactions—Management Agreement—Awards under the 2014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272415</wp:posOffset>
            </wp:positionV>
            <wp:extent cx="291465" cy="274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6"/>
          <w:szCs w:val="16"/>
          <w:b w:val="1"/>
          <w:bCs w:val="1"/>
          <w:color w:val="auto"/>
        </w:rPr>
        <w:t>40</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Other Compensation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401(k) Plan</w:t>
      </w:r>
    </w:p>
    <w:p>
      <w:pPr>
        <w:spacing w:after="0" w:line="129"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We maintain a 401(k) savings plan and trust for our eligible employees, including our NEOs (other than Messrs. Zelnick and Slatoff). The plan permits each participant to make voluntary pre-tax contributions, post-tax “Roth” contributions or a combination of the two. In addition, we make matching contributions equal to 50% of the participant’s eligible elective deferral (excluding catch-up contributions) contributed to the 401(k) savings plan, but not more than an amount equal to 50% of the first 6% of the participant’s pre-tax and/or Roth contributions will be matched. See the “All Other Compensation” column in the Summary Compensation Table for further information regarding these benefits.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Medical Expenses Reimbursement Plan</w:t>
      </w:r>
    </w:p>
    <w:p>
      <w:pPr>
        <w:spacing w:after="0" w:line="113" w:lineRule="exact"/>
        <w:rPr>
          <w:sz w:val="20"/>
          <w:szCs w:val="20"/>
          <w:color w:val="auto"/>
        </w:rPr>
      </w:pPr>
    </w:p>
    <w:p>
      <w:pPr>
        <w:ind w:left="660" w:right="320"/>
        <w:spacing w:after="0" w:line="263" w:lineRule="auto"/>
        <w:rPr>
          <w:sz w:val="20"/>
          <w:szCs w:val="20"/>
          <w:color w:val="auto"/>
        </w:rPr>
      </w:pPr>
      <w:r>
        <w:rPr>
          <w:rFonts w:ascii="Arial" w:cs="Arial" w:eastAsia="Arial" w:hAnsi="Arial"/>
          <w:sz w:val="16"/>
          <w:szCs w:val="16"/>
          <w:color w:val="auto"/>
        </w:rPr>
        <w:t>We maintain a medical expenses reimbursement plan (the “</w:t>
      </w:r>
      <w:r>
        <w:rPr>
          <w:rFonts w:ascii="Arial" w:cs="Arial" w:eastAsia="Arial" w:hAnsi="Arial"/>
          <w:sz w:val="16"/>
          <w:szCs w:val="16"/>
          <w:i w:val="1"/>
          <w:iCs w:val="1"/>
          <w:color w:val="auto"/>
        </w:rPr>
        <w:t>MERP</w:t>
      </w:r>
      <w:r>
        <w:rPr>
          <w:rFonts w:ascii="Arial" w:cs="Arial" w:eastAsia="Arial" w:hAnsi="Arial"/>
          <w:sz w:val="16"/>
          <w:szCs w:val="16"/>
          <w:color w:val="auto"/>
        </w:rPr>
        <w:t>”) for all of the NEOs, including for this purpose Messrs. Zelnick and Slatoff. Pursuant to the MERP, the participating NEOs are reimbursed for medical, dental and vision expenses that are not otherwise reimbursed by our group health insurance program.</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 Benefits and Perquisites</w:t>
      </w:r>
    </w:p>
    <w:p>
      <w:pPr>
        <w:spacing w:after="0" w:line="129"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We provide health insurance, dental insurance, life and accidental death and dismemberment insurance and short-term and long-term disability benefits for our NEOs, including for this purpose Messrs. Zelnick and Slatoff, on the same basis as such benefits are generally provided to our employees. In addition, we pay a club membership fee on behalf of Mr. Zelnick, which is used primarily for general corporate and corporate development purposes, for a parking spot at our corporate office in New York, and for home security measures for Mr. Zelnick. We consider the security measures provided to Mr. Zelnick to be a reasonable and necessary expense for the Company’s benefit. Other than the MERP, the club membership fee, the parking spot and home security for Mr. Zelnick, no material perquisites are provided to our NEOs. We do not have a formal perquisite policy and do not emphasize special perquisites for our executive officers, although the Compensation Committee periodically reviews perquisites for our executive officers in its review of compensation.</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Severance and Change in Control Benefits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Severance and Change in Control Benefits for ZelnickMedia</w:t>
      </w:r>
    </w:p>
    <w:p>
      <w:pPr>
        <w:spacing w:after="0" w:line="129"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Pursuant to the 2017 Management Agreement, ZelnickMedia would receive the following cash payments and benefits upon a termination by the Company without “cause” or by ZelnickMedia for “good reason” (whether before or after a change in control) (as such terms are defined in the 2017 Management Agreement): (i) the earned but unpaid portion of the management fee, (ii) any accrued but unpaid annual bonus for a completed fiscal year and (iii) three times the sum of the per annum management fee plus the target bonus amount. See “Certain Relationships and Related Transactions—Management Agreement” for more details. In addition, the 2017 Management Agreement provides for accelerated vesting of outstanding and unvested equity awards upon such a termination (with vesting of TSR performance-based awards determined according to actual performance through the date of termination, and vesting of Recurrent Consumer Spending and IP performance-based awards determined at target levels).</w:t>
      </w:r>
    </w:p>
    <w:p>
      <w:pPr>
        <w:spacing w:after="0" w:line="207" w:lineRule="exact"/>
        <w:rPr>
          <w:sz w:val="20"/>
          <w:szCs w:val="20"/>
          <w:color w:val="auto"/>
        </w:rPr>
      </w:pPr>
    </w:p>
    <w:p>
      <w:pPr>
        <w:ind w:left="660" w:right="80"/>
        <w:spacing w:after="0" w:line="248" w:lineRule="auto"/>
        <w:rPr>
          <w:sz w:val="20"/>
          <w:szCs w:val="20"/>
          <w:color w:val="auto"/>
        </w:rPr>
      </w:pPr>
      <w:r>
        <w:rPr>
          <w:rFonts w:ascii="Arial" w:cs="Arial" w:eastAsia="Arial" w:hAnsi="Arial"/>
          <w:sz w:val="16"/>
          <w:szCs w:val="16"/>
          <w:color w:val="auto"/>
        </w:rPr>
        <w:t>The cash payments described above remain consistent whether the termination occurs before or after a change in control, so ZelnickMedia is not entitled to receive any enhanced cash payments in connection with a change in control. With respect to vesting of equity awards in connection with a change in control, the 2017 Management Agreement provides for “double-trigger” vesting (that is, they require both a change in control of the Company plus a qualifying termination before payments and benefits are paid). Accordingly, if a change in control occurs during the term of the 2017 Management Agreement, outstanding and unvested equity awards will continue to vest (and performance-based RSUs will continue to vest at target levels) in accordance with the original vesting schedule, subject to earlier vesting upon a termination of the 2017 Management Agreement without cause or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276860</wp:posOffset>
            </wp:positionV>
            <wp:extent cx="291465" cy="274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41</w:t>
            </w:r>
          </w:p>
        </w:tc>
      </w:tr>
    </w:tbl>
    <w:p>
      <w:pPr>
        <w:sectPr>
          <w:pgSz w:w="11900" w:h="16838" w:orient="portrait"/>
          <w:cols w:equalWidth="0" w:num="1">
            <w:col w:w="10580"/>
          </w:cols>
          <w:pgMar w:left="320" w:top="459" w:right="9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Severance and Change in Control Benefits for Other NEOs</w:t>
      </w:r>
    </w:p>
    <w:p>
      <w:pPr>
        <w:spacing w:after="0" w:line="129"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In March 2008, the Compensation Committee approved the Take-Two Interactive Software, Inc. Change in Control Employee Severance Plan (the “</w:t>
      </w:r>
      <w:r>
        <w:rPr>
          <w:rFonts w:ascii="Arial" w:cs="Arial" w:eastAsia="Arial" w:hAnsi="Arial"/>
          <w:sz w:val="16"/>
          <w:szCs w:val="16"/>
          <w:i w:val="1"/>
          <w:iCs w:val="1"/>
          <w:color w:val="auto"/>
        </w:rPr>
        <w:t>CIC Severance Plan</w:t>
      </w:r>
      <w:r>
        <w:rPr>
          <w:rFonts w:ascii="Arial" w:cs="Arial" w:eastAsia="Arial" w:hAnsi="Arial"/>
          <w:sz w:val="16"/>
          <w:szCs w:val="16"/>
          <w:color w:val="auto"/>
        </w:rPr>
        <w:t>”), a change in control plan pursuant to which certain eligible employees, including the NEOs other than Messrs. Zelnick and Slatoff, may receive certain “double-trigger” cash severance benefits upon a termination of employment either by the Company without “cause” or voluntarily for “good reason” (as such terms are defined in the CIC Severance Plan), in either case during the 12-month period following a change in control of the Company, as well as vesting of outstanding and unvested equity awards in connection with a change in control of the Company, as described under “Executive Compensation—Potential Payments Upon Termination or Change in Control” below. The employment agreements with Ms. Goldstein (as amended in May 2018) and Mr. Emerson provide for severance payments in the event of a separation from service from the Company under certain conditions, as well as payments in the event of a change in control of the Company. Ms. Goldstein and Mr. Emerson only receive benefits under the CIC Severance Plan the to the extent such benefits would be greater than the benefits under their employment agreements. See “Executive Compensation—Narrative Disclosure Regarding Equity Plans and Employment Agreements” and “Executive Compensation—Potential Payments Upon Termination or Change in Control” below for more information. We believe that these severance benefits assist us in recruiting talented individuals to join and remain a part of our management team. From time to time, we may recruit executives from other companies where they have job security, tenure and career opportunities. Accepting a position with us may entail foregoing an otherwise secure position at another employer, and the benefits provided by the CIC Severance Plan help to mitigate the risk of harm that the executive may suffer in connection with adverse actions taken by a successor to the Company. Severance benefits also allow our NEOs to focus on the Company’s business without being unduly distracted by concerns about their job security in the event of a separation from service or a change in control. Our NEOs are not entitled to any gross-up payments to cover excise taxes imposed by the “golden parachute” regulations under Sections 280G and 4999 of the of the Internal Revenue Code, as amended (the “</w:t>
      </w:r>
      <w:r>
        <w:rPr>
          <w:rFonts w:ascii="Arial" w:cs="Arial" w:eastAsia="Arial" w:hAnsi="Arial"/>
          <w:sz w:val="16"/>
          <w:szCs w:val="16"/>
          <w:i w:val="1"/>
          <w:iCs w:val="1"/>
          <w:color w:val="auto"/>
        </w:rPr>
        <w:t>Code</w:t>
      </w:r>
      <w:r>
        <w:rPr>
          <w:rFonts w:ascii="Arial" w:cs="Arial" w:eastAsia="Arial" w:hAnsi="Arial"/>
          <w:sz w:val="16"/>
          <w:szCs w:val="16"/>
          <w:color w:val="auto"/>
        </w:rPr>
        <w: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VI. Operation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General</w:t>
      </w:r>
    </w:p>
    <w:p>
      <w:pPr>
        <w:spacing w:after="0" w:line="133" w:lineRule="exact"/>
        <w:rPr>
          <w:sz w:val="20"/>
          <w:szCs w:val="20"/>
          <w:color w:val="auto"/>
        </w:rPr>
      </w:pPr>
    </w:p>
    <w:p>
      <w:pPr>
        <w:ind w:left="660" w:right="120"/>
        <w:spacing w:after="0" w:line="251" w:lineRule="auto"/>
        <w:rPr>
          <w:sz w:val="20"/>
          <w:szCs w:val="20"/>
          <w:color w:val="auto"/>
        </w:rPr>
      </w:pPr>
      <w:r>
        <w:rPr>
          <w:rFonts w:ascii="Arial" w:cs="Arial" w:eastAsia="Arial" w:hAnsi="Arial"/>
          <w:sz w:val="16"/>
          <w:szCs w:val="16"/>
          <w:color w:val="auto"/>
        </w:rPr>
        <w:t>The Compensation Committee annually reviews compensation policies and procedures of the Company and evaluates and approves the NEOs’ compensation. The Compensation Committee also annually reviews the ZelnickMedia relationship. This review includes annual individual interviews with a broad group of executives, excluding our Executive Chairman and CEO and our President, to seek feedback on the ZelnickMedia relationship.</w:t>
      </w:r>
    </w:p>
    <w:p>
      <w:pPr>
        <w:spacing w:after="0" w:line="202" w:lineRule="exact"/>
        <w:rPr>
          <w:sz w:val="20"/>
          <w:szCs w:val="20"/>
          <w:color w:val="auto"/>
        </w:rPr>
      </w:pPr>
    </w:p>
    <w:p>
      <w:pPr>
        <w:ind w:left="660" w:right="100"/>
        <w:spacing w:after="0" w:line="260" w:lineRule="auto"/>
        <w:rPr>
          <w:sz w:val="20"/>
          <w:szCs w:val="20"/>
          <w:color w:val="auto"/>
        </w:rPr>
      </w:pPr>
      <w:r>
        <w:rPr>
          <w:rFonts w:ascii="Arial" w:cs="Arial" w:eastAsia="Arial" w:hAnsi="Arial"/>
          <w:sz w:val="16"/>
          <w:szCs w:val="16"/>
          <w:color w:val="auto"/>
        </w:rPr>
        <w:t>The Compensation Committee held six (6) meetings during fiscal 2020. The Compensation Committee regularly meets at least four times during the fiscal year.</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Role of Management</w:t>
      </w:r>
    </w:p>
    <w:p>
      <w:pPr>
        <w:spacing w:after="0" w:line="133" w:lineRule="exact"/>
        <w:rPr>
          <w:sz w:val="20"/>
          <w:szCs w:val="20"/>
          <w:color w:val="auto"/>
        </w:rPr>
      </w:pPr>
    </w:p>
    <w:p>
      <w:pPr>
        <w:ind w:left="660" w:right="80"/>
        <w:spacing w:after="0" w:line="249" w:lineRule="auto"/>
        <w:rPr>
          <w:sz w:val="20"/>
          <w:szCs w:val="20"/>
          <w:color w:val="auto"/>
        </w:rPr>
      </w:pPr>
      <w:r>
        <w:rPr>
          <w:rFonts w:ascii="Arial" w:cs="Arial" w:eastAsia="Arial" w:hAnsi="Arial"/>
          <w:sz w:val="16"/>
          <w:szCs w:val="16"/>
          <w:color w:val="auto"/>
        </w:rPr>
        <w:t>When determining NEO compensation, the Compensation Committee solicits from the Executive Chairman and CEO an evaluation of the performance of, and recommendations with respect to compensation decisions for, each of the NEOs other than himself. In addition, with respect to setting compensation for fiscal 2020, the Compensation Committee interviewed all of the NEOs, including the CEO and President, and members of our management team who report to the NEOs in order to better assess each NEO’s performance. The Compensation Committee also interviewed certain of the foregoing individuals in connection with its annual review, in conjunction with the Board of Directors, of ZelnickMedia’s performance.</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Use of Outside Advisors</w:t>
      </w:r>
    </w:p>
    <w:p>
      <w:pPr>
        <w:spacing w:after="0" w:line="133" w:lineRule="exact"/>
        <w:rPr>
          <w:sz w:val="20"/>
          <w:szCs w:val="20"/>
          <w:color w:val="auto"/>
        </w:rPr>
      </w:pPr>
    </w:p>
    <w:p>
      <w:pPr>
        <w:ind w:left="660" w:right="360"/>
        <w:spacing w:after="0" w:line="260" w:lineRule="auto"/>
        <w:rPr>
          <w:sz w:val="20"/>
          <w:szCs w:val="20"/>
          <w:color w:val="auto"/>
        </w:rPr>
      </w:pPr>
      <w:r>
        <w:rPr>
          <w:rFonts w:ascii="Arial" w:cs="Arial" w:eastAsia="Arial" w:hAnsi="Arial"/>
          <w:sz w:val="16"/>
          <w:szCs w:val="16"/>
          <w:color w:val="auto"/>
        </w:rPr>
        <w:t>The Compensation Committee has historically engaged the services of independent compensation consulting firms in connection with making executive compensation determinations. Consistent with our practice,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268605</wp:posOffset>
            </wp:positionV>
            <wp:extent cx="291465" cy="2743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660" w:right="320"/>
        <w:spacing w:after="0" w:line="260" w:lineRule="auto"/>
        <w:rPr>
          <w:sz w:val="20"/>
          <w:szCs w:val="20"/>
          <w:color w:val="auto"/>
        </w:rPr>
      </w:pPr>
      <w:r>
        <w:rPr>
          <w:rFonts w:ascii="Arial" w:cs="Arial" w:eastAsia="Arial" w:hAnsi="Arial"/>
          <w:sz w:val="16"/>
          <w:szCs w:val="16"/>
          <w:color w:val="auto"/>
        </w:rPr>
        <w:t>Compensation Committee retained Frederic W. Cook &amp; Co., Inc. to review the compensation programs for our NEOs and our Board of Directors for fiscal 2020, and to develop recommendations regarding our compensation programs for fiscal 2020 and fiscal 2021.</w:t>
      </w:r>
    </w:p>
    <w:p>
      <w:pPr>
        <w:spacing w:after="0" w:line="195" w:lineRule="exact"/>
        <w:rPr>
          <w:sz w:val="20"/>
          <w:szCs w:val="20"/>
          <w:color w:val="auto"/>
        </w:rPr>
      </w:pPr>
    </w:p>
    <w:p>
      <w:pPr>
        <w:ind w:left="660" w:right="400"/>
        <w:spacing w:after="0" w:line="260" w:lineRule="auto"/>
        <w:rPr>
          <w:sz w:val="20"/>
          <w:szCs w:val="20"/>
          <w:color w:val="auto"/>
        </w:rPr>
      </w:pPr>
      <w:r>
        <w:rPr>
          <w:rFonts w:ascii="Arial" w:cs="Arial" w:eastAsia="Arial" w:hAnsi="Arial"/>
          <w:sz w:val="16"/>
          <w:szCs w:val="16"/>
          <w:color w:val="auto"/>
        </w:rPr>
        <w:t>The Compensation Committee has the authority to retain, terminate and set the terms of the Company’s relationship with any outside advisors that assist the Compensation Committee in carrying out its responsibilities.</w:t>
      </w:r>
    </w:p>
    <w:p>
      <w:pPr>
        <w:spacing w:after="0" w:line="195" w:lineRule="exact"/>
        <w:rPr>
          <w:sz w:val="20"/>
          <w:szCs w:val="20"/>
          <w:color w:val="auto"/>
        </w:rPr>
      </w:pPr>
    </w:p>
    <w:p>
      <w:pPr>
        <w:ind w:left="660" w:right="20"/>
        <w:spacing w:after="0" w:line="249" w:lineRule="auto"/>
        <w:rPr>
          <w:sz w:val="20"/>
          <w:szCs w:val="20"/>
          <w:color w:val="auto"/>
        </w:rPr>
      </w:pPr>
      <w:r>
        <w:rPr>
          <w:rFonts w:ascii="Arial" w:cs="Arial" w:eastAsia="Arial" w:hAnsi="Arial"/>
          <w:sz w:val="16"/>
          <w:szCs w:val="16"/>
          <w:color w:val="auto"/>
        </w:rPr>
        <w:t>The Compensation Committee assessed the independence of Frederic W. Cook &amp; Co., Inc. pursuant to SEC and NASDAQ rules and was satisfied that the firm is independent and that no conflict of interest exists that would prevent it from serving as an independent advisor to the Compensation Committee. The Compensation Committee, among other things, reviewed and was satisfied with the consultant’s policies and procedures to prevent or mitigate conflicts of interest. The Compensation Committee also reviewed and was satisfied that there were no business or personal relationships or conflicts between members of the Compensation Committee and the individuals at the consulting firm supporting the Compensation Committee.</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VII.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Clawback Policy</w:t>
      </w:r>
    </w:p>
    <w:p>
      <w:pPr>
        <w:spacing w:after="0" w:line="133"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color w:val="auto"/>
        </w:rPr>
        <w:t xml:space="preserve">Our Corporate Governance Guidelines include a section entitled “Recovery of Improperly-Awarded Incentive Compensation” which is our “Clawback Policy.” Our NEOs (including ZelnickMedia and its shareholders, partners, employees, members and other affiliates who are deemed “Executives” under the Clawback Policy) are subject to the Clawback Policy. Our Corporate Governance Guidelines, including our Clawback Policy, are available on the Company’s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xml:space="preserve"> by clicking on the “Investors” tab, and then clicking on the “Corporate Governance” link.</w:t>
      </w:r>
    </w:p>
    <w:p>
      <w:pPr>
        <w:spacing w:after="0" w:line="203" w:lineRule="exact"/>
        <w:rPr>
          <w:sz w:val="20"/>
          <w:szCs w:val="20"/>
          <w:color w:val="auto"/>
        </w:rPr>
      </w:pPr>
    </w:p>
    <w:p>
      <w:pPr>
        <w:ind w:left="660" w:right="140"/>
        <w:spacing w:after="0" w:line="248" w:lineRule="auto"/>
        <w:rPr>
          <w:sz w:val="20"/>
          <w:szCs w:val="20"/>
          <w:color w:val="auto"/>
        </w:rPr>
      </w:pPr>
      <w:r>
        <w:rPr>
          <w:rFonts w:ascii="Arial" w:cs="Arial" w:eastAsia="Arial" w:hAnsi="Arial"/>
          <w:sz w:val="16"/>
          <w:szCs w:val="16"/>
          <w:color w:val="auto"/>
        </w:rPr>
        <w:t>Our Clawback Policy includes any amendments that may be required to comply with any rules adopted by the SEC in response to Section 954 of the Dodd-Frank Wall Street Reform and Consumer Protection Act of 2010. This policy requires the reimbursement of any bonus or incentive compensation, including cash bonuses, awarded to a covered person and/or the cancellation of unvested restricted stock or outstanding stock option awards previously granted to a covered person, in each case, where: (1) the payment was predicated upon achieving certain financial results that were subsequently determined to have been erroneously reported; (2) the Board of Directors determines that the person engaged in knowing or intentional fraudulent or illegal conduct that caused or substantially caused such erroneous reporting to have occurred; and (3) a lower payment would have been made to the person based upon the corrected financial results.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Executive Officer Stock Ownership Requirements and Holding Requirement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adopted stock ownership requirements for executive officers of the Company as follows:</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Executive Chairman and CEO and President</w:t>
      </w:r>
    </w:p>
    <w:p>
      <w:pPr>
        <w:spacing w:after="0" w:line="129" w:lineRule="exact"/>
        <w:rPr>
          <w:sz w:val="20"/>
          <w:szCs w:val="20"/>
          <w:color w:val="auto"/>
        </w:rPr>
      </w:pPr>
    </w:p>
    <w:p>
      <w:pPr>
        <w:ind w:left="660" w:right="80"/>
        <w:spacing w:after="0" w:line="250" w:lineRule="auto"/>
        <w:rPr>
          <w:sz w:val="20"/>
          <w:szCs w:val="20"/>
          <w:color w:val="auto"/>
        </w:rPr>
      </w:pPr>
      <w:r>
        <w:rPr>
          <w:rFonts w:ascii="Arial" w:cs="Arial" w:eastAsia="Arial" w:hAnsi="Arial"/>
          <w:sz w:val="16"/>
          <w:szCs w:val="16"/>
          <w:color w:val="auto"/>
        </w:rPr>
        <w:t>The 2017 Management Agreement and the stock ownership guidelines policy adopted by the Board of Directors both prohibit, prior to March 31, 2024, ZelnickMedia and any Subject Person (as defined in the 2017 Management Agreement and which includes Messrs. Zelnick and Slatoff) from selling or otherwise disposing of any shares of common stock of the Company, if the Market Value (as defined in the 2017 Management Agreement) of all shares of common stock of the Company (including any unvested options, restricted stock and RSUs) would be less than six (6) times the per annum management fee (excluding any bonuses).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 NEOs</w:t>
      </w:r>
    </w:p>
    <w:p>
      <w:pPr>
        <w:spacing w:after="0" w:line="129" w:lineRule="exact"/>
        <w:rPr>
          <w:sz w:val="20"/>
          <w:szCs w:val="20"/>
          <w:color w:val="auto"/>
        </w:rPr>
      </w:pPr>
    </w:p>
    <w:p>
      <w:pPr>
        <w:ind w:left="660" w:right="500"/>
        <w:spacing w:after="0" w:line="260" w:lineRule="auto"/>
        <w:rPr>
          <w:sz w:val="20"/>
          <w:szCs w:val="20"/>
          <w:color w:val="auto"/>
        </w:rPr>
      </w:pPr>
      <w:r>
        <w:rPr>
          <w:rFonts w:ascii="Arial" w:cs="Arial" w:eastAsia="Arial" w:hAnsi="Arial"/>
          <w:sz w:val="16"/>
          <w:szCs w:val="16"/>
          <w:color w:val="auto"/>
        </w:rPr>
        <w:t>NEOs (other than the Executive Chairman and CEO and President who are subject to the requirements described above) shall own shares of common stock having a value equal to three (3) times their annual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268605</wp:posOffset>
            </wp:positionV>
            <wp:extent cx="291465" cy="274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bl>
    <w:p>
      <w:pPr>
        <w:sectPr>
          <w:pgSz w:w="11900" w:h="16838" w:orient="portrait"/>
          <w:cols w:equalWidth="0" w:num="1">
            <w:col w:w="10580"/>
          </w:cols>
          <w:pgMar w:left="320" w:top="459" w:right="9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660" w:right="20"/>
        <w:spacing w:after="0" w:line="251" w:lineRule="auto"/>
        <w:rPr>
          <w:sz w:val="20"/>
          <w:szCs w:val="20"/>
          <w:color w:val="auto"/>
        </w:rPr>
      </w:pPr>
      <w:r>
        <w:rPr>
          <w:rFonts w:ascii="Arial" w:cs="Arial" w:eastAsia="Arial" w:hAnsi="Arial"/>
          <w:sz w:val="16"/>
          <w:szCs w:val="16"/>
          <w:color w:val="auto"/>
        </w:rPr>
        <w:t>salary within five (5) years after the date of the adoption of the requirements and future NEOs shall achieve such ownership position within five (5) years after the date of their appointment as NEOs. All shares that are directly owned by the NEO, shares that are beneficially owned by the NEO, such as shares held in “street name” through a broker or shares held in trust, and unvested shares of restricted stock and RSUs are counted toward satisfying the requirements.</w:t>
      </w:r>
    </w:p>
    <w:p>
      <w:pPr>
        <w:spacing w:after="0" w:line="202" w:lineRule="exact"/>
        <w:rPr>
          <w:sz w:val="20"/>
          <w:szCs w:val="20"/>
          <w:color w:val="auto"/>
        </w:rPr>
      </w:pPr>
    </w:p>
    <w:p>
      <w:pPr>
        <w:ind w:left="660" w:right="20"/>
        <w:spacing w:after="0" w:line="251" w:lineRule="auto"/>
        <w:rPr>
          <w:sz w:val="20"/>
          <w:szCs w:val="20"/>
          <w:color w:val="auto"/>
        </w:rPr>
      </w:pPr>
      <w:r>
        <w:rPr>
          <w:rFonts w:ascii="Arial" w:cs="Arial" w:eastAsia="Arial" w:hAnsi="Arial"/>
          <w:sz w:val="16"/>
          <w:szCs w:val="16"/>
          <w:color w:val="auto"/>
        </w:rPr>
        <w:t>The policy adopted by the Board of Directors in July 2016 also includes stock retention guidelines for all NEOs requiring such officers to retain at least 50% of the total equity credited from grants of equity awards (net of amounts required to pay taxes and exercise prices) until compliance with the applicable stock ownership requirement is achieved. All NEOs are in compliance with the applicable stock ownership requirements as of the date of this proxy filing.</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Anti-Hedging Policy</w:t>
      </w:r>
    </w:p>
    <w:p>
      <w:pPr>
        <w:spacing w:after="0" w:line="133"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The Company has adopted a Securities Trading Policy that prohibits, among other things, officers, directors, employees and consultants of the Company, as well as the shareholders, partners, employees, members, and other affiliates of ZelnickMedia who are service providers to the Company subject to such policy, from engaging in the following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143510</wp:posOffset>
            </wp:positionV>
            <wp:extent cx="6292215" cy="11398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113982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1040" w:hanging="292"/>
        <w:spacing w:after="0" w:line="251" w:lineRule="auto"/>
        <w:tabs>
          <w:tab w:leader="none" w:pos="1040" w:val="left"/>
        </w:tabs>
        <w:numPr>
          <w:ilvl w:val="0"/>
          <w:numId w:val="57"/>
        </w:numPr>
        <w:rPr>
          <w:rFonts w:ascii="Arial" w:cs="Arial" w:eastAsia="Arial" w:hAnsi="Arial"/>
          <w:sz w:val="16"/>
          <w:szCs w:val="16"/>
          <w:color w:val="005CB9"/>
        </w:rPr>
      </w:pPr>
      <w:r>
        <w:rPr>
          <w:rFonts w:ascii="Arial" w:cs="Arial" w:eastAsia="Arial" w:hAnsi="Arial"/>
          <w:sz w:val="16"/>
          <w:szCs w:val="16"/>
          <w:color w:val="auto"/>
        </w:rPr>
        <w:t>In and Out Trading. (All purchases of the Company’s securities in the open market must be held for a minimum of six months, with exceptions relating to the exercise of stock options.)</w:t>
      </w:r>
    </w:p>
    <w:p>
      <w:pPr>
        <w:spacing w:after="0" w:line="107" w:lineRule="exact"/>
        <w:rPr>
          <w:rFonts w:ascii="Arial" w:cs="Arial" w:eastAsia="Arial" w:hAnsi="Arial"/>
          <w:sz w:val="16"/>
          <w:szCs w:val="16"/>
          <w:color w:val="005CB9"/>
        </w:rPr>
      </w:pPr>
    </w:p>
    <w:p>
      <w:pPr>
        <w:ind w:left="1040" w:right="40" w:hanging="292"/>
        <w:spacing w:after="0" w:line="260" w:lineRule="auto"/>
        <w:tabs>
          <w:tab w:leader="none" w:pos="1040" w:val="left"/>
        </w:tabs>
        <w:numPr>
          <w:ilvl w:val="0"/>
          <w:numId w:val="57"/>
        </w:numPr>
        <w:rPr>
          <w:rFonts w:ascii="Arial" w:cs="Arial" w:eastAsia="Arial" w:hAnsi="Arial"/>
          <w:sz w:val="16"/>
          <w:szCs w:val="16"/>
          <w:color w:val="005CB9"/>
        </w:rPr>
      </w:pPr>
      <w:r>
        <w:rPr>
          <w:rFonts w:ascii="Arial" w:cs="Arial" w:eastAsia="Arial" w:hAnsi="Arial"/>
          <w:sz w:val="16"/>
          <w:szCs w:val="16"/>
          <w:color w:val="auto"/>
        </w:rPr>
        <w:t>Purchases of Company securities on margin or holding any Company securities in margin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276" w:hanging="276"/>
        <w:spacing w:after="0"/>
        <w:tabs>
          <w:tab w:leader="none" w:pos="276" w:val="left"/>
        </w:tabs>
        <w:numPr>
          <w:ilvl w:val="0"/>
          <w:numId w:val="58"/>
        </w:numPr>
        <w:rPr>
          <w:rFonts w:ascii="Arial" w:cs="Arial" w:eastAsia="Arial" w:hAnsi="Arial"/>
          <w:sz w:val="16"/>
          <w:szCs w:val="16"/>
          <w:color w:val="005CB9"/>
        </w:rPr>
      </w:pPr>
      <w:r>
        <w:rPr>
          <w:rFonts w:ascii="Arial" w:cs="Arial" w:eastAsia="Arial" w:hAnsi="Arial"/>
          <w:sz w:val="16"/>
          <w:szCs w:val="16"/>
          <w:color w:val="auto"/>
        </w:rPr>
        <w:t>Pledging Company securities as collateral for a loan.</w:t>
      </w:r>
    </w:p>
    <w:p>
      <w:pPr>
        <w:spacing w:after="0" w:line="126" w:lineRule="exact"/>
        <w:rPr>
          <w:rFonts w:ascii="Arial" w:cs="Arial" w:eastAsia="Arial" w:hAnsi="Arial"/>
          <w:sz w:val="16"/>
          <w:szCs w:val="16"/>
          <w:color w:val="005CB9"/>
        </w:rPr>
      </w:pPr>
    </w:p>
    <w:p>
      <w:pPr>
        <w:ind w:left="276" w:hanging="276"/>
        <w:spacing w:after="0"/>
        <w:tabs>
          <w:tab w:leader="none" w:pos="276" w:val="left"/>
        </w:tabs>
        <w:numPr>
          <w:ilvl w:val="0"/>
          <w:numId w:val="58"/>
        </w:numPr>
        <w:rPr>
          <w:rFonts w:ascii="Arial" w:cs="Arial" w:eastAsia="Arial" w:hAnsi="Arial"/>
          <w:sz w:val="16"/>
          <w:szCs w:val="16"/>
          <w:color w:val="005CB9"/>
        </w:rPr>
      </w:pPr>
      <w:r>
        <w:rPr>
          <w:rFonts w:ascii="Arial" w:cs="Arial" w:eastAsia="Arial" w:hAnsi="Arial"/>
          <w:sz w:val="16"/>
          <w:szCs w:val="16"/>
          <w:color w:val="auto"/>
        </w:rPr>
        <w:t>Short sales of the Company’s securities.</w:t>
      </w:r>
    </w:p>
    <w:p>
      <w:pPr>
        <w:spacing w:after="0" w:line="126" w:lineRule="exact"/>
        <w:rPr>
          <w:rFonts w:ascii="Arial" w:cs="Arial" w:eastAsia="Arial" w:hAnsi="Arial"/>
          <w:sz w:val="16"/>
          <w:szCs w:val="16"/>
          <w:color w:val="005CB9"/>
        </w:rPr>
      </w:pPr>
    </w:p>
    <w:p>
      <w:pPr>
        <w:ind w:left="276" w:right="500" w:hanging="276"/>
        <w:spacing w:after="0" w:line="253" w:lineRule="auto"/>
        <w:tabs>
          <w:tab w:leader="none" w:pos="276" w:val="left"/>
        </w:tabs>
        <w:numPr>
          <w:ilvl w:val="0"/>
          <w:numId w:val="58"/>
        </w:numPr>
        <w:rPr>
          <w:rFonts w:ascii="Arial" w:cs="Arial" w:eastAsia="Arial" w:hAnsi="Arial"/>
          <w:sz w:val="16"/>
          <w:szCs w:val="16"/>
          <w:color w:val="005CB9"/>
        </w:rPr>
      </w:pPr>
      <w:r>
        <w:rPr>
          <w:rFonts w:ascii="Arial" w:cs="Arial" w:eastAsia="Arial" w:hAnsi="Arial"/>
          <w:sz w:val="16"/>
          <w:szCs w:val="16"/>
          <w:color w:val="auto"/>
        </w:rPr>
        <w:t>Transactions in puts, calls or other derivatives on the Company’s securities, as well as any other derivative or hedging transactions on Company securities.</w:t>
      </w:r>
    </w:p>
    <w:p>
      <w:pPr>
        <w:spacing w:after="0" w:line="273" w:lineRule="exact"/>
        <w:rPr>
          <w:sz w:val="20"/>
          <w:szCs w:val="20"/>
          <w:color w:val="auto"/>
        </w:rPr>
      </w:pPr>
    </w:p>
    <w:p>
      <w:pPr>
        <w:sectPr>
          <w:pgSz w:w="11900" w:h="16838" w:orient="portrait"/>
          <w:cols w:equalWidth="0" w:num="2">
            <w:col w:w="5320" w:space="484"/>
            <w:col w:w="4776"/>
          </w:cols>
          <w:pgMar w:left="320" w:top="459" w:right="99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Anti-Pledging Policy</w:t>
      </w:r>
    </w:p>
    <w:p>
      <w:pPr>
        <w:spacing w:after="0" w:line="133"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As a matter of good corporate governance, our Board of Directors has adopted a formal policy against pledging common stock pursuant to which members of the Board of Directors and executive officers may not hold common stock in margin accounts and may not pledge common stock as collateral for a loan. None of our directors or executive officers has pledged any shares of our common stock.</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Impact of Tax and Accounting Rules</w:t>
      </w:r>
    </w:p>
    <w:p>
      <w:pPr>
        <w:spacing w:after="0" w:line="133" w:lineRule="exact"/>
        <w:rPr>
          <w:sz w:val="20"/>
          <w:szCs w:val="20"/>
          <w:color w:val="auto"/>
        </w:rPr>
      </w:pPr>
    </w:p>
    <w:p>
      <w:pPr>
        <w:ind w:left="660" w:right="260"/>
        <w:spacing w:after="0" w:line="260" w:lineRule="auto"/>
        <w:rPr>
          <w:sz w:val="20"/>
          <w:szCs w:val="20"/>
          <w:color w:val="auto"/>
        </w:rPr>
      </w:pPr>
      <w:r>
        <w:rPr>
          <w:rFonts w:ascii="Arial" w:cs="Arial" w:eastAsia="Arial" w:hAnsi="Arial"/>
          <w:sz w:val="16"/>
          <w:szCs w:val="16"/>
          <w:color w:val="auto"/>
        </w:rPr>
        <w:t>As a general matter, the Compensation Committee reviews and considers the various tax and accounting implications of compensation vehicles utilized by the Company.</w:t>
      </w:r>
    </w:p>
    <w:p>
      <w:pPr>
        <w:spacing w:after="0" w:line="195" w:lineRule="exact"/>
        <w:rPr>
          <w:sz w:val="20"/>
          <w:szCs w:val="20"/>
          <w:color w:val="auto"/>
        </w:rPr>
      </w:pPr>
    </w:p>
    <w:p>
      <w:pPr>
        <w:ind w:left="660" w:right="360"/>
        <w:spacing w:after="0" w:line="250" w:lineRule="auto"/>
        <w:rPr>
          <w:sz w:val="20"/>
          <w:szCs w:val="20"/>
          <w:color w:val="auto"/>
        </w:rPr>
      </w:pPr>
      <w:r>
        <w:rPr>
          <w:rFonts w:ascii="Arial" w:cs="Arial" w:eastAsia="Arial" w:hAnsi="Arial"/>
          <w:sz w:val="16"/>
          <w:szCs w:val="16"/>
          <w:color w:val="auto"/>
        </w:rPr>
        <w:t>With respect to accounting considerations, the Compensation Committee examines the accounting cost associated with equity compensation in light of requirements under the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stock compensation guidance, which generally requires the Company to recognize compensation expense relating to equity awards based upon the grant date fair value of those awards. The Company also considers the accounting impact of preserving flexibility to settle RSUs awards in cash, shares, or a combination of cash and shares.</w:t>
      </w:r>
    </w:p>
    <w:p>
      <w:pPr>
        <w:spacing w:after="0" w:line="203" w:lineRule="exact"/>
        <w:rPr>
          <w:sz w:val="20"/>
          <w:szCs w:val="20"/>
          <w:color w:val="auto"/>
        </w:rPr>
      </w:pPr>
    </w:p>
    <w:p>
      <w:pPr>
        <w:ind w:left="660" w:right="80"/>
        <w:spacing w:after="0" w:line="249" w:lineRule="auto"/>
        <w:rPr>
          <w:sz w:val="20"/>
          <w:szCs w:val="20"/>
          <w:color w:val="auto"/>
        </w:rPr>
      </w:pPr>
      <w:r>
        <w:rPr>
          <w:rFonts w:ascii="Arial" w:cs="Arial" w:eastAsia="Arial" w:hAnsi="Arial"/>
          <w:sz w:val="16"/>
          <w:szCs w:val="16"/>
          <w:color w:val="auto"/>
        </w:rPr>
        <w:t>With respect to taxes, the Compensation Committee may consider the anticipated tax treatment of various payments and benefits to the Company and, when relevant, to its executives. Section 162(m) of the Code generally prohibited any publicly held corporation from taking a federal income tax deduction for compensation paid in excess of $1 million in any taxable year to the NEOs, subject to certain exceptions. However, the Company generally believed that it was in our best interest and that of our shareholders to have the flexibility to pay compensation that was not deductible under the limitations of Section 162(m) of the Code to provide a compensation package consistent with our program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266065</wp:posOffset>
            </wp:positionV>
            <wp:extent cx="291465" cy="274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wp:posOffset>
            </wp:positionV>
            <wp:extent cx="265747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57475" cy="137160"/>
                    </a:xfrm>
                    <a:prstGeom prst="rect">
                      <a:avLst/>
                    </a:prstGeom>
                    <a:noFill/>
                  </pic:spPr>
                </pic:pic>
              </a:graphicData>
            </a:graphic>
          </wp:anchor>
        </w:drawing>
      </w:r>
    </w:p>
    <w:p>
      <w:pPr>
        <w:spacing w:after="0" w:line="33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color w:val="auto"/>
        </w:rPr>
        <w:t>The Tax Cuts and Jobs Act, enacted on December 22, 2017, substantially modified Section 162(m) of the Code and, among other things, eliminated the performance-based exception to the $1 million deduction limit effective as of January 1, 2018. As a result, beginning in 2018, compensation paid to certain executive officers in excess of $1 million is generally not deductible, whether or not it is performance-based. In addition, beginning in 2018, the executive officers subject to Section 162(m) of the Code (the “</w:t>
      </w:r>
      <w:r>
        <w:rPr>
          <w:rFonts w:ascii="Arial" w:cs="Arial" w:eastAsia="Arial" w:hAnsi="Arial"/>
          <w:sz w:val="16"/>
          <w:szCs w:val="16"/>
          <w:i w:val="1"/>
          <w:iCs w:val="1"/>
          <w:color w:val="auto"/>
        </w:rPr>
        <w:t>Covered Employees</w:t>
      </w:r>
      <w:r>
        <w:rPr>
          <w:rFonts w:ascii="Arial" w:cs="Arial" w:eastAsia="Arial" w:hAnsi="Arial"/>
          <w:sz w:val="16"/>
          <w:szCs w:val="16"/>
          <w:color w:val="auto"/>
        </w:rPr>
        <w:t>”) include any individual who served as the Chief Executive Officer and Chief Financial Officer at any time during the taxable year and the three other most highly compensated officers (other than the Chief Executive Officer and Chief Financial Officer) for the taxable year, and once an individual becomes a Covered Employee for any taxable year beginning after December 31, 2016, that individual will remain a Covered Employee for all future years, including following any termination of employment.</w:t>
      </w:r>
    </w:p>
    <w:p>
      <w:pPr>
        <w:spacing w:after="0" w:line="207"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Tax Cuts and Jobs Act includes a transition rule under which the changes to Section 162(m) of the Code described above will not apply to compensation payable pursuant to a written binding contract that was in effect on November 2, 2017 and is not materially modified after that date. To the extent applicable to our existing contracts and awards, the Compensation Committee may avail itself of this transition rule. However, because of uncertainties as to the application and interpretation of the transition rule, no assurances can be given at this time that our existing contracts and awards, even if in place on November 2, 2017, will meet the requirements of the transition rule. Moreover, to maintain flexibility in compensating executive officers in a manner designed to promote varying corporate goals in the best interest of the Company, the Compensation Committee does not limit its actions with respect to executive compensation to preserve deductibility under Section 162(m) of the Code if the Compensation Committee determines that doing so is in the best interests of the Company and its shareholders.</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005CB9"/>
        </w:rPr>
        <w:t>REPORT OF THE COMPENSATION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34290</wp:posOffset>
            </wp:positionV>
            <wp:extent cx="62922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57" w:lineRule="exact"/>
        <w:rPr>
          <w:sz w:val="20"/>
          <w:szCs w:val="20"/>
          <w:color w:val="auto"/>
        </w:rPr>
      </w:pPr>
    </w:p>
    <w:p>
      <w:pPr>
        <w:jc w:val="both"/>
        <w:ind w:left="660" w:right="240"/>
        <w:spacing w:after="0" w:line="253"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contained in this Proxy Statement. Based upon this review and discussion, the Compensation Committee recommended to the Board of Directors of the Company that the Compensation Discussion and Analysis be included in this Proxy Statement.</w:t>
      </w:r>
    </w:p>
    <w:p>
      <w:pPr>
        <w:spacing w:after="0" w:line="208"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Submitted by the Compensation Committee</w:t>
      </w:r>
    </w:p>
    <w:p>
      <w:pPr>
        <w:spacing w:after="0" w:line="25"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of the Board of Directors:</w:t>
      </w:r>
    </w:p>
    <w:p>
      <w:pPr>
        <w:spacing w:after="0" w:line="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Michael Sheresky (Chair)</w:t>
      </w:r>
    </w:p>
    <w:p>
      <w:pPr>
        <w:spacing w:after="0" w:line="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Michael Dornemann</w:t>
      </w:r>
    </w:p>
    <w:p>
      <w:pPr>
        <w:spacing w:after="0" w:line="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Roland Hernandez</w:t>
      </w:r>
    </w:p>
    <w:p>
      <w:pPr>
        <w:spacing w:after="0" w:line="19" w:lineRule="exact"/>
        <w:rPr>
          <w:sz w:val="20"/>
          <w:szCs w:val="20"/>
          <w:color w:val="auto"/>
        </w:rPr>
      </w:pPr>
    </w:p>
    <w:p>
      <w:pPr>
        <w:ind w:left="660"/>
        <w:spacing w:after="0"/>
        <w:tabs>
          <w:tab w:leader="none" w:pos="5800" w:val="left"/>
        </w:tabs>
        <w:rPr>
          <w:sz w:val="20"/>
          <w:szCs w:val="20"/>
          <w:color w:val="auto"/>
        </w:rPr>
      </w:pPr>
      <w:r>
        <w:rPr>
          <w:rFonts w:ascii="Arial" w:cs="Arial" w:eastAsia="Arial" w:hAnsi="Arial"/>
          <w:sz w:val="16"/>
          <w:szCs w:val="16"/>
          <w:color w:val="auto"/>
        </w:rPr>
        <w:t>July 24, 2020</w:t>
      </w:r>
      <w:r>
        <w:rPr>
          <w:sz w:val="20"/>
          <w:szCs w:val="20"/>
          <w:color w:val="auto"/>
        </w:rPr>
        <w:tab/>
      </w:r>
      <w:r>
        <w:rPr>
          <w:rFonts w:ascii="Arial" w:cs="Arial" w:eastAsia="Arial" w:hAnsi="Arial"/>
          <w:sz w:val="16"/>
          <w:szCs w:val="16"/>
          <w:color w:val="auto"/>
        </w:rPr>
        <w:t>J Moses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005CB9"/>
        </w:rPr>
        <w:t>RISK ASSESSMENT OF OVERALL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34290</wp:posOffset>
            </wp:positionV>
            <wp:extent cx="62922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57" w:lineRule="exact"/>
        <w:rPr>
          <w:sz w:val="20"/>
          <w:szCs w:val="20"/>
          <w:color w:val="auto"/>
        </w:rPr>
      </w:pPr>
    </w:p>
    <w:p>
      <w:pPr>
        <w:ind w:left="660" w:right="60"/>
        <w:spacing w:after="0" w:line="253" w:lineRule="auto"/>
        <w:rPr>
          <w:sz w:val="20"/>
          <w:szCs w:val="20"/>
          <w:color w:val="auto"/>
        </w:rPr>
      </w:pPr>
      <w:r>
        <w:rPr>
          <w:rFonts w:ascii="Arial" w:cs="Arial" w:eastAsia="Arial" w:hAnsi="Arial"/>
          <w:sz w:val="16"/>
          <w:szCs w:val="16"/>
          <w:color w:val="auto"/>
        </w:rPr>
        <w:t>The Compensation Committee regularly reviews senior executive compensation and Company-wide compensation programs and policies in an ongoing effort to seek to mitigate potential risks arising from such programs and policies and to ensure that our compensation structure, elements and incentives are not reasonably likely to have a material adverse effect on the Company.</w:t>
      </w:r>
    </w:p>
    <w:p>
      <w:pPr>
        <w:spacing w:after="0" w:line="201" w:lineRule="exact"/>
        <w:rPr>
          <w:sz w:val="20"/>
          <w:szCs w:val="20"/>
          <w:color w:val="auto"/>
        </w:rPr>
      </w:pPr>
    </w:p>
    <w:p>
      <w:pPr>
        <w:ind w:left="660" w:right="100"/>
        <w:spacing w:after="0" w:line="249" w:lineRule="auto"/>
        <w:rPr>
          <w:sz w:val="20"/>
          <w:szCs w:val="20"/>
          <w:color w:val="auto"/>
        </w:rPr>
      </w:pPr>
      <w:r>
        <w:rPr>
          <w:rFonts w:ascii="Arial" w:cs="Arial" w:eastAsia="Arial" w:hAnsi="Arial"/>
          <w:sz w:val="16"/>
          <w:szCs w:val="16"/>
          <w:color w:val="auto"/>
        </w:rPr>
        <w:t>The Compensation Committee seeks to design our compensation plans, including our incentive compensation programs, to incorporate a range of components that we believe help to mitigate potential risks, while rewarding employees for pursuing our strategic and financial objectives through appropriate risk taking, risk management, and prudent tactical and strategic decision making. For example, the design of our compensation plans is intended to encourage employees to remain focused on both near-term and longer-term goals of the Company by using a mix of short-term and long-term incentives to motivate employees to produce superior results over varying time frames. We believe that the use of long-term incentives for executives provides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274320</wp:posOffset>
            </wp:positionV>
            <wp:extent cx="291465" cy="274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bl>
    <w:p>
      <w:pPr>
        <w:sectPr>
          <w:pgSz w:w="11900" w:h="16838" w:orient="portrait"/>
          <w:cols w:equalWidth="0" w:num="1">
            <w:col w:w="10580"/>
          </w:cols>
          <w:pgMar w:left="320" w:top="459" w:right="9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59715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9715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OMPENSATION</w:t>
      </w:r>
      <w:r>
        <w:rPr>
          <w:rFonts w:ascii="Arial" w:cs="Arial" w:eastAsia="Arial" w:hAnsi="Arial"/>
          <w:sz w:val="14"/>
          <w:szCs w:val="14"/>
          <w:b w:val="1"/>
          <w:bCs w:val="1"/>
          <w:color w:val="005CB9"/>
        </w:rPr>
        <w:t xml:space="preserve"> D</w:t>
      </w:r>
      <w:r>
        <w:rPr>
          <w:rFonts w:ascii="Arial" w:cs="Arial" w:eastAsia="Arial" w:hAnsi="Arial"/>
          <w:sz w:val="11"/>
          <w:szCs w:val="11"/>
          <w:b w:val="1"/>
          <w:bCs w:val="1"/>
          <w:color w:val="005CB9"/>
        </w:rPr>
        <w:t>ISCUSSION AND</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NALYSIS</w:t>
      </w:r>
    </w:p>
    <w:p>
      <w:pPr>
        <w:spacing w:after="0" w:line="200" w:lineRule="exact"/>
        <w:rPr>
          <w:sz w:val="20"/>
          <w:szCs w:val="20"/>
          <w:color w:val="auto"/>
        </w:rPr>
      </w:pPr>
    </w:p>
    <w:p>
      <w:pPr>
        <w:spacing w:after="0" w:line="248" w:lineRule="exact"/>
        <w:rPr>
          <w:sz w:val="20"/>
          <w:szCs w:val="20"/>
          <w:color w:val="auto"/>
        </w:rPr>
      </w:pPr>
    </w:p>
    <w:p>
      <w:pPr>
        <w:ind w:left="660" w:right="280"/>
        <w:spacing w:after="0" w:line="251" w:lineRule="auto"/>
        <w:rPr>
          <w:sz w:val="20"/>
          <w:szCs w:val="20"/>
          <w:color w:val="auto"/>
        </w:rPr>
      </w:pPr>
      <w:r>
        <w:rPr>
          <w:rFonts w:ascii="Arial" w:cs="Arial" w:eastAsia="Arial" w:hAnsi="Arial"/>
          <w:sz w:val="16"/>
          <w:szCs w:val="16"/>
          <w:color w:val="auto"/>
        </w:rPr>
        <w:t>safeguard against excessive risk-taking. Our long-term incentives are designed to deter unnecessary risk-taking by aligning our employees’ interests with those of shareholders by incorporating equity-based compensation that vests over time and, in some cases, include a market-based performance metric, which we believe is not susceptible to manipulation by employees and encourages employees to remain focused on sustained stock price appreciation. Individual bonus caps for senior executives further mitigate risk.</w:t>
      </w:r>
    </w:p>
    <w:p>
      <w:pPr>
        <w:spacing w:after="0" w:line="202"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We have also sought to deter unnecessary risk-taking by applying our clawback policy to the senior executives of the Company, which requires the reimbursement of bonus or incentive compensation and/or the cancellation of outstanding equity previously granted in certain cases.</w:t>
      </w:r>
    </w:p>
    <w:p>
      <w:pPr>
        <w:spacing w:after="0" w:line="201"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In addition, our stock ownership guidelines require that our executive officers hold a significant amount of common stock to further align their interests with shareholders over the long term by having a portion of their personal investment portfolio consist of common stock. We expect this component to mitigate risk on a prospective basis. We also prohibit transactions designed to limit or eliminate economic risks to our employees of owning our common stock, such as options, puts, and calls, so our executives cannot insulate themselves from the effects of poor stock price performance.</w:t>
      </w:r>
    </w:p>
    <w:p>
      <w:pPr>
        <w:spacing w:after="0" w:line="203" w:lineRule="exact"/>
        <w:rPr>
          <w:sz w:val="20"/>
          <w:szCs w:val="20"/>
          <w:color w:val="auto"/>
        </w:rPr>
      </w:pPr>
    </w:p>
    <w:p>
      <w:pPr>
        <w:ind w:left="660" w:right="80"/>
        <w:spacing w:after="0" w:line="250" w:lineRule="auto"/>
        <w:rPr>
          <w:sz w:val="20"/>
          <w:szCs w:val="20"/>
          <w:color w:val="auto"/>
        </w:rPr>
      </w:pPr>
      <w:r>
        <w:rPr>
          <w:rFonts w:ascii="Arial" w:cs="Arial" w:eastAsia="Arial" w:hAnsi="Arial"/>
          <w:sz w:val="16"/>
          <w:szCs w:val="16"/>
          <w:color w:val="auto"/>
        </w:rPr>
        <w:t>Senior executives from our risk, compliance, administrative, and finance functions, as well as the outside compensation consultant to our Compensation Committee, are involved in this annual review process. With respect to fiscal 2020 and the compensation programs in place for fiscal 2020, based in part on the information and analyses provided by management and its own advisors, the Compensation Committee concluded that the Company’s compensation programs are not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273050</wp:posOffset>
            </wp:positionV>
            <wp:extent cx="291465" cy="274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46</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20"/>
          </w:cols>
          <w:pgMar w:left="320" w:top="459" w:right="10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489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40"/>
          <w:szCs w:val="40"/>
          <w:b w:val="1"/>
          <w:bCs w:val="1"/>
          <w:color w:val="FFFFFF"/>
        </w:rPr>
        <w:t>Executive Compensation</w:t>
      </w:r>
    </w:p>
    <w:p>
      <w:pPr>
        <w:spacing w:after="0" w:line="200" w:lineRule="exact"/>
        <w:rPr>
          <w:sz w:val="20"/>
          <w:szCs w:val="20"/>
          <w:color w:val="auto"/>
        </w:rPr>
      </w:pPr>
    </w:p>
    <w:p>
      <w:pPr>
        <w:spacing w:after="0" w:line="277"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The following table sets forth summary information for the fiscal years ended March 31, 2020, March 31, 2019, and March 31, 2018, with respect to cash and all other compensation paid by the Company to, or earned by, the Company’s NEOs.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1040" w:type="dxa"/>
            <w:vAlign w:val="bottom"/>
            <w:shd w:val="clear" w:color="auto" w:fill="005CB9"/>
          </w:tcPr>
          <w:p>
            <w:pPr>
              <w:spacing w:after="0"/>
              <w:rPr>
                <w:sz w:val="14"/>
                <w:szCs w:val="14"/>
                <w:color w:val="auto"/>
              </w:rPr>
            </w:pPr>
          </w:p>
        </w:tc>
        <w:tc>
          <w:tcPr>
            <w:tcW w:w="1140" w:type="dxa"/>
            <w:vAlign w:val="bottom"/>
            <w:shd w:val="clear" w:color="auto" w:fill="005CB9"/>
          </w:tcPr>
          <w:p>
            <w:pPr>
              <w:spacing w:after="0"/>
              <w:rPr>
                <w:sz w:val="14"/>
                <w:szCs w:val="14"/>
                <w:color w:val="auto"/>
              </w:rPr>
            </w:pPr>
          </w:p>
        </w:tc>
        <w:tc>
          <w:tcPr>
            <w:tcW w:w="140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Non-Equity</w:t>
            </w:r>
          </w:p>
        </w:tc>
        <w:tc>
          <w:tcPr>
            <w:tcW w:w="1420" w:type="dxa"/>
            <w:vAlign w:val="bottom"/>
            <w:shd w:val="clear" w:color="auto" w:fill="005CB9"/>
          </w:tcPr>
          <w:p>
            <w:pPr>
              <w:spacing w:after="0"/>
              <w:rPr>
                <w:sz w:val="14"/>
                <w:szCs w:val="14"/>
                <w:color w:val="auto"/>
              </w:rPr>
            </w:pPr>
          </w:p>
        </w:tc>
        <w:tc>
          <w:tcPr>
            <w:tcW w:w="1040" w:type="dxa"/>
            <w:vAlign w:val="bottom"/>
            <w:shd w:val="clear" w:color="auto" w:fill="005CB9"/>
          </w:tcPr>
          <w:p>
            <w:pPr>
              <w:spacing w:after="0"/>
              <w:rPr>
                <w:sz w:val="14"/>
                <w:szCs w:val="14"/>
                <w:color w:val="auto"/>
              </w:rPr>
            </w:pPr>
          </w:p>
        </w:tc>
      </w:tr>
      <w:tr>
        <w:trPr>
          <w:trHeight w:val="162"/>
        </w:trPr>
        <w:tc>
          <w:tcPr>
            <w:tcW w:w="406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1040" w:type="dxa"/>
            <w:vAlign w:val="bottom"/>
            <w:shd w:val="clear" w:color="auto" w:fill="005CB9"/>
          </w:tcPr>
          <w:p>
            <w:pPr>
              <w:spacing w:after="0"/>
              <w:rPr>
                <w:sz w:val="14"/>
                <w:szCs w:val="14"/>
                <w:color w:val="auto"/>
              </w:rPr>
            </w:pPr>
          </w:p>
        </w:tc>
        <w:tc>
          <w:tcPr>
            <w:tcW w:w="11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Stock</w:t>
            </w:r>
          </w:p>
        </w:tc>
        <w:tc>
          <w:tcPr>
            <w:tcW w:w="140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42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All Other</w:t>
            </w:r>
          </w:p>
        </w:tc>
        <w:tc>
          <w:tcPr>
            <w:tcW w:w="1040" w:type="dxa"/>
            <w:vAlign w:val="bottom"/>
            <w:shd w:val="clear" w:color="auto" w:fill="005CB9"/>
          </w:tcPr>
          <w:p>
            <w:pPr>
              <w:spacing w:after="0"/>
              <w:rPr>
                <w:sz w:val="14"/>
                <w:szCs w:val="14"/>
                <w:color w:val="auto"/>
              </w:rPr>
            </w:pPr>
          </w:p>
        </w:tc>
      </w:tr>
      <w:tr>
        <w:trPr>
          <w:trHeight w:val="162"/>
        </w:trPr>
        <w:tc>
          <w:tcPr>
            <w:tcW w:w="4060" w:type="dxa"/>
            <w:vAlign w:val="bottom"/>
            <w:shd w:val="clear" w:color="auto" w:fill="005CB9"/>
          </w:tcPr>
          <w:p>
            <w:pPr>
              <w:spacing w:after="0"/>
              <w:rPr>
                <w:sz w:val="14"/>
                <w:szCs w:val="14"/>
                <w:color w:val="auto"/>
              </w:rPr>
            </w:pPr>
          </w:p>
        </w:tc>
        <w:tc>
          <w:tcPr>
            <w:tcW w:w="920" w:type="dxa"/>
            <w:vAlign w:val="bottom"/>
            <w:shd w:val="clear" w:color="auto" w:fill="005CB9"/>
          </w:tcPr>
          <w:p>
            <w:pPr>
              <w:ind w:left="260"/>
              <w:spacing w:after="0"/>
              <w:rPr>
                <w:sz w:val="20"/>
                <w:szCs w:val="20"/>
                <w:color w:val="auto"/>
              </w:rPr>
            </w:pPr>
            <w:r>
              <w:rPr>
                <w:rFonts w:ascii="Arial" w:cs="Arial" w:eastAsia="Arial" w:hAnsi="Arial"/>
                <w:sz w:val="14"/>
                <w:szCs w:val="14"/>
                <w:b w:val="1"/>
                <w:bCs w:val="1"/>
                <w:color w:val="FFFFFF"/>
              </w:rPr>
              <w:t>Fiscal</w:t>
            </w:r>
          </w:p>
        </w:tc>
        <w:tc>
          <w:tcPr>
            <w:tcW w:w="1040" w:type="dxa"/>
            <w:vAlign w:val="bottom"/>
            <w:shd w:val="clear" w:color="auto" w:fill="005CB9"/>
          </w:tcPr>
          <w:p>
            <w:pPr>
              <w:jc w:val="right"/>
              <w:ind w:right="280"/>
              <w:spacing w:after="0"/>
              <w:rPr>
                <w:sz w:val="20"/>
                <w:szCs w:val="20"/>
                <w:color w:val="auto"/>
              </w:rPr>
            </w:pPr>
            <w:r>
              <w:rPr>
                <w:rFonts w:ascii="Arial" w:cs="Arial" w:eastAsia="Arial" w:hAnsi="Arial"/>
                <w:sz w:val="14"/>
                <w:szCs w:val="14"/>
                <w:b w:val="1"/>
                <w:bCs w:val="1"/>
                <w:color w:val="FFFFFF"/>
              </w:rPr>
              <w:t>Salary</w:t>
            </w:r>
          </w:p>
        </w:tc>
        <w:tc>
          <w:tcPr>
            <w:tcW w:w="11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Awards</w:t>
            </w:r>
          </w:p>
        </w:tc>
        <w:tc>
          <w:tcPr>
            <w:tcW w:w="140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Compensation</w:t>
            </w:r>
          </w:p>
        </w:tc>
        <w:tc>
          <w:tcPr>
            <w:tcW w:w="142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005CB9"/>
          </w:tcPr>
          <w:p>
            <w:pPr>
              <w:jc w:val="right"/>
              <w:ind w:right="220"/>
              <w:spacing w:after="0"/>
              <w:rPr>
                <w:sz w:val="20"/>
                <w:szCs w:val="20"/>
                <w:color w:val="auto"/>
              </w:rPr>
            </w:pPr>
            <w:r>
              <w:rPr>
                <w:rFonts w:ascii="Arial" w:cs="Arial" w:eastAsia="Arial" w:hAnsi="Arial"/>
                <w:sz w:val="14"/>
                <w:szCs w:val="14"/>
                <w:b w:val="1"/>
                <w:bCs w:val="1"/>
                <w:color w:val="FFFFFF"/>
              </w:rPr>
              <w:t>Total</w:t>
            </w:r>
          </w:p>
        </w:tc>
      </w:tr>
      <w:tr>
        <w:trPr>
          <w:trHeight w:val="223"/>
        </w:trPr>
        <w:tc>
          <w:tcPr>
            <w:tcW w:w="4060" w:type="dxa"/>
            <w:vAlign w:val="bottom"/>
            <w:tcBorders>
              <w:bottom w:val="single" w:sz="8" w:color="005CB9"/>
            </w:tcBorders>
            <w:shd w:val="clear" w:color="auto" w:fill="005CB9"/>
          </w:tcPr>
          <w:p>
            <w:pPr>
              <w:ind w:left="40"/>
              <w:spacing w:after="0"/>
              <w:rPr>
                <w:sz w:val="20"/>
                <w:szCs w:val="20"/>
                <w:color w:val="auto"/>
              </w:rPr>
            </w:pPr>
            <w:r>
              <w:rPr>
                <w:rFonts w:ascii="Arial" w:cs="Arial" w:eastAsia="Arial" w:hAnsi="Arial"/>
                <w:sz w:val="14"/>
                <w:szCs w:val="14"/>
                <w:b w:val="1"/>
                <w:bCs w:val="1"/>
                <w:color w:val="FFFFFF"/>
              </w:rPr>
              <w:t>Name and Principal Position</w:t>
            </w:r>
          </w:p>
        </w:tc>
        <w:tc>
          <w:tcPr>
            <w:tcW w:w="920" w:type="dxa"/>
            <w:vAlign w:val="bottom"/>
            <w:tcBorders>
              <w:bottom w:val="single" w:sz="8" w:color="005CB9"/>
            </w:tcBorders>
            <w:shd w:val="clear" w:color="auto" w:fill="005CB9"/>
          </w:tcPr>
          <w:p>
            <w:pPr>
              <w:ind w:left="300"/>
              <w:spacing w:after="0"/>
              <w:rPr>
                <w:sz w:val="20"/>
                <w:szCs w:val="20"/>
                <w:color w:val="auto"/>
              </w:rPr>
            </w:pPr>
            <w:r>
              <w:rPr>
                <w:rFonts w:ascii="Arial" w:cs="Arial" w:eastAsia="Arial" w:hAnsi="Arial"/>
                <w:sz w:val="14"/>
                <w:szCs w:val="14"/>
                <w:b w:val="1"/>
                <w:bCs w:val="1"/>
                <w:color w:val="FFFFFF"/>
              </w:rPr>
              <w:t>Year</w:t>
            </w:r>
          </w:p>
        </w:tc>
        <w:tc>
          <w:tcPr>
            <w:tcW w:w="1040" w:type="dxa"/>
            <w:vAlign w:val="bottom"/>
            <w:tcBorders>
              <w:bottom w:val="single" w:sz="8" w:color="005CB9"/>
            </w:tcBorders>
            <w:shd w:val="clear" w:color="auto" w:fill="005CB9"/>
          </w:tcPr>
          <w:p>
            <w:pPr>
              <w:jc w:val="right"/>
              <w:ind w:right="400"/>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($)(1)</w:t>
            </w:r>
          </w:p>
        </w:tc>
        <w:tc>
          <w:tcPr>
            <w:tcW w:w="140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w w:val="99"/>
              </w:rPr>
              <w:t>($)(2)</w:t>
            </w:r>
          </w:p>
        </w:tc>
        <w:tc>
          <w:tcPr>
            <w:tcW w:w="142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($)(3)</w:t>
            </w:r>
          </w:p>
        </w:tc>
        <w:tc>
          <w:tcPr>
            <w:tcW w:w="1040" w:type="dxa"/>
            <w:vAlign w:val="bottom"/>
            <w:tcBorders>
              <w:bottom w:val="single" w:sz="8" w:color="005CB9"/>
            </w:tcBorders>
            <w:shd w:val="clear" w:color="auto" w:fill="005CB9"/>
          </w:tcPr>
          <w:p>
            <w:pPr>
              <w:jc w:val="right"/>
              <w:ind w:right="300"/>
              <w:spacing w:after="0"/>
              <w:rPr>
                <w:sz w:val="20"/>
                <w:szCs w:val="20"/>
                <w:color w:val="auto"/>
              </w:rPr>
            </w:pPr>
            <w:r>
              <w:rPr>
                <w:rFonts w:ascii="Arial" w:cs="Arial" w:eastAsia="Arial" w:hAnsi="Arial"/>
                <w:sz w:val="14"/>
                <w:szCs w:val="14"/>
                <w:b w:val="1"/>
                <w:bCs w:val="1"/>
                <w:color w:val="FFFFFF"/>
              </w:rPr>
              <w:t>($)</w:t>
            </w:r>
          </w:p>
        </w:tc>
      </w:tr>
      <w:tr>
        <w:trPr>
          <w:trHeight w:val="237"/>
        </w:trPr>
        <w:tc>
          <w:tcPr>
            <w:tcW w:w="4060" w:type="dxa"/>
            <w:vAlign w:val="bottom"/>
            <w:shd w:val="clear" w:color="auto" w:fill="EAEAEA"/>
          </w:tcPr>
          <w:p>
            <w:pPr>
              <w:ind w:left="60"/>
              <w:spacing w:after="0"/>
              <w:rPr>
                <w:sz w:val="20"/>
                <w:szCs w:val="20"/>
                <w:color w:val="auto"/>
              </w:rPr>
            </w:pPr>
            <w:r>
              <w:rPr>
                <w:rFonts w:ascii="Arial" w:cs="Arial" w:eastAsia="Arial" w:hAnsi="Arial"/>
                <w:sz w:val="16"/>
                <w:szCs w:val="16"/>
                <w:b w:val="1"/>
                <w:bCs w:val="1"/>
                <w:color w:val="auto"/>
              </w:rPr>
              <w:t>Strauss Zelnick(4)</w:t>
            </w:r>
          </w:p>
        </w:tc>
        <w:tc>
          <w:tcPr>
            <w:tcW w:w="920" w:type="dxa"/>
            <w:vAlign w:val="bottom"/>
            <w:shd w:val="clear" w:color="auto" w:fill="EAEAEA"/>
          </w:tcPr>
          <w:p>
            <w:pPr>
              <w:ind w:left="320"/>
              <w:spacing w:after="0"/>
              <w:rPr>
                <w:sz w:val="20"/>
                <w:szCs w:val="20"/>
                <w:color w:val="auto"/>
              </w:rPr>
            </w:pPr>
            <w:r>
              <w:rPr>
                <w:rFonts w:ascii="Arial" w:cs="Arial" w:eastAsia="Arial" w:hAnsi="Arial"/>
                <w:sz w:val="16"/>
                <w:szCs w:val="16"/>
                <w:color w:val="auto"/>
              </w:rPr>
              <w:t>2020</w:t>
            </w:r>
          </w:p>
        </w:tc>
        <w:tc>
          <w:tcPr>
            <w:tcW w:w="1040" w:type="dxa"/>
            <w:vAlign w:val="bottom"/>
            <w:shd w:val="clear" w:color="auto" w:fill="EAEAEA"/>
          </w:tcPr>
          <w:p>
            <w:pPr>
              <w:jc w:val="right"/>
              <w:ind w:right="160"/>
              <w:spacing w:after="0"/>
              <w:rPr>
                <w:sz w:val="20"/>
                <w:szCs w:val="20"/>
                <w:color w:val="auto"/>
              </w:rPr>
            </w:pPr>
            <w:r>
              <w:rPr>
                <w:rFonts w:ascii="Arial" w:cs="Arial" w:eastAsia="Arial" w:hAnsi="Arial"/>
                <w:sz w:val="16"/>
                <w:szCs w:val="16"/>
                <w:color w:val="auto"/>
              </w:rPr>
              <w:t>1</w:t>
            </w:r>
          </w:p>
        </w:tc>
        <w:tc>
          <w:tcPr>
            <w:tcW w:w="114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EAEAEA"/>
          </w:tcPr>
          <w:p>
            <w:pPr>
              <w:jc w:val="right"/>
              <w:ind w:right="161"/>
              <w:spacing w:after="0"/>
              <w:rPr>
                <w:sz w:val="20"/>
                <w:szCs w:val="20"/>
                <w:color w:val="auto"/>
              </w:rPr>
            </w:pPr>
            <w:r>
              <w:rPr>
                <w:rFonts w:ascii="Arial" w:cs="Arial" w:eastAsia="Arial" w:hAnsi="Arial"/>
                <w:sz w:val="16"/>
                <w:szCs w:val="16"/>
                <w:color w:val="auto"/>
              </w:rPr>
              <w:t>—</w:t>
            </w:r>
          </w:p>
        </w:tc>
        <w:tc>
          <w:tcPr>
            <w:tcW w:w="1420" w:type="dxa"/>
            <w:vAlign w:val="bottom"/>
            <w:shd w:val="clear" w:color="auto" w:fill="EAEAEA"/>
          </w:tcPr>
          <w:p>
            <w:pPr>
              <w:jc w:val="right"/>
              <w:ind w:right="221"/>
              <w:spacing w:after="0"/>
              <w:rPr>
                <w:sz w:val="20"/>
                <w:szCs w:val="20"/>
                <w:color w:val="auto"/>
              </w:rPr>
            </w:pPr>
            <w:r>
              <w:rPr>
                <w:rFonts w:ascii="Arial" w:cs="Arial" w:eastAsia="Arial" w:hAnsi="Arial"/>
                <w:sz w:val="16"/>
                <w:szCs w:val="16"/>
                <w:color w:val="auto"/>
              </w:rPr>
              <w:t>87,760</w:t>
            </w:r>
          </w:p>
        </w:tc>
        <w:tc>
          <w:tcPr>
            <w:tcW w:w="10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87,761</w:t>
            </w:r>
          </w:p>
        </w:tc>
      </w:tr>
      <w:tr>
        <w:trPr>
          <w:trHeight w:val="195"/>
        </w:trPr>
        <w:tc>
          <w:tcPr>
            <w:tcW w:w="4060" w:type="dxa"/>
            <w:vAlign w:val="bottom"/>
            <w:shd w:val="clear" w:color="auto" w:fill="EAEAEA"/>
          </w:tcPr>
          <w:p>
            <w:pPr>
              <w:ind w:left="60"/>
              <w:spacing w:after="0"/>
              <w:rPr>
                <w:sz w:val="20"/>
                <w:szCs w:val="20"/>
                <w:color w:val="auto"/>
              </w:rPr>
            </w:pPr>
            <w:r>
              <w:rPr>
                <w:rFonts w:ascii="Arial" w:cs="Arial" w:eastAsia="Arial" w:hAnsi="Arial"/>
                <w:sz w:val="16"/>
                <w:szCs w:val="16"/>
                <w:color w:val="auto"/>
              </w:rPr>
              <w:t>Executive Chairman and Chief</w:t>
            </w:r>
          </w:p>
        </w:tc>
        <w:tc>
          <w:tcPr>
            <w:tcW w:w="920" w:type="dxa"/>
            <w:vAlign w:val="bottom"/>
            <w:shd w:val="clear" w:color="auto" w:fill="EAEAEA"/>
          </w:tcPr>
          <w:p>
            <w:pPr>
              <w:ind w:left="320"/>
              <w:spacing w:after="0"/>
              <w:rPr>
                <w:sz w:val="20"/>
                <w:szCs w:val="20"/>
                <w:color w:val="auto"/>
              </w:rPr>
            </w:pPr>
            <w:r>
              <w:rPr>
                <w:rFonts w:ascii="Arial" w:cs="Arial" w:eastAsia="Arial" w:hAnsi="Arial"/>
                <w:sz w:val="16"/>
                <w:szCs w:val="16"/>
                <w:color w:val="auto"/>
              </w:rPr>
              <w:t>2019</w:t>
            </w:r>
          </w:p>
        </w:tc>
        <w:tc>
          <w:tcPr>
            <w:tcW w:w="1040" w:type="dxa"/>
            <w:vAlign w:val="bottom"/>
            <w:shd w:val="clear" w:color="auto" w:fill="EAEAEA"/>
          </w:tcPr>
          <w:p>
            <w:pPr>
              <w:jc w:val="right"/>
              <w:ind w:right="160"/>
              <w:spacing w:after="0"/>
              <w:rPr>
                <w:sz w:val="20"/>
                <w:szCs w:val="20"/>
                <w:color w:val="auto"/>
              </w:rPr>
            </w:pPr>
            <w:r>
              <w:rPr>
                <w:rFonts w:ascii="Arial" w:cs="Arial" w:eastAsia="Arial" w:hAnsi="Arial"/>
                <w:sz w:val="16"/>
                <w:szCs w:val="16"/>
                <w:color w:val="auto"/>
              </w:rPr>
              <w:t>1</w:t>
            </w:r>
          </w:p>
        </w:tc>
        <w:tc>
          <w:tcPr>
            <w:tcW w:w="114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EAEAEA"/>
          </w:tcPr>
          <w:p>
            <w:pPr>
              <w:jc w:val="right"/>
              <w:ind w:right="161"/>
              <w:spacing w:after="0"/>
              <w:rPr>
                <w:sz w:val="20"/>
                <w:szCs w:val="20"/>
                <w:color w:val="auto"/>
              </w:rPr>
            </w:pPr>
            <w:r>
              <w:rPr>
                <w:rFonts w:ascii="Arial" w:cs="Arial" w:eastAsia="Arial" w:hAnsi="Arial"/>
                <w:sz w:val="16"/>
                <w:szCs w:val="16"/>
                <w:color w:val="auto"/>
              </w:rPr>
              <w:t>—</w:t>
            </w:r>
          </w:p>
        </w:tc>
        <w:tc>
          <w:tcPr>
            <w:tcW w:w="1420" w:type="dxa"/>
            <w:vAlign w:val="bottom"/>
            <w:shd w:val="clear" w:color="auto" w:fill="EAEAEA"/>
          </w:tcPr>
          <w:p>
            <w:pPr>
              <w:jc w:val="right"/>
              <w:ind w:right="221"/>
              <w:spacing w:after="0"/>
              <w:rPr>
                <w:sz w:val="20"/>
                <w:szCs w:val="20"/>
                <w:color w:val="auto"/>
              </w:rPr>
            </w:pPr>
            <w:r>
              <w:rPr>
                <w:rFonts w:ascii="Arial" w:cs="Arial" w:eastAsia="Arial" w:hAnsi="Arial"/>
                <w:sz w:val="16"/>
                <w:szCs w:val="16"/>
                <w:color w:val="auto"/>
              </w:rPr>
              <w:t>113,044</w:t>
            </w:r>
          </w:p>
        </w:tc>
        <w:tc>
          <w:tcPr>
            <w:tcW w:w="10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113,045</w:t>
            </w:r>
          </w:p>
        </w:tc>
      </w:tr>
      <w:tr>
        <w:trPr>
          <w:trHeight w:val="237"/>
        </w:trPr>
        <w:tc>
          <w:tcPr>
            <w:tcW w:w="406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6"/>
                <w:szCs w:val="16"/>
                <w:color w:val="auto"/>
              </w:rPr>
              <w:t>Executive Officer</w:t>
            </w:r>
          </w:p>
        </w:tc>
        <w:tc>
          <w:tcPr>
            <w:tcW w:w="920" w:type="dxa"/>
            <w:vAlign w:val="bottom"/>
            <w:tcBorders>
              <w:bottom w:val="single" w:sz="8" w:color="EAEAEA"/>
            </w:tcBorders>
            <w:shd w:val="clear" w:color="auto" w:fill="EAEAEA"/>
          </w:tcPr>
          <w:p>
            <w:pPr>
              <w:ind w:left="320"/>
              <w:spacing w:after="0"/>
              <w:rPr>
                <w:sz w:val="20"/>
                <w:szCs w:val="20"/>
                <w:color w:val="auto"/>
              </w:rPr>
            </w:pPr>
            <w:r>
              <w:rPr>
                <w:rFonts w:ascii="Arial" w:cs="Arial" w:eastAsia="Arial" w:hAnsi="Arial"/>
                <w:sz w:val="16"/>
                <w:szCs w:val="16"/>
                <w:color w:val="auto"/>
              </w:rPr>
              <w:t>2018</w:t>
            </w:r>
          </w:p>
        </w:tc>
        <w:tc>
          <w:tcPr>
            <w:tcW w:w="1040" w:type="dxa"/>
            <w:vAlign w:val="bottom"/>
            <w:tcBorders>
              <w:bottom w:val="single" w:sz="8" w:color="EAEAEA"/>
            </w:tcBorders>
            <w:shd w:val="clear" w:color="auto" w:fill="EAEAEA"/>
          </w:tcPr>
          <w:p>
            <w:pPr>
              <w:jc w:val="right"/>
              <w:ind w:right="160"/>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EAEAEA"/>
            </w:tcBorders>
            <w:shd w:val="clear" w:color="auto" w:fill="EAEAEA"/>
          </w:tcPr>
          <w:p>
            <w:pPr>
              <w:jc w:val="right"/>
              <w:ind w:right="12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AEAEA"/>
            </w:tcBorders>
            <w:shd w:val="clear" w:color="auto" w:fill="EAEAEA"/>
          </w:tcPr>
          <w:p>
            <w:pPr>
              <w:jc w:val="right"/>
              <w:ind w:right="161"/>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AEAEA"/>
            </w:tcBorders>
            <w:shd w:val="clear" w:color="auto" w:fill="EAEAEA"/>
          </w:tcPr>
          <w:p>
            <w:pPr>
              <w:jc w:val="right"/>
              <w:ind w:right="221"/>
              <w:spacing w:after="0"/>
              <w:rPr>
                <w:sz w:val="20"/>
                <w:szCs w:val="20"/>
                <w:color w:val="auto"/>
              </w:rPr>
            </w:pPr>
            <w:r>
              <w:rPr>
                <w:rFonts w:ascii="Arial" w:cs="Arial" w:eastAsia="Arial" w:hAnsi="Arial"/>
                <w:sz w:val="16"/>
                <w:szCs w:val="16"/>
                <w:color w:val="auto"/>
              </w:rPr>
              <w:t>42,628</w:t>
            </w:r>
          </w:p>
        </w:tc>
        <w:tc>
          <w:tcPr>
            <w:tcW w:w="10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42,629</w:t>
            </w:r>
          </w:p>
        </w:tc>
      </w:tr>
      <w:tr>
        <w:trPr>
          <w:trHeight w:val="237"/>
        </w:trPr>
        <w:tc>
          <w:tcPr>
            <w:tcW w:w="4060" w:type="dxa"/>
            <w:vAlign w:val="bottom"/>
          </w:tcPr>
          <w:p>
            <w:pPr>
              <w:ind w:left="60"/>
              <w:spacing w:after="0"/>
              <w:rPr>
                <w:sz w:val="20"/>
                <w:szCs w:val="20"/>
                <w:color w:val="auto"/>
              </w:rPr>
            </w:pPr>
            <w:r>
              <w:rPr>
                <w:rFonts w:ascii="Arial" w:cs="Arial" w:eastAsia="Arial" w:hAnsi="Arial"/>
                <w:sz w:val="16"/>
                <w:szCs w:val="16"/>
                <w:b w:val="1"/>
                <w:bCs w:val="1"/>
                <w:color w:val="auto"/>
              </w:rPr>
              <w:t>Lainie Goldstein</w:t>
            </w:r>
          </w:p>
        </w:tc>
        <w:tc>
          <w:tcPr>
            <w:tcW w:w="920" w:type="dxa"/>
            <w:vAlign w:val="bottom"/>
          </w:tcPr>
          <w:p>
            <w:pPr>
              <w:ind w:left="320"/>
              <w:spacing w:after="0"/>
              <w:rPr>
                <w:sz w:val="20"/>
                <w:szCs w:val="20"/>
                <w:color w:val="auto"/>
              </w:rPr>
            </w:pPr>
            <w:r>
              <w:rPr>
                <w:rFonts w:ascii="Arial" w:cs="Arial" w:eastAsia="Arial" w:hAnsi="Arial"/>
                <w:sz w:val="16"/>
                <w:szCs w:val="16"/>
                <w:color w:val="auto"/>
              </w:rPr>
              <w:t>2020</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850,000</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4,908,673</w:t>
            </w: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1,700,000</w:t>
            </w:r>
          </w:p>
        </w:tc>
        <w:tc>
          <w:tcPr>
            <w:tcW w:w="1420" w:type="dxa"/>
            <w:vAlign w:val="bottom"/>
          </w:tcPr>
          <w:p>
            <w:pPr>
              <w:jc w:val="right"/>
              <w:ind w:right="221"/>
              <w:spacing w:after="0"/>
              <w:rPr>
                <w:sz w:val="20"/>
                <w:szCs w:val="20"/>
                <w:color w:val="auto"/>
              </w:rPr>
            </w:pPr>
            <w:r>
              <w:rPr>
                <w:rFonts w:ascii="Arial" w:cs="Arial" w:eastAsia="Arial" w:hAnsi="Arial"/>
                <w:sz w:val="16"/>
                <w:szCs w:val="16"/>
                <w:color w:val="auto"/>
              </w:rPr>
              <w:t>18,191</w:t>
            </w:r>
          </w:p>
        </w:tc>
        <w:tc>
          <w:tcPr>
            <w:tcW w:w="1040" w:type="dxa"/>
            <w:vAlign w:val="bottom"/>
          </w:tcPr>
          <w:p>
            <w:pPr>
              <w:jc w:val="right"/>
              <w:spacing w:after="0"/>
              <w:rPr>
                <w:sz w:val="20"/>
                <w:szCs w:val="20"/>
                <w:color w:val="auto"/>
              </w:rPr>
            </w:pPr>
            <w:r>
              <w:rPr>
                <w:rFonts w:ascii="Arial" w:cs="Arial" w:eastAsia="Arial" w:hAnsi="Arial"/>
                <w:sz w:val="16"/>
                <w:szCs w:val="16"/>
                <w:color w:val="auto"/>
              </w:rPr>
              <w:t>7,476,864</w:t>
            </w:r>
          </w:p>
        </w:tc>
      </w:tr>
      <w:tr>
        <w:trPr>
          <w:trHeight w:val="197"/>
        </w:trPr>
        <w:tc>
          <w:tcPr>
            <w:tcW w:w="4060" w:type="dxa"/>
            <w:vAlign w:val="bottom"/>
          </w:tcPr>
          <w:p>
            <w:pPr>
              <w:ind w:left="60"/>
              <w:spacing w:after="0"/>
              <w:rPr>
                <w:sz w:val="20"/>
                <w:szCs w:val="20"/>
                <w:color w:val="auto"/>
              </w:rPr>
            </w:pPr>
            <w:r>
              <w:rPr>
                <w:rFonts w:ascii="Arial" w:cs="Arial" w:eastAsia="Arial" w:hAnsi="Arial"/>
                <w:sz w:val="16"/>
                <w:szCs w:val="16"/>
                <w:color w:val="auto"/>
              </w:rPr>
              <w:t>Chief Financial Officer</w:t>
            </w:r>
          </w:p>
        </w:tc>
        <w:tc>
          <w:tcPr>
            <w:tcW w:w="920" w:type="dxa"/>
            <w:vAlign w:val="bottom"/>
          </w:tcPr>
          <w:p>
            <w:pPr>
              <w:ind w:left="320"/>
              <w:spacing w:after="0"/>
              <w:rPr>
                <w:sz w:val="20"/>
                <w:szCs w:val="20"/>
                <w:color w:val="auto"/>
              </w:rPr>
            </w:pPr>
            <w:r>
              <w:rPr>
                <w:rFonts w:ascii="Arial" w:cs="Arial" w:eastAsia="Arial" w:hAnsi="Arial"/>
                <w:sz w:val="16"/>
                <w:szCs w:val="16"/>
                <w:color w:val="auto"/>
              </w:rPr>
              <w:t>2019</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850,000</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4,297,214</w:t>
            </w: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1,385,500</w:t>
            </w:r>
          </w:p>
        </w:tc>
        <w:tc>
          <w:tcPr>
            <w:tcW w:w="1420" w:type="dxa"/>
            <w:vAlign w:val="bottom"/>
          </w:tcPr>
          <w:p>
            <w:pPr>
              <w:jc w:val="right"/>
              <w:ind w:right="221"/>
              <w:spacing w:after="0"/>
              <w:rPr>
                <w:sz w:val="20"/>
                <w:szCs w:val="20"/>
                <w:color w:val="auto"/>
              </w:rPr>
            </w:pPr>
            <w:r>
              <w:rPr>
                <w:rFonts w:ascii="Arial" w:cs="Arial" w:eastAsia="Arial" w:hAnsi="Arial"/>
                <w:sz w:val="16"/>
                <w:szCs w:val="16"/>
                <w:color w:val="auto"/>
              </w:rPr>
              <w:t>17,499</w:t>
            </w:r>
          </w:p>
        </w:tc>
        <w:tc>
          <w:tcPr>
            <w:tcW w:w="1040" w:type="dxa"/>
            <w:vAlign w:val="bottom"/>
          </w:tcPr>
          <w:p>
            <w:pPr>
              <w:jc w:val="right"/>
              <w:spacing w:after="0"/>
              <w:rPr>
                <w:sz w:val="20"/>
                <w:szCs w:val="20"/>
                <w:color w:val="auto"/>
              </w:rPr>
            </w:pPr>
            <w:r>
              <w:rPr>
                <w:rFonts w:ascii="Arial" w:cs="Arial" w:eastAsia="Arial" w:hAnsi="Arial"/>
                <w:sz w:val="16"/>
                <w:szCs w:val="16"/>
                <w:color w:val="auto"/>
              </w:rPr>
              <w:t>6,550,213</w:t>
            </w:r>
          </w:p>
        </w:tc>
      </w:tr>
      <w:tr>
        <w:trPr>
          <w:trHeight w:val="195"/>
        </w:trPr>
        <w:tc>
          <w:tcPr>
            <w:tcW w:w="4060" w:type="dxa"/>
            <w:vAlign w:val="bottom"/>
          </w:tcPr>
          <w:p>
            <w:pPr>
              <w:spacing w:after="0"/>
              <w:rPr>
                <w:sz w:val="16"/>
                <w:szCs w:val="16"/>
                <w:color w:val="auto"/>
              </w:rPr>
            </w:pPr>
          </w:p>
        </w:tc>
        <w:tc>
          <w:tcPr>
            <w:tcW w:w="920" w:type="dxa"/>
            <w:vAlign w:val="bottom"/>
          </w:tcPr>
          <w:p>
            <w:pPr>
              <w:ind w:left="320"/>
              <w:spacing w:after="0"/>
              <w:rPr>
                <w:sz w:val="20"/>
                <w:szCs w:val="20"/>
                <w:color w:val="auto"/>
              </w:rPr>
            </w:pPr>
            <w:r>
              <w:rPr>
                <w:rFonts w:ascii="Arial" w:cs="Arial" w:eastAsia="Arial" w:hAnsi="Arial"/>
                <w:sz w:val="16"/>
                <w:szCs w:val="16"/>
                <w:color w:val="auto"/>
              </w:rPr>
              <w:t>2018</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690,051</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1,732,624</w:t>
            </w: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966,071</w:t>
            </w:r>
          </w:p>
        </w:tc>
        <w:tc>
          <w:tcPr>
            <w:tcW w:w="1420" w:type="dxa"/>
            <w:vAlign w:val="bottom"/>
          </w:tcPr>
          <w:p>
            <w:pPr>
              <w:jc w:val="right"/>
              <w:ind w:right="221"/>
              <w:spacing w:after="0"/>
              <w:rPr>
                <w:sz w:val="20"/>
                <w:szCs w:val="20"/>
                <w:color w:val="auto"/>
              </w:rPr>
            </w:pPr>
            <w:r>
              <w:rPr>
                <w:rFonts w:ascii="Arial" w:cs="Arial" w:eastAsia="Arial" w:hAnsi="Arial"/>
                <w:sz w:val="16"/>
                <w:szCs w:val="16"/>
                <w:color w:val="auto"/>
              </w:rPr>
              <w:t>14,704</w:t>
            </w:r>
          </w:p>
        </w:tc>
        <w:tc>
          <w:tcPr>
            <w:tcW w:w="1040" w:type="dxa"/>
            <w:vAlign w:val="bottom"/>
          </w:tcPr>
          <w:p>
            <w:pPr>
              <w:jc w:val="right"/>
              <w:spacing w:after="0"/>
              <w:rPr>
                <w:sz w:val="20"/>
                <w:szCs w:val="20"/>
                <w:color w:val="auto"/>
              </w:rPr>
            </w:pPr>
            <w:r>
              <w:rPr>
                <w:rFonts w:ascii="Arial" w:cs="Arial" w:eastAsia="Arial" w:hAnsi="Arial"/>
                <w:sz w:val="16"/>
                <w:szCs w:val="16"/>
                <w:color w:val="auto"/>
              </w:rPr>
              <w:t>3,403,450</w:t>
            </w:r>
          </w:p>
        </w:tc>
      </w:tr>
      <w:tr>
        <w:trPr>
          <w:trHeight w:val="60"/>
        </w:trPr>
        <w:tc>
          <w:tcPr>
            <w:tcW w:w="4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37"/>
        </w:trPr>
        <w:tc>
          <w:tcPr>
            <w:tcW w:w="4060" w:type="dxa"/>
            <w:vAlign w:val="bottom"/>
            <w:shd w:val="clear" w:color="auto" w:fill="EAEAEA"/>
          </w:tcPr>
          <w:p>
            <w:pPr>
              <w:ind w:left="60"/>
              <w:spacing w:after="0"/>
              <w:rPr>
                <w:sz w:val="20"/>
                <w:szCs w:val="20"/>
                <w:color w:val="auto"/>
              </w:rPr>
            </w:pPr>
            <w:r>
              <w:rPr>
                <w:rFonts w:ascii="Arial" w:cs="Arial" w:eastAsia="Arial" w:hAnsi="Arial"/>
                <w:sz w:val="16"/>
                <w:szCs w:val="16"/>
                <w:b w:val="1"/>
                <w:bCs w:val="1"/>
                <w:color w:val="auto"/>
              </w:rPr>
              <w:t>Karl Slatoff(4)</w:t>
            </w:r>
          </w:p>
        </w:tc>
        <w:tc>
          <w:tcPr>
            <w:tcW w:w="920" w:type="dxa"/>
            <w:vAlign w:val="bottom"/>
            <w:shd w:val="clear" w:color="auto" w:fill="EAEAEA"/>
          </w:tcPr>
          <w:p>
            <w:pPr>
              <w:ind w:left="320"/>
              <w:spacing w:after="0"/>
              <w:rPr>
                <w:sz w:val="20"/>
                <w:szCs w:val="20"/>
                <w:color w:val="auto"/>
              </w:rPr>
            </w:pPr>
            <w:r>
              <w:rPr>
                <w:rFonts w:ascii="Arial" w:cs="Arial" w:eastAsia="Arial" w:hAnsi="Arial"/>
                <w:sz w:val="16"/>
                <w:szCs w:val="16"/>
                <w:color w:val="auto"/>
              </w:rPr>
              <w:t>2020</w:t>
            </w:r>
          </w:p>
        </w:tc>
        <w:tc>
          <w:tcPr>
            <w:tcW w:w="1040" w:type="dxa"/>
            <w:vAlign w:val="bottom"/>
            <w:shd w:val="clear" w:color="auto" w:fill="EAEAEA"/>
          </w:tcPr>
          <w:p>
            <w:pPr>
              <w:jc w:val="right"/>
              <w:ind w:right="160"/>
              <w:spacing w:after="0"/>
              <w:rPr>
                <w:sz w:val="20"/>
                <w:szCs w:val="20"/>
                <w:color w:val="auto"/>
              </w:rPr>
            </w:pPr>
            <w:r>
              <w:rPr>
                <w:rFonts w:ascii="Arial" w:cs="Arial" w:eastAsia="Arial" w:hAnsi="Arial"/>
                <w:sz w:val="16"/>
                <w:szCs w:val="16"/>
                <w:color w:val="auto"/>
              </w:rPr>
              <w:t>1</w:t>
            </w:r>
          </w:p>
        </w:tc>
        <w:tc>
          <w:tcPr>
            <w:tcW w:w="114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EAEAEA"/>
          </w:tcPr>
          <w:p>
            <w:pPr>
              <w:jc w:val="right"/>
              <w:ind w:right="161"/>
              <w:spacing w:after="0"/>
              <w:rPr>
                <w:sz w:val="20"/>
                <w:szCs w:val="20"/>
                <w:color w:val="auto"/>
              </w:rPr>
            </w:pPr>
            <w:r>
              <w:rPr>
                <w:rFonts w:ascii="Arial" w:cs="Arial" w:eastAsia="Arial" w:hAnsi="Arial"/>
                <w:sz w:val="16"/>
                <w:szCs w:val="16"/>
                <w:color w:val="auto"/>
              </w:rPr>
              <w:t>—</w:t>
            </w:r>
          </w:p>
        </w:tc>
        <w:tc>
          <w:tcPr>
            <w:tcW w:w="1420" w:type="dxa"/>
            <w:vAlign w:val="bottom"/>
            <w:shd w:val="clear" w:color="auto" w:fill="EAEAEA"/>
          </w:tcPr>
          <w:p>
            <w:pPr>
              <w:jc w:val="right"/>
              <w:ind w:right="221"/>
              <w:spacing w:after="0"/>
              <w:rPr>
                <w:sz w:val="20"/>
                <w:szCs w:val="20"/>
                <w:color w:val="auto"/>
              </w:rPr>
            </w:pPr>
            <w:r>
              <w:rPr>
                <w:rFonts w:ascii="Arial" w:cs="Arial" w:eastAsia="Arial" w:hAnsi="Arial"/>
                <w:sz w:val="16"/>
                <w:szCs w:val="16"/>
                <w:color w:val="auto"/>
              </w:rPr>
              <w:t>22,512</w:t>
            </w:r>
          </w:p>
        </w:tc>
        <w:tc>
          <w:tcPr>
            <w:tcW w:w="10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22,513</w:t>
            </w:r>
          </w:p>
        </w:tc>
      </w:tr>
      <w:tr>
        <w:trPr>
          <w:trHeight w:val="195"/>
        </w:trPr>
        <w:tc>
          <w:tcPr>
            <w:tcW w:w="4060" w:type="dxa"/>
            <w:vAlign w:val="bottom"/>
            <w:shd w:val="clear" w:color="auto" w:fill="EAEAEA"/>
          </w:tcPr>
          <w:p>
            <w:pPr>
              <w:ind w:left="60"/>
              <w:spacing w:after="0"/>
              <w:rPr>
                <w:sz w:val="20"/>
                <w:szCs w:val="20"/>
                <w:color w:val="auto"/>
              </w:rPr>
            </w:pPr>
            <w:r>
              <w:rPr>
                <w:rFonts w:ascii="Arial" w:cs="Arial" w:eastAsia="Arial" w:hAnsi="Arial"/>
                <w:sz w:val="16"/>
                <w:szCs w:val="16"/>
                <w:color w:val="auto"/>
              </w:rPr>
              <w:t>President</w:t>
            </w:r>
          </w:p>
        </w:tc>
        <w:tc>
          <w:tcPr>
            <w:tcW w:w="920" w:type="dxa"/>
            <w:vAlign w:val="bottom"/>
            <w:shd w:val="clear" w:color="auto" w:fill="EAEAEA"/>
          </w:tcPr>
          <w:p>
            <w:pPr>
              <w:ind w:left="320"/>
              <w:spacing w:after="0"/>
              <w:rPr>
                <w:sz w:val="20"/>
                <w:szCs w:val="20"/>
                <w:color w:val="auto"/>
              </w:rPr>
            </w:pPr>
            <w:r>
              <w:rPr>
                <w:rFonts w:ascii="Arial" w:cs="Arial" w:eastAsia="Arial" w:hAnsi="Arial"/>
                <w:sz w:val="16"/>
                <w:szCs w:val="16"/>
                <w:color w:val="auto"/>
              </w:rPr>
              <w:t>2019</w:t>
            </w:r>
          </w:p>
        </w:tc>
        <w:tc>
          <w:tcPr>
            <w:tcW w:w="1040" w:type="dxa"/>
            <w:vAlign w:val="bottom"/>
            <w:shd w:val="clear" w:color="auto" w:fill="EAEAEA"/>
          </w:tcPr>
          <w:p>
            <w:pPr>
              <w:jc w:val="right"/>
              <w:ind w:right="160"/>
              <w:spacing w:after="0"/>
              <w:rPr>
                <w:sz w:val="20"/>
                <w:szCs w:val="20"/>
                <w:color w:val="auto"/>
              </w:rPr>
            </w:pPr>
            <w:r>
              <w:rPr>
                <w:rFonts w:ascii="Arial" w:cs="Arial" w:eastAsia="Arial" w:hAnsi="Arial"/>
                <w:sz w:val="16"/>
                <w:szCs w:val="16"/>
                <w:color w:val="auto"/>
              </w:rPr>
              <w:t>1</w:t>
            </w:r>
          </w:p>
        </w:tc>
        <w:tc>
          <w:tcPr>
            <w:tcW w:w="114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EAEAEA"/>
          </w:tcPr>
          <w:p>
            <w:pPr>
              <w:jc w:val="right"/>
              <w:ind w:right="161"/>
              <w:spacing w:after="0"/>
              <w:rPr>
                <w:sz w:val="20"/>
                <w:szCs w:val="20"/>
                <w:color w:val="auto"/>
              </w:rPr>
            </w:pPr>
            <w:r>
              <w:rPr>
                <w:rFonts w:ascii="Arial" w:cs="Arial" w:eastAsia="Arial" w:hAnsi="Arial"/>
                <w:sz w:val="16"/>
                <w:szCs w:val="16"/>
                <w:color w:val="auto"/>
              </w:rPr>
              <w:t>—</w:t>
            </w:r>
          </w:p>
        </w:tc>
        <w:tc>
          <w:tcPr>
            <w:tcW w:w="1420" w:type="dxa"/>
            <w:vAlign w:val="bottom"/>
            <w:shd w:val="clear" w:color="auto" w:fill="EAEAEA"/>
          </w:tcPr>
          <w:p>
            <w:pPr>
              <w:jc w:val="right"/>
              <w:ind w:right="221"/>
              <w:spacing w:after="0"/>
              <w:rPr>
                <w:sz w:val="20"/>
                <w:szCs w:val="20"/>
                <w:color w:val="auto"/>
              </w:rPr>
            </w:pPr>
            <w:r>
              <w:rPr>
                <w:rFonts w:ascii="Arial" w:cs="Arial" w:eastAsia="Arial" w:hAnsi="Arial"/>
                <w:sz w:val="16"/>
                <w:szCs w:val="16"/>
                <w:color w:val="auto"/>
              </w:rPr>
              <w:t>21,036</w:t>
            </w:r>
          </w:p>
        </w:tc>
        <w:tc>
          <w:tcPr>
            <w:tcW w:w="10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21,037</w:t>
            </w:r>
          </w:p>
        </w:tc>
      </w:tr>
      <w:tr>
        <w:trPr>
          <w:trHeight w:val="237"/>
        </w:trPr>
        <w:tc>
          <w:tcPr>
            <w:tcW w:w="4060" w:type="dxa"/>
            <w:vAlign w:val="bottom"/>
            <w:tcBorders>
              <w:bottom w:val="single" w:sz="8" w:color="EAEAEA"/>
            </w:tcBorders>
            <w:shd w:val="clear" w:color="auto" w:fill="EAEAEA"/>
          </w:tcPr>
          <w:p>
            <w:pPr>
              <w:spacing w:after="0"/>
              <w:rPr>
                <w:sz w:val="20"/>
                <w:szCs w:val="20"/>
                <w:color w:val="auto"/>
              </w:rPr>
            </w:pPr>
          </w:p>
        </w:tc>
        <w:tc>
          <w:tcPr>
            <w:tcW w:w="920" w:type="dxa"/>
            <w:vAlign w:val="bottom"/>
            <w:tcBorders>
              <w:bottom w:val="single" w:sz="8" w:color="EAEAEA"/>
            </w:tcBorders>
            <w:shd w:val="clear" w:color="auto" w:fill="EAEAEA"/>
          </w:tcPr>
          <w:p>
            <w:pPr>
              <w:ind w:left="320"/>
              <w:spacing w:after="0"/>
              <w:rPr>
                <w:sz w:val="20"/>
                <w:szCs w:val="20"/>
                <w:color w:val="auto"/>
              </w:rPr>
            </w:pPr>
            <w:r>
              <w:rPr>
                <w:rFonts w:ascii="Arial" w:cs="Arial" w:eastAsia="Arial" w:hAnsi="Arial"/>
                <w:sz w:val="16"/>
                <w:szCs w:val="16"/>
                <w:color w:val="auto"/>
              </w:rPr>
              <w:t>2018</w:t>
            </w:r>
          </w:p>
        </w:tc>
        <w:tc>
          <w:tcPr>
            <w:tcW w:w="1040" w:type="dxa"/>
            <w:vAlign w:val="bottom"/>
            <w:tcBorders>
              <w:bottom w:val="single" w:sz="8" w:color="EAEAEA"/>
            </w:tcBorders>
            <w:shd w:val="clear" w:color="auto" w:fill="EAEAEA"/>
          </w:tcPr>
          <w:p>
            <w:pPr>
              <w:jc w:val="right"/>
              <w:ind w:right="160"/>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EAEAEA"/>
            </w:tcBorders>
            <w:shd w:val="clear" w:color="auto" w:fill="EAEAEA"/>
          </w:tcPr>
          <w:p>
            <w:pPr>
              <w:jc w:val="right"/>
              <w:ind w:right="12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AEAEA"/>
            </w:tcBorders>
            <w:shd w:val="clear" w:color="auto" w:fill="EAEAEA"/>
          </w:tcPr>
          <w:p>
            <w:pPr>
              <w:jc w:val="right"/>
              <w:ind w:right="161"/>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AEAEA"/>
            </w:tcBorders>
            <w:shd w:val="clear" w:color="auto" w:fill="EAEAEA"/>
          </w:tcPr>
          <w:p>
            <w:pPr>
              <w:jc w:val="right"/>
              <w:ind w:right="221"/>
              <w:spacing w:after="0"/>
              <w:rPr>
                <w:sz w:val="20"/>
                <w:szCs w:val="20"/>
                <w:color w:val="auto"/>
              </w:rPr>
            </w:pPr>
            <w:r>
              <w:rPr>
                <w:rFonts w:ascii="Arial" w:cs="Arial" w:eastAsia="Arial" w:hAnsi="Arial"/>
                <w:sz w:val="16"/>
                <w:szCs w:val="16"/>
                <w:color w:val="auto"/>
              </w:rPr>
              <w:t>20,628</w:t>
            </w:r>
          </w:p>
        </w:tc>
        <w:tc>
          <w:tcPr>
            <w:tcW w:w="10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20,629</w:t>
            </w:r>
          </w:p>
        </w:tc>
      </w:tr>
      <w:tr>
        <w:trPr>
          <w:trHeight w:val="237"/>
        </w:trPr>
        <w:tc>
          <w:tcPr>
            <w:tcW w:w="4060" w:type="dxa"/>
            <w:vAlign w:val="bottom"/>
          </w:tcPr>
          <w:p>
            <w:pPr>
              <w:ind w:left="60"/>
              <w:spacing w:after="0"/>
              <w:rPr>
                <w:sz w:val="20"/>
                <w:szCs w:val="20"/>
                <w:color w:val="auto"/>
              </w:rPr>
            </w:pPr>
            <w:r>
              <w:rPr>
                <w:rFonts w:ascii="Arial" w:cs="Arial" w:eastAsia="Arial" w:hAnsi="Arial"/>
                <w:sz w:val="16"/>
                <w:szCs w:val="16"/>
                <w:b w:val="1"/>
                <w:bCs w:val="1"/>
                <w:color w:val="auto"/>
              </w:rPr>
              <w:t>Daniel Emerson</w:t>
            </w:r>
          </w:p>
        </w:tc>
        <w:tc>
          <w:tcPr>
            <w:tcW w:w="920" w:type="dxa"/>
            <w:vAlign w:val="bottom"/>
          </w:tcPr>
          <w:p>
            <w:pPr>
              <w:ind w:left="320"/>
              <w:spacing w:after="0"/>
              <w:rPr>
                <w:sz w:val="20"/>
                <w:szCs w:val="20"/>
                <w:color w:val="auto"/>
              </w:rPr>
            </w:pPr>
            <w:r>
              <w:rPr>
                <w:rFonts w:ascii="Arial" w:cs="Arial" w:eastAsia="Arial" w:hAnsi="Arial"/>
                <w:sz w:val="16"/>
                <w:szCs w:val="16"/>
                <w:color w:val="auto"/>
              </w:rPr>
              <w:t>2020</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540,000</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1,717,905</w:t>
            </w: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756,000</w:t>
            </w:r>
          </w:p>
        </w:tc>
        <w:tc>
          <w:tcPr>
            <w:tcW w:w="1420" w:type="dxa"/>
            <w:vAlign w:val="bottom"/>
          </w:tcPr>
          <w:p>
            <w:pPr>
              <w:jc w:val="right"/>
              <w:ind w:right="221"/>
              <w:spacing w:after="0"/>
              <w:rPr>
                <w:sz w:val="20"/>
                <w:szCs w:val="20"/>
                <w:color w:val="auto"/>
              </w:rPr>
            </w:pPr>
            <w:r>
              <w:rPr>
                <w:rFonts w:ascii="Arial" w:cs="Arial" w:eastAsia="Arial" w:hAnsi="Arial"/>
                <w:sz w:val="16"/>
                <w:szCs w:val="16"/>
                <w:color w:val="auto"/>
              </w:rPr>
              <w:t>31,818</w:t>
            </w:r>
          </w:p>
        </w:tc>
        <w:tc>
          <w:tcPr>
            <w:tcW w:w="1040" w:type="dxa"/>
            <w:vAlign w:val="bottom"/>
          </w:tcPr>
          <w:p>
            <w:pPr>
              <w:jc w:val="right"/>
              <w:spacing w:after="0"/>
              <w:rPr>
                <w:sz w:val="20"/>
                <w:szCs w:val="20"/>
                <w:color w:val="auto"/>
              </w:rPr>
            </w:pPr>
            <w:r>
              <w:rPr>
                <w:rFonts w:ascii="Arial" w:cs="Arial" w:eastAsia="Arial" w:hAnsi="Arial"/>
                <w:sz w:val="16"/>
                <w:szCs w:val="16"/>
                <w:color w:val="auto"/>
              </w:rPr>
              <w:t>3,045,723</w:t>
            </w:r>
          </w:p>
        </w:tc>
      </w:tr>
      <w:tr>
        <w:trPr>
          <w:trHeight w:val="197"/>
        </w:trPr>
        <w:tc>
          <w:tcPr>
            <w:tcW w:w="4060" w:type="dxa"/>
            <w:vAlign w:val="bottom"/>
          </w:tcPr>
          <w:p>
            <w:pPr>
              <w:ind w:left="60"/>
              <w:spacing w:after="0"/>
              <w:rPr>
                <w:sz w:val="20"/>
                <w:szCs w:val="20"/>
                <w:color w:val="auto"/>
              </w:rPr>
            </w:pPr>
            <w:r>
              <w:rPr>
                <w:rFonts w:ascii="Arial" w:cs="Arial" w:eastAsia="Arial" w:hAnsi="Arial"/>
                <w:sz w:val="16"/>
                <w:szCs w:val="16"/>
                <w:color w:val="auto"/>
              </w:rPr>
              <w:t>Executive Vice President and</w:t>
            </w:r>
          </w:p>
        </w:tc>
        <w:tc>
          <w:tcPr>
            <w:tcW w:w="920" w:type="dxa"/>
            <w:vAlign w:val="bottom"/>
          </w:tcPr>
          <w:p>
            <w:pPr>
              <w:ind w:left="320"/>
              <w:spacing w:after="0"/>
              <w:rPr>
                <w:sz w:val="20"/>
                <w:szCs w:val="20"/>
                <w:color w:val="auto"/>
              </w:rPr>
            </w:pPr>
            <w:r>
              <w:rPr>
                <w:rFonts w:ascii="Arial" w:cs="Arial" w:eastAsia="Arial" w:hAnsi="Arial"/>
                <w:sz w:val="16"/>
                <w:szCs w:val="16"/>
                <w:color w:val="auto"/>
              </w:rPr>
              <w:t>2019</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540,000</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1,503,913</w:t>
            </w: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616,140</w:t>
            </w:r>
          </w:p>
        </w:tc>
        <w:tc>
          <w:tcPr>
            <w:tcW w:w="1420" w:type="dxa"/>
            <w:vAlign w:val="bottom"/>
          </w:tcPr>
          <w:p>
            <w:pPr>
              <w:jc w:val="right"/>
              <w:ind w:right="221"/>
              <w:spacing w:after="0"/>
              <w:rPr>
                <w:sz w:val="20"/>
                <w:szCs w:val="20"/>
                <w:color w:val="auto"/>
              </w:rPr>
            </w:pPr>
            <w:r>
              <w:rPr>
                <w:rFonts w:ascii="Arial" w:cs="Arial" w:eastAsia="Arial" w:hAnsi="Arial"/>
                <w:sz w:val="16"/>
                <w:szCs w:val="16"/>
                <w:color w:val="auto"/>
              </w:rPr>
              <w:t>27,665</w:t>
            </w:r>
          </w:p>
        </w:tc>
        <w:tc>
          <w:tcPr>
            <w:tcW w:w="1040" w:type="dxa"/>
            <w:vAlign w:val="bottom"/>
          </w:tcPr>
          <w:p>
            <w:pPr>
              <w:jc w:val="right"/>
              <w:spacing w:after="0"/>
              <w:rPr>
                <w:sz w:val="20"/>
                <w:szCs w:val="20"/>
                <w:color w:val="auto"/>
              </w:rPr>
            </w:pPr>
            <w:r>
              <w:rPr>
                <w:rFonts w:ascii="Arial" w:cs="Arial" w:eastAsia="Arial" w:hAnsi="Arial"/>
                <w:sz w:val="16"/>
                <w:szCs w:val="16"/>
                <w:color w:val="auto"/>
              </w:rPr>
              <w:t>2,687,718</w:t>
            </w:r>
          </w:p>
        </w:tc>
      </w:tr>
      <w:tr>
        <w:trPr>
          <w:trHeight w:val="195"/>
        </w:trPr>
        <w:tc>
          <w:tcPr>
            <w:tcW w:w="4060" w:type="dxa"/>
            <w:vAlign w:val="bottom"/>
          </w:tcPr>
          <w:p>
            <w:pPr>
              <w:ind w:left="60"/>
              <w:spacing w:after="0"/>
              <w:rPr>
                <w:sz w:val="20"/>
                <w:szCs w:val="20"/>
                <w:color w:val="auto"/>
              </w:rPr>
            </w:pPr>
            <w:r>
              <w:rPr>
                <w:rFonts w:ascii="Arial" w:cs="Arial" w:eastAsia="Arial" w:hAnsi="Arial"/>
                <w:sz w:val="16"/>
                <w:szCs w:val="16"/>
                <w:color w:val="auto"/>
              </w:rPr>
              <w:t>Chief Legal Officer</w:t>
            </w:r>
          </w:p>
        </w:tc>
        <w:tc>
          <w:tcPr>
            <w:tcW w:w="920" w:type="dxa"/>
            <w:vAlign w:val="bottom"/>
          </w:tcPr>
          <w:p>
            <w:pPr>
              <w:ind w:left="320"/>
              <w:spacing w:after="0"/>
              <w:rPr>
                <w:sz w:val="20"/>
                <w:szCs w:val="20"/>
                <w:color w:val="auto"/>
              </w:rPr>
            </w:pPr>
            <w:r>
              <w:rPr>
                <w:rFonts w:ascii="Arial" w:cs="Arial" w:eastAsia="Arial" w:hAnsi="Arial"/>
                <w:sz w:val="16"/>
                <w:szCs w:val="16"/>
                <w:color w:val="auto"/>
              </w:rPr>
              <w:t>2018</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515,000</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1,732,624</w:t>
            </w: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721,000</w:t>
            </w:r>
          </w:p>
        </w:tc>
        <w:tc>
          <w:tcPr>
            <w:tcW w:w="1420" w:type="dxa"/>
            <w:vAlign w:val="bottom"/>
          </w:tcPr>
          <w:p>
            <w:pPr>
              <w:jc w:val="right"/>
              <w:ind w:right="221"/>
              <w:spacing w:after="0"/>
              <w:rPr>
                <w:sz w:val="20"/>
                <w:szCs w:val="20"/>
                <w:color w:val="auto"/>
              </w:rPr>
            </w:pPr>
            <w:r>
              <w:rPr>
                <w:rFonts w:ascii="Arial" w:cs="Arial" w:eastAsia="Arial" w:hAnsi="Arial"/>
                <w:sz w:val="16"/>
                <w:szCs w:val="16"/>
                <w:color w:val="auto"/>
              </w:rPr>
              <w:t>28,682</w:t>
            </w:r>
          </w:p>
        </w:tc>
        <w:tc>
          <w:tcPr>
            <w:tcW w:w="1040" w:type="dxa"/>
            <w:vAlign w:val="bottom"/>
          </w:tcPr>
          <w:p>
            <w:pPr>
              <w:jc w:val="right"/>
              <w:spacing w:after="0"/>
              <w:rPr>
                <w:sz w:val="20"/>
                <w:szCs w:val="20"/>
                <w:color w:val="auto"/>
              </w:rPr>
            </w:pPr>
            <w:r>
              <w:rPr>
                <w:rFonts w:ascii="Arial" w:cs="Arial" w:eastAsia="Arial" w:hAnsi="Arial"/>
                <w:sz w:val="16"/>
                <w:szCs w:val="16"/>
                <w:color w:val="auto"/>
              </w:rPr>
              <w:t>2,997,306</w:t>
            </w:r>
          </w:p>
        </w:tc>
      </w:tr>
    </w:tbl>
    <w:p>
      <w:pPr>
        <w:spacing w:after="0" w:line="186" w:lineRule="exact"/>
        <w:rPr>
          <w:sz w:val="20"/>
          <w:szCs w:val="20"/>
          <w:color w:val="auto"/>
        </w:rPr>
      </w:pPr>
    </w:p>
    <w:p>
      <w:pPr>
        <w:ind w:left="540" w:right="40" w:hanging="424"/>
        <w:spacing w:after="0" w:line="243"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Represents the aggregate grant date fair value of stock awards granted to our NEOs in each of the reporting periods, determined under FASB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For additional information with respect to stock awards granted during fiscal 2020, see Note 17 under the heading “Stock-Based Compensation” of the Notes to Consolidated Financial Statements included in the Company’s Annual Report on Form 10-K for fiscal 2020. The amounts above reflect the grant date fair value for these awards, and do not necessarily correspond to the actual value that might be realized by the NEOs which depends on the market value of the Company’s common stock on a date in the future when the stock award vests. For time-based RSUs, that value is based on the fair market value of the Company’s common stock on the grant date and is determined by multiplying the number of shares subject to the grant by the closing price per share of the Company’s common stock. The value of the performance-based RSUs reflects the value of the awards at the grant date based upon the probable outcome of the performance conditions using the Monte Carlo simulation model and is consistent with our estimate of the aggregate compensation cost to be recognized over the vesting period determined in accordance with FASB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which is less than the maximum possible value. The following table shows the value of the NEOs’ respective performance-based awards on the date of grant at both the probable outcome of the performance conditions, which is reflected in the table above, as well as the maximum achievement of the applicable performance conditions.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jc w:val="center"/>
              <w:ind w:right="22"/>
              <w:spacing w:after="0"/>
              <w:rPr>
                <w:sz w:val="20"/>
                <w:szCs w:val="20"/>
                <w:color w:val="auto"/>
              </w:rPr>
            </w:pPr>
            <w:r>
              <w:rPr>
                <w:rFonts w:ascii="Arial" w:cs="Arial" w:eastAsia="Arial" w:hAnsi="Arial"/>
                <w:sz w:val="14"/>
                <w:szCs w:val="14"/>
                <w:b w:val="1"/>
                <w:bCs w:val="1"/>
                <w:color w:val="005CB9"/>
              </w:rPr>
              <w:t>Probable</w:t>
            </w:r>
          </w:p>
        </w:tc>
        <w:tc>
          <w:tcPr>
            <w:tcW w:w="1260" w:type="dxa"/>
            <w:vAlign w:val="bottom"/>
          </w:tcPr>
          <w:p>
            <w:pPr>
              <w:jc w:val="center"/>
              <w:ind w:left="2"/>
              <w:spacing w:after="0"/>
              <w:rPr>
                <w:sz w:val="20"/>
                <w:szCs w:val="20"/>
                <w:color w:val="auto"/>
              </w:rPr>
            </w:pPr>
            <w:r>
              <w:rPr>
                <w:rFonts w:ascii="Arial" w:cs="Arial" w:eastAsia="Arial" w:hAnsi="Arial"/>
                <w:sz w:val="14"/>
                <w:szCs w:val="14"/>
                <w:b w:val="1"/>
                <w:bCs w:val="1"/>
                <w:color w:val="005CB9"/>
              </w:rPr>
              <w:t>Maximum</w:t>
            </w:r>
          </w:p>
        </w:tc>
      </w:tr>
      <w:tr>
        <w:trPr>
          <w:trHeight w:val="162"/>
        </w:trPr>
        <w:tc>
          <w:tcPr>
            <w:tcW w:w="5820" w:type="dxa"/>
            <w:vAlign w:val="bottom"/>
          </w:tcPr>
          <w:p>
            <w:pPr>
              <w:spacing w:after="0"/>
              <w:rPr>
                <w:sz w:val="14"/>
                <w:szCs w:val="14"/>
                <w:color w:val="auto"/>
              </w:rPr>
            </w:pPr>
          </w:p>
        </w:tc>
        <w:tc>
          <w:tcPr>
            <w:tcW w:w="900" w:type="dxa"/>
            <w:vAlign w:val="bottom"/>
          </w:tcPr>
          <w:p>
            <w:pPr>
              <w:ind w:left="200"/>
              <w:spacing w:after="0"/>
              <w:rPr>
                <w:sz w:val="20"/>
                <w:szCs w:val="20"/>
                <w:color w:val="auto"/>
              </w:rPr>
            </w:pPr>
            <w:r>
              <w:rPr>
                <w:rFonts w:ascii="Arial" w:cs="Arial" w:eastAsia="Arial" w:hAnsi="Arial"/>
                <w:sz w:val="14"/>
                <w:szCs w:val="14"/>
                <w:b w:val="1"/>
                <w:bCs w:val="1"/>
                <w:color w:val="005CB9"/>
              </w:rPr>
              <w:t>Fiscal</w:t>
            </w:r>
          </w:p>
        </w:tc>
        <w:tc>
          <w:tcPr>
            <w:tcW w:w="1280" w:type="dxa"/>
            <w:vAlign w:val="bottom"/>
          </w:tcPr>
          <w:p>
            <w:pPr>
              <w:jc w:val="center"/>
              <w:ind w:right="22"/>
              <w:spacing w:after="0"/>
              <w:rPr>
                <w:sz w:val="20"/>
                <w:szCs w:val="20"/>
                <w:color w:val="auto"/>
              </w:rPr>
            </w:pPr>
            <w:r>
              <w:rPr>
                <w:rFonts w:ascii="Arial" w:cs="Arial" w:eastAsia="Arial" w:hAnsi="Arial"/>
                <w:sz w:val="14"/>
                <w:szCs w:val="14"/>
                <w:b w:val="1"/>
                <w:bCs w:val="1"/>
                <w:color w:val="005CB9"/>
              </w:rPr>
              <w:t>Outcome</w:t>
            </w:r>
          </w:p>
        </w:tc>
        <w:tc>
          <w:tcPr>
            <w:tcW w:w="1260" w:type="dxa"/>
            <w:vAlign w:val="bottom"/>
          </w:tcPr>
          <w:p>
            <w:pPr>
              <w:jc w:val="center"/>
              <w:ind w:left="22"/>
              <w:spacing w:after="0"/>
              <w:rPr>
                <w:sz w:val="20"/>
                <w:szCs w:val="20"/>
                <w:color w:val="auto"/>
              </w:rPr>
            </w:pPr>
            <w:r>
              <w:rPr>
                <w:rFonts w:ascii="Arial" w:cs="Arial" w:eastAsia="Arial" w:hAnsi="Arial"/>
                <w:sz w:val="14"/>
                <w:szCs w:val="14"/>
                <w:b w:val="1"/>
                <w:bCs w:val="1"/>
                <w:color w:val="005CB9"/>
              </w:rPr>
              <w:t>Performance</w:t>
            </w:r>
          </w:p>
        </w:tc>
      </w:tr>
      <w:tr>
        <w:trPr>
          <w:trHeight w:val="190"/>
        </w:trPr>
        <w:tc>
          <w:tcPr>
            <w:tcW w:w="5820" w:type="dxa"/>
            <w:vAlign w:val="bottom"/>
          </w:tcPr>
          <w:p>
            <w:pPr>
              <w:ind w:left="80"/>
              <w:spacing w:after="0"/>
              <w:rPr>
                <w:sz w:val="20"/>
                <w:szCs w:val="20"/>
                <w:color w:val="auto"/>
              </w:rPr>
            </w:pPr>
            <w:r>
              <w:rPr>
                <w:rFonts w:ascii="Arial" w:cs="Arial" w:eastAsia="Arial" w:hAnsi="Arial"/>
                <w:sz w:val="14"/>
                <w:szCs w:val="14"/>
                <w:b w:val="1"/>
                <w:bCs w:val="1"/>
                <w:color w:val="005CB9"/>
              </w:rPr>
              <w:t>Name</w:t>
            </w:r>
          </w:p>
        </w:tc>
        <w:tc>
          <w:tcPr>
            <w:tcW w:w="900" w:type="dxa"/>
            <w:vAlign w:val="bottom"/>
          </w:tcPr>
          <w:p>
            <w:pPr>
              <w:ind w:left="260"/>
              <w:spacing w:after="0"/>
              <w:rPr>
                <w:sz w:val="20"/>
                <w:szCs w:val="20"/>
                <w:color w:val="auto"/>
              </w:rPr>
            </w:pPr>
            <w:r>
              <w:rPr>
                <w:rFonts w:ascii="Arial" w:cs="Arial" w:eastAsia="Arial" w:hAnsi="Arial"/>
                <w:sz w:val="14"/>
                <w:szCs w:val="14"/>
                <w:b w:val="1"/>
                <w:bCs w:val="1"/>
                <w:color w:val="005CB9"/>
              </w:rPr>
              <w:t>Year</w:t>
            </w:r>
          </w:p>
        </w:tc>
        <w:tc>
          <w:tcPr>
            <w:tcW w:w="1280" w:type="dxa"/>
            <w:vAlign w:val="bottom"/>
          </w:tcPr>
          <w:p>
            <w:pPr>
              <w:jc w:val="center"/>
              <w:ind w:right="22"/>
              <w:spacing w:after="0"/>
              <w:rPr>
                <w:sz w:val="20"/>
                <w:szCs w:val="20"/>
                <w:color w:val="auto"/>
              </w:rPr>
            </w:pPr>
            <w:r>
              <w:rPr>
                <w:rFonts w:ascii="Arial" w:cs="Arial" w:eastAsia="Arial" w:hAnsi="Arial"/>
                <w:sz w:val="14"/>
                <w:szCs w:val="14"/>
                <w:b w:val="1"/>
                <w:bCs w:val="1"/>
                <w:color w:val="005CB9"/>
              </w:rPr>
              <w:t>($)</w:t>
            </w:r>
          </w:p>
        </w:tc>
        <w:tc>
          <w:tcPr>
            <w:tcW w:w="1260" w:type="dxa"/>
            <w:vAlign w:val="bottom"/>
          </w:tcPr>
          <w:p>
            <w:pPr>
              <w:jc w:val="center"/>
              <w:ind w:left="2"/>
              <w:spacing w:after="0"/>
              <w:rPr>
                <w:sz w:val="20"/>
                <w:szCs w:val="20"/>
                <w:color w:val="auto"/>
              </w:rPr>
            </w:pPr>
            <w:r>
              <w:rPr>
                <w:rFonts w:ascii="Arial" w:cs="Arial" w:eastAsia="Arial" w:hAnsi="Arial"/>
                <w:sz w:val="14"/>
                <w:szCs w:val="14"/>
                <w:b w:val="1"/>
                <w:bCs w:val="1"/>
                <w:color w:val="005CB9"/>
              </w:rPr>
              <w:t>($)</w:t>
            </w:r>
          </w:p>
        </w:tc>
      </w:tr>
      <w:tr>
        <w:trPr>
          <w:trHeight w:val="53"/>
        </w:trPr>
        <w:tc>
          <w:tcPr>
            <w:tcW w:w="58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82"/>
        </w:trPr>
        <w:tc>
          <w:tcPr>
            <w:tcW w:w="5820" w:type="dxa"/>
            <w:vAlign w:val="bottom"/>
            <w:shd w:val="clear" w:color="auto" w:fill="EAEAEA"/>
          </w:tcPr>
          <w:p>
            <w:pPr>
              <w:ind w:left="80"/>
              <w:spacing w:after="0" w:line="183" w:lineRule="exact"/>
              <w:rPr>
                <w:sz w:val="20"/>
                <w:szCs w:val="20"/>
                <w:color w:val="auto"/>
              </w:rPr>
            </w:pPr>
            <w:r>
              <w:rPr>
                <w:rFonts w:ascii="Arial" w:cs="Arial" w:eastAsia="Arial" w:hAnsi="Arial"/>
                <w:sz w:val="16"/>
                <w:szCs w:val="16"/>
                <w:color w:val="auto"/>
              </w:rPr>
              <w:t>Lainie Goldstein</w:t>
            </w:r>
          </w:p>
        </w:tc>
        <w:tc>
          <w:tcPr>
            <w:tcW w:w="900" w:type="dxa"/>
            <w:vAlign w:val="bottom"/>
            <w:shd w:val="clear" w:color="auto" w:fill="EAEAEA"/>
          </w:tcPr>
          <w:p>
            <w:pPr>
              <w:ind w:left="280"/>
              <w:spacing w:after="0" w:line="183" w:lineRule="exact"/>
              <w:rPr>
                <w:sz w:val="20"/>
                <w:szCs w:val="20"/>
                <w:color w:val="auto"/>
              </w:rPr>
            </w:pPr>
            <w:r>
              <w:rPr>
                <w:rFonts w:ascii="Arial" w:cs="Arial" w:eastAsia="Arial" w:hAnsi="Arial"/>
                <w:sz w:val="16"/>
                <w:szCs w:val="16"/>
                <w:color w:val="auto"/>
              </w:rPr>
              <w:t>2020</w:t>
            </w:r>
          </w:p>
        </w:tc>
        <w:tc>
          <w:tcPr>
            <w:tcW w:w="1280" w:type="dxa"/>
            <w:vAlign w:val="bottom"/>
            <w:shd w:val="clear" w:color="auto" w:fill="EAEAEA"/>
          </w:tcPr>
          <w:p>
            <w:pPr>
              <w:jc w:val="right"/>
              <w:ind w:right="182"/>
              <w:spacing w:after="0" w:line="183" w:lineRule="exact"/>
              <w:rPr>
                <w:sz w:val="20"/>
                <w:szCs w:val="20"/>
                <w:color w:val="auto"/>
              </w:rPr>
            </w:pPr>
            <w:r>
              <w:rPr>
                <w:rFonts w:ascii="Arial" w:cs="Arial" w:eastAsia="Arial" w:hAnsi="Arial"/>
                <w:sz w:val="16"/>
                <w:szCs w:val="16"/>
                <w:color w:val="auto"/>
              </w:rPr>
              <w:t>3,781,534</w:t>
            </w:r>
          </w:p>
        </w:tc>
        <w:tc>
          <w:tcPr>
            <w:tcW w:w="1260" w:type="dxa"/>
            <w:vAlign w:val="bottom"/>
            <w:shd w:val="clear" w:color="auto" w:fill="EAEAEA"/>
          </w:tcPr>
          <w:p>
            <w:pPr>
              <w:jc w:val="right"/>
              <w:ind w:right="2"/>
              <w:spacing w:after="0" w:line="183" w:lineRule="exact"/>
              <w:rPr>
                <w:sz w:val="20"/>
                <w:szCs w:val="20"/>
                <w:color w:val="auto"/>
              </w:rPr>
            </w:pPr>
            <w:r>
              <w:rPr>
                <w:rFonts w:ascii="Arial" w:cs="Arial" w:eastAsia="Arial" w:hAnsi="Arial"/>
                <w:sz w:val="16"/>
                <w:szCs w:val="16"/>
                <w:color w:val="auto"/>
              </w:rPr>
              <w:t>4,515,046</w:t>
            </w:r>
          </w:p>
        </w:tc>
      </w:tr>
      <w:tr>
        <w:trPr>
          <w:trHeight w:val="189"/>
        </w:trPr>
        <w:tc>
          <w:tcPr>
            <w:tcW w:w="5820" w:type="dxa"/>
            <w:vAlign w:val="bottom"/>
            <w:shd w:val="clear" w:color="auto" w:fill="EAEAEA"/>
          </w:tcPr>
          <w:p>
            <w:pPr>
              <w:spacing w:after="0"/>
              <w:rPr>
                <w:sz w:val="16"/>
                <w:szCs w:val="16"/>
                <w:color w:val="auto"/>
              </w:rPr>
            </w:pPr>
          </w:p>
        </w:tc>
        <w:tc>
          <w:tcPr>
            <w:tcW w:w="900" w:type="dxa"/>
            <w:vAlign w:val="bottom"/>
            <w:shd w:val="clear" w:color="auto" w:fill="EAEAEA"/>
          </w:tcPr>
          <w:p>
            <w:pPr>
              <w:ind w:left="280"/>
              <w:spacing w:after="0"/>
              <w:rPr>
                <w:sz w:val="20"/>
                <w:szCs w:val="20"/>
                <w:color w:val="auto"/>
              </w:rPr>
            </w:pPr>
            <w:r>
              <w:rPr>
                <w:rFonts w:ascii="Arial" w:cs="Arial" w:eastAsia="Arial" w:hAnsi="Arial"/>
                <w:sz w:val="16"/>
                <w:szCs w:val="16"/>
                <w:color w:val="auto"/>
              </w:rPr>
              <w:t>2019</w:t>
            </w:r>
          </w:p>
        </w:tc>
        <w:tc>
          <w:tcPr>
            <w:tcW w:w="1280" w:type="dxa"/>
            <w:vAlign w:val="bottom"/>
            <w:shd w:val="clear" w:color="auto" w:fill="EAEAEA"/>
          </w:tcPr>
          <w:p>
            <w:pPr>
              <w:jc w:val="right"/>
              <w:ind w:right="182"/>
              <w:spacing w:after="0"/>
              <w:rPr>
                <w:sz w:val="20"/>
                <w:szCs w:val="20"/>
                <w:color w:val="auto"/>
              </w:rPr>
            </w:pPr>
            <w:r>
              <w:rPr>
                <w:rFonts w:ascii="Arial" w:cs="Arial" w:eastAsia="Arial" w:hAnsi="Arial"/>
                <w:sz w:val="16"/>
                <w:szCs w:val="16"/>
                <w:color w:val="auto"/>
              </w:rPr>
              <w:t>3,175,149</w:t>
            </w:r>
          </w:p>
        </w:tc>
        <w:tc>
          <w:tcPr>
            <w:tcW w:w="1260" w:type="dxa"/>
            <w:vAlign w:val="bottom"/>
            <w:shd w:val="clear" w:color="auto" w:fill="EAEAEA"/>
          </w:tcPr>
          <w:p>
            <w:pPr>
              <w:jc w:val="right"/>
              <w:ind w:right="2"/>
              <w:spacing w:after="0"/>
              <w:rPr>
                <w:sz w:val="20"/>
                <w:szCs w:val="20"/>
                <w:color w:val="auto"/>
              </w:rPr>
            </w:pPr>
            <w:r>
              <w:rPr>
                <w:rFonts w:ascii="Arial" w:cs="Arial" w:eastAsia="Arial" w:hAnsi="Arial"/>
                <w:sz w:val="16"/>
                <w:szCs w:val="16"/>
                <w:color w:val="auto"/>
              </w:rPr>
              <w:t>4,494,907</w:t>
            </w:r>
          </w:p>
        </w:tc>
      </w:tr>
      <w:tr>
        <w:trPr>
          <w:trHeight w:val="196"/>
        </w:trPr>
        <w:tc>
          <w:tcPr>
            <w:tcW w:w="5820" w:type="dxa"/>
            <w:vAlign w:val="bottom"/>
            <w:shd w:val="clear" w:color="auto" w:fill="EAEAEA"/>
          </w:tcPr>
          <w:p>
            <w:pPr>
              <w:spacing w:after="0"/>
              <w:rPr>
                <w:sz w:val="17"/>
                <w:szCs w:val="17"/>
                <w:color w:val="auto"/>
              </w:rPr>
            </w:pPr>
          </w:p>
        </w:tc>
        <w:tc>
          <w:tcPr>
            <w:tcW w:w="900" w:type="dxa"/>
            <w:vAlign w:val="bottom"/>
            <w:shd w:val="clear" w:color="auto" w:fill="EAEAEA"/>
          </w:tcPr>
          <w:p>
            <w:pPr>
              <w:ind w:left="280"/>
              <w:spacing w:after="0"/>
              <w:rPr>
                <w:sz w:val="20"/>
                <w:szCs w:val="20"/>
                <w:color w:val="auto"/>
              </w:rPr>
            </w:pPr>
            <w:r>
              <w:rPr>
                <w:rFonts w:ascii="Arial" w:cs="Arial" w:eastAsia="Arial" w:hAnsi="Arial"/>
                <w:sz w:val="16"/>
                <w:szCs w:val="16"/>
                <w:color w:val="auto"/>
              </w:rPr>
              <w:t>2018</w:t>
            </w:r>
          </w:p>
        </w:tc>
        <w:tc>
          <w:tcPr>
            <w:tcW w:w="1280" w:type="dxa"/>
            <w:vAlign w:val="bottom"/>
            <w:shd w:val="clear" w:color="auto" w:fill="EAEAEA"/>
          </w:tcPr>
          <w:p>
            <w:pPr>
              <w:jc w:val="right"/>
              <w:ind w:right="182"/>
              <w:spacing w:after="0"/>
              <w:rPr>
                <w:sz w:val="20"/>
                <w:szCs w:val="20"/>
                <w:color w:val="auto"/>
              </w:rPr>
            </w:pPr>
            <w:r>
              <w:rPr>
                <w:rFonts w:ascii="Arial" w:cs="Arial" w:eastAsia="Arial" w:hAnsi="Arial"/>
                <w:sz w:val="16"/>
                <w:szCs w:val="16"/>
                <w:color w:val="auto"/>
              </w:rPr>
              <w:t>1,358,820</w:t>
            </w:r>
          </w:p>
        </w:tc>
        <w:tc>
          <w:tcPr>
            <w:tcW w:w="1260" w:type="dxa"/>
            <w:vAlign w:val="bottom"/>
            <w:shd w:val="clear" w:color="auto" w:fill="EAEAEA"/>
          </w:tcPr>
          <w:p>
            <w:pPr>
              <w:jc w:val="right"/>
              <w:ind w:right="2"/>
              <w:spacing w:after="0"/>
              <w:rPr>
                <w:sz w:val="20"/>
                <w:szCs w:val="20"/>
                <w:color w:val="auto"/>
              </w:rPr>
            </w:pPr>
            <w:r>
              <w:rPr>
                <w:rFonts w:ascii="Arial" w:cs="Arial" w:eastAsia="Arial" w:hAnsi="Arial"/>
                <w:sz w:val="16"/>
                <w:szCs w:val="16"/>
                <w:color w:val="auto"/>
              </w:rPr>
              <w:t>1,497,404</w:t>
            </w:r>
          </w:p>
        </w:tc>
      </w:tr>
      <w:tr>
        <w:trPr>
          <w:trHeight w:val="60"/>
        </w:trPr>
        <w:tc>
          <w:tcPr>
            <w:tcW w:w="5820" w:type="dxa"/>
            <w:vAlign w:val="bottom"/>
            <w:shd w:val="clear" w:color="auto" w:fill="EAEAEA"/>
          </w:tcPr>
          <w:p>
            <w:pPr>
              <w:spacing w:after="0"/>
              <w:rPr>
                <w:sz w:val="5"/>
                <w:szCs w:val="5"/>
                <w:color w:val="auto"/>
              </w:rPr>
            </w:pPr>
          </w:p>
        </w:tc>
        <w:tc>
          <w:tcPr>
            <w:tcW w:w="900" w:type="dxa"/>
            <w:vAlign w:val="bottom"/>
            <w:shd w:val="clear" w:color="auto" w:fill="EAEAEA"/>
          </w:tcPr>
          <w:p>
            <w:pPr>
              <w:spacing w:after="0"/>
              <w:rPr>
                <w:sz w:val="5"/>
                <w:szCs w:val="5"/>
                <w:color w:val="auto"/>
              </w:rPr>
            </w:pPr>
          </w:p>
        </w:tc>
        <w:tc>
          <w:tcPr>
            <w:tcW w:w="1280" w:type="dxa"/>
            <w:vAlign w:val="bottom"/>
            <w:shd w:val="clear" w:color="auto" w:fill="EAEAEA"/>
          </w:tcPr>
          <w:p>
            <w:pPr>
              <w:spacing w:after="0"/>
              <w:rPr>
                <w:sz w:val="5"/>
                <w:szCs w:val="5"/>
                <w:color w:val="auto"/>
              </w:rPr>
            </w:pPr>
          </w:p>
        </w:tc>
        <w:tc>
          <w:tcPr>
            <w:tcW w:w="1260" w:type="dxa"/>
            <w:vAlign w:val="bottom"/>
            <w:shd w:val="clear" w:color="auto" w:fill="EAEAEA"/>
          </w:tcPr>
          <w:p>
            <w:pPr>
              <w:spacing w:after="0"/>
              <w:rPr>
                <w:sz w:val="5"/>
                <w:szCs w:val="5"/>
                <w:color w:val="auto"/>
              </w:rPr>
            </w:pPr>
          </w:p>
        </w:tc>
      </w:tr>
      <w:tr>
        <w:trPr>
          <w:trHeight w:val="191"/>
        </w:trPr>
        <w:tc>
          <w:tcPr>
            <w:tcW w:w="5820" w:type="dxa"/>
            <w:vAlign w:val="bottom"/>
          </w:tcPr>
          <w:p>
            <w:pPr>
              <w:ind w:left="80"/>
              <w:spacing w:after="0"/>
              <w:rPr>
                <w:sz w:val="20"/>
                <w:szCs w:val="20"/>
                <w:color w:val="auto"/>
              </w:rPr>
            </w:pPr>
            <w:r>
              <w:rPr>
                <w:rFonts w:ascii="Arial" w:cs="Arial" w:eastAsia="Arial" w:hAnsi="Arial"/>
                <w:sz w:val="16"/>
                <w:szCs w:val="16"/>
                <w:color w:val="auto"/>
              </w:rPr>
              <w:t>Daniel Emerson</w:t>
            </w:r>
          </w:p>
        </w:tc>
        <w:tc>
          <w:tcPr>
            <w:tcW w:w="900" w:type="dxa"/>
            <w:vAlign w:val="bottom"/>
          </w:tcPr>
          <w:p>
            <w:pPr>
              <w:ind w:left="280"/>
              <w:spacing w:after="0"/>
              <w:rPr>
                <w:sz w:val="20"/>
                <w:szCs w:val="20"/>
                <w:color w:val="auto"/>
              </w:rPr>
            </w:pPr>
            <w:r>
              <w:rPr>
                <w:rFonts w:ascii="Arial" w:cs="Arial" w:eastAsia="Arial" w:hAnsi="Arial"/>
                <w:sz w:val="16"/>
                <w:szCs w:val="16"/>
                <w:color w:val="auto"/>
              </w:rPr>
              <w:t>2020</w:t>
            </w:r>
          </w:p>
        </w:tc>
        <w:tc>
          <w:tcPr>
            <w:tcW w:w="1280" w:type="dxa"/>
            <w:vAlign w:val="bottom"/>
          </w:tcPr>
          <w:p>
            <w:pPr>
              <w:jc w:val="right"/>
              <w:ind w:right="182"/>
              <w:spacing w:after="0"/>
              <w:rPr>
                <w:sz w:val="20"/>
                <w:szCs w:val="20"/>
                <w:color w:val="auto"/>
              </w:rPr>
            </w:pPr>
            <w:r>
              <w:rPr>
                <w:rFonts w:ascii="Arial" w:cs="Arial" w:eastAsia="Arial" w:hAnsi="Arial"/>
                <w:sz w:val="16"/>
                <w:szCs w:val="16"/>
                <w:color w:val="auto"/>
              </w:rPr>
              <w:t>1,323,374</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1,580,072</w:t>
            </w:r>
          </w:p>
        </w:tc>
      </w:tr>
      <w:tr>
        <w:trPr>
          <w:trHeight w:val="189"/>
        </w:trPr>
        <w:tc>
          <w:tcPr>
            <w:tcW w:w="5820" w:type="dxa"/>
            <w:vAlign w:val="bottom"/>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6"/>
                <w:szCs w:val="16"/>
                <w:color w:val="auto"/>
              </w:rPr>
              <w:t>2019</w:t>
            </w:r>
          </w:p>
        </w:tc>
        <w:tc>
          <w:tcPr>
            <w:tcW w:w="1280" w:type="dxa"/>
            <w:vAlign w:val="bottom"/>
          </w:tcPr>
          <w:p>
            <w:pPr>
              <w:jc w:val="right"/>
              <w:ind w:right="182"/>
              <w:spacing w:after="0"/>
              <w:rPr>
                <w:sz w:val="20"/>
                <w:szCs w:val="20"/>
                <w:color w:val="auto"/>
              </w:rPr>
            </w:pPr>
            <w:r>
              <w:rPr>
                <w:rFonts w:ascii="Arial" w:cs="Arial" w:eastAsia="Arial" w:hAnsi="Arial"/>
                <w:sz w:val="16"/>
                <w:szCs w:val="16"/>
                <w:color w:val="auto"/>
              </w:rPr>
              <w:t>1,111,213</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1,573,091</w:t>
            </w:r>
          </w:p>
        </w:tc>
      </w:tr>
      <w:tr>
        <w:trPr>
          <w:trHeight w:val="195"/>
        </w:trPr>
        <w:tc>
          <w:tcPr>
            <w:tcW w:w="5820" w:type="dxa"/>
            <w:vAlign w:val="bottom"/>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6"/>
                <w:szCs w:val="16"/>
                <w:color w:val="auto"/>
              </w:rPr>
              <w:t>2018</w:t>
            </w:r>
          </w:p>
        </w:tc>
        <w:tc>
          <w:tcPr>
            <w:tcW w:w="1280" w:type="dxa"/>
            <w:vAlign w:val="bottom"/>
          </w:tcPr>
          <w:p>
            <w:pPr>
              <w:jc w:val="right"/>
              <w:ind w:right="182"/>
              <w:spacing w:after="0"/>
              <w:rPr>
                <w:sz w:val="20"/>
                <w:szCs w:val="20"/>
                <w:color w:val="auto"/>
              </w:rPr>
            </w:pPr>
            <w:r>
              <w:rPr>
                <w:rFonts w:ascii="Arial" w:cs="Arial" w:eastAsia="Arial" w:hAnsi="Arial"/>
                <w:sz w:val="16"/>
                <w:szCs w:val="16"/>
                <w:color w:val="auto"/>
              </w:rPr>
              <w:t>1,358,820</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1,497,404</w:t>
            </w:r>
          </w:p>
        </w:tc>
      </w:tr>
    </w:tbl>
    <w:p>
      <w:pPr>
        <w:spacing w:after="0" w:line="186" w:lineRule="exact"/>
        <w:rPr>
          <w:sz w:val="20"/>
          <w:szCs w:val="20"/>
          <w:color w:val="auto"/>
        </w:rPr>
      </w:pPr>
    </w:p>
    <w:p>
      <w:pPr>
        <w:ind w:left="540" w:right="260" w:hanging="424"/>
        <w:spacing w:after="0" w:line="24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These amounts represent annual cash incentive payments. For more information, refer to “Compensation Discussion and Analysis—Annual Cash Incentive” above and the “Grants of Plan-Based Awards” table below.</w:t>
      </w:r>
    </w:p>
    <w:p>
      <w:pPr>
        <w:ind w:left="540" w:hanging="424"/>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set forth in this column for fiscal 2020 represent (i) the Company’s matching contributions to the Company’s 401(k) plan for Ms. Goldstein and</w:t>
      </w:r>
    </w:p>
    <w:p>
      <w:pPr>
        <w:spacing w:after="0" w:line="1" w:lineRule="exact"/>
        <w:rPr>
          <w:rFonts w:ascii="Arial" w:cs="Arial" w:eastAsia="Arial" w:hAnsi="Arial"/>
          <w:sz w:val="14"/>
          <w:szCs w:val="14"/>
          <w:color w:val="auto"/>
        </w:rPr>
      </w:pPr>
    </w:p>
    <w:p>
      <w:pPr>
        <w:ind w:left="540" w:right="20"/>
        <w:spacing w:after="0" w:line="213" w:lineRule="auto"/>
        <w:rPr>
          <w:rFonts w:ascii="Arial" w:cs="Arial" w:eastAsia="Arial" w:hAnsi="Arial"/>
          <w:sz w:val="14"/>
          <w:szCs w:val="14"/>
          <w:color w:val="auto"/>
        </w:rPr>
      </w:pPr>
      <w:r>
        <w:rPr>
          <w:rFonts w:ascii="Arial" w:cs="Arial" w:eastAsia="Arial" w:hAnsi="Arial"/>
          <w:sz w:val="14"/>
          <w:szCs w:val="14"/>
          <w:color w:val="auto"/>
        </w:rPr>
        <w:t>Mr. Emerson, (ii) medical, dental and vision expense reimbursements made pursuant to the Company’s MERP, (iii) a club membership fee paid by the Company on behalf of Mr. Zelnick, used primarily for general corporate and corporate development purposes, (iv) a parking spot for Mr. Zelnick at the Company’s offices located at 110 West 44</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Street, New York, New York, 10036 paid for by the Company, and (v) fees for home security measures for Mr. Zelnick in an amount equal to $56,555.16 paid for by the Company. The incremental cost to the Company associated with the home security measures is determined based upon the amount paid by the Company to the applicable outside security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291465" cy="274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21"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394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47</w:t>
            </w:r>
          </w:p>
        </w:tc>
      </w:tr>
    </w:tbl>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962785"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62785" cy="137160"/>
                    </a:xfrm>
                    <a:prstGeom prst="rect">
                      <a:avLst/>
                    </a:prstGeom>
                    <a:noFill/>
                  </pic:spPr>
                </pic:pic>
              </a:graphicData>
            </a:graphic>
          </wp:anchor>
        </w:drawing>
      </w:r>
    </w:p>
    <w:p>
      <w:pPr>
        <w:spacing w:after="0" w:line="33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XECUTIVE</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C</w:t>
      </w:r>
      <w:r>
        <w:rPr>
          <w:rFonts w:ascii="Arial" w:cs="Arial" w:eastAsia="Arial" w:hAnsi="Arial"/>
          <w:sz w:val="11"/>
          <w:szCs w:val="11"/>
          <w:b w:val="1"/>
          <w:bCs w:val="1"/>
          <w:color w:val="000000"/>
        </w:rPr>
        <w:t>OMPENSATION</w:t>
      </w:r>
    </w:p>
    <w:p>
      <w:pPr>
        <w:spacing w:after="0" w:line="200" w:lineRule="exact"/>
        <w:rPr>
          <w:sz w:val="20"/>
          <w:szCs w:val="20"/>
          <w:color w:val="auto"/>
        </w:rPr>
      </w:pPr>
    </w:p>
    <w:p>
      <w:pPr>
        <w:spacing w:after="0" w:line="251" w:lineRule="exact"/>
        <w:rPr>
          <w:sz w:val="20"/>
          <w:szCs w:val="20"/>
          <w:color w:val="auto"/>
        </w:rPr>
      </w:pPr>
    </w:p>
    <w:p>
      <w:pPr>
        <w:ind w:left="960" w:right="60" w:hanging="293"/>
        <w:spacing w:after="0" w:line="244" w:lineRule="auto"/>
        <w:tabs>
          <w:tab w:leader="none" w:pos="9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As discussed in more detail below, Messrs. Zelnick and Slatoff were compensated for their respective services to the Company during fiscal years 2020, 2019 and 2018 pursuant to the 2014 Management Agreement and the 2017 Management Agreement. The provisions of the 2014 Management Agreement and the 2017 Management Agreement establish the payments and benefits to which ZelnickMedia is entitled as consideration for providing the services set forth therein. In general, in connection with their provision of services to the Company, the actual amount of compensation received by Messrs. Zelnick and Slatoff is determined in the sole discretion of ZelnickMedia and without the Company’s knowledge, except that, under the terms of both the 2014 Management Agreement and the 2017 Management Agreement, Mr. Zelnick may not receive more than 60% of the payments and benefits made to ZelnickMedia and Mr. Slatoff may not receive more than 40% of the payments and benefits made to ZelnickMedia.</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right="140"/>
        <w:spacing w:after="0" w:line="251" w:lineRule="auto"/>
        <w:rPr>
          <w:sz w:val="20"/>
          <w:szCs w:val="20"/>
          <w:color w:val="auto"/>
        </w:rPr>
      </w:pPr>
      <w:r>
        <w:rPr>
          <w:rFonts w:ascii="Arial" w:cs="Arial" w:eastAsia="Arial" w:hAnsi="Arial"/>
          <w:sz w:val="16"/>
          <w:szCs w:val="16"/>
          <w:color w:val="auto"/>
        </w:rPr>
        <w:t>The following table sets forth information concerning awards under the Company’s equity and non-equity incentive plans granted to each of the NEOs during fiscal 2020, including performance-based awards and those using time-based vesting. Assumptions used in the calculation of certain dollar amounts are included in Note 17 to the Company’s audited consolidated financial statements included in the Company’s Annual Report on Form 10-K for fiscal 2020.</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480" w:type="dxa"/>
            <w:vAlign w:val="bottom"/>
            <w:shd w:val="clear" w:color="auto" w:fill="005CB9"/>
          </w:tcPr>
          <w:p>
            <w:pPr>
              <w:spacing w:after="0"/>
              <w:rPr>
                <w:sz w:val="13"/>
                <w:szCs w:val="13"/>
                <w:color w:val="auto"/>
              </w:rPr>
            </w:pPr>
          </w:p>
        </w:tc>
        <w:tc>
          <w:tcPr>
            <w:tcW w:w="800" w:type="dxa"/>
            <w:vAlign w:val="bottom"/>
            <w:shd w:val="clear" w:color="auto" w:fill="005CB9"/>
          </w:tcPr>
          <w:p>
            <w:pPr>
              <w:spacing w:after="0"/>
              <w:rPr>
                <w:sz w:val="13"/>
                <w:szCs w:val="13"/>
                <w:color w:val="auto"/>
              </w:rPr>
            </w:pPr>
          </w:p>
        </w:tc>
        <w:tc>
          <w:tcPr>
            <w:tcW w:w="820" w:type="dxa"/>
            <w:vAlign w:val="bottom"/>
            <w:shd w:val="clear" w:color="auto" w:fill="005CB9"/>
          </w:tcPr>
          <w:p>
            <w:pPr>
              <w:spacing w:after="0"/>
              <w:rPr>
                <w:sz w:val="13"/>
                <w:szCs w:val="13"/>
                <w:color w:val="auto"/>
              </w:rPr>
            </w:pPr>
          </w:p>
        </w:tc>
        <w:tc>
          <w:tcPr>
            <w:tcW w:w="2400" w:type="dxa"/>
            <w:vAlign w:val="bottom"/>
            <w:gridSpan w:val="3"/>
            <w:vMerge w:val="restart"/>
            <w:shd w:val="clear" w:color="auto" w:fill="005CB9"/>
          </w:tcPr>
          <w:p>
            <w:pPr>
              <w:jc w:val="center"/>
              <w:spacing w:after="0"/>
              <w:rPr>
                <w:sz w:val="20"/>
                <w:szCs w:val="20"/>
                <w:color w:val="auto"/>
              </w:rPr>
            </w:pPr>
            <w:r>
              <w:rPr>
                <w:rFonts w:ascii="Arial" w:cs="Arial" w:eastAsia="Arial" w:hAnsi="Arial"/>
                <w:sz w:val="13"/>
                <w:szCs w:val="13"/>
                <w:b w:val="1"/>
                <w:bCs w:val="1"/>
                <w:color w:val="FFFFFF"/>
                <w:w w:val="97"/>
              </w:rPr>
              <w:t>Estimated Future Payouts</w:t>
            </w:r>
          </w:p>
        </w:tc>
        <w:tc>
          <w:tcPr>
            <w:tcW w:w="2460" w:type="dxa"/>
            <w:vAlign w:val="bottom"/>
            <w:gridSpan w:val="3"/>
            <w:vMerge w:val="restart"/>
            <w:shd w:val="clear" w:color="auto" w:fill="005CB9"/>
          </w:tcPr>
          <w:p>
            <w:pPr>
              <w:jc w:val="center"/>
              <w:ind w:left="31"/>
              <w:spacing w:after="0"/>
              <w:rPr>
                <w:sz w:val="20"/>
                <w:szCs w:val="20"/>
                <w:color w:val="auto"/>
              </w:rPr>
            </w:pPr>
            <w:r>
              <w:rPr>
                <w:rFonts w:ascii="Arial" w:cs="Arial" w:eastAsia="Arial" w:hAnsi="Arial"/>
                <w:sz w:val="13"/>
                <w:szCs w:val="13"/>
                <w:b w:val="1"/>
                <w:bCs w:val="1"/>
                <w:color w:val="FFFFFF"/>
                <w:w w:val="97"/>
              </w:rPr>
              <w:t>Estimated Future Payouts</w:t>
            </w:r>
          </w:p>
        </w:tc>
        <w:tc>
          <w:tcPr>
            <w:tcW w:w="1100" w:type="dxa"/>
            <w:vAlign w:val="bottom"/>
            <w:shd w:val="clear" w:color="auto" w:fill="005CB9"/>
          </w:tcPr>
          <w:p>
            <w:pPr>
              <w:jc w:val="center"/>
              <w:ind w:left="32"/>
              <w:spacing w:after="0"/>
              <w:rPr>
                <w:sz w:val="20"/>
                <w:szCs w:val="20"/>
                <w:color w:val="auto"/>
              </w:rPr>
            </w:pPr>
            <w:r>
              <w:rPr>
                <w:rFonts w:ascii="Arial" w:cs="Arial" w:eastAsia="Arial" w:hAnsi="Arial"/>
                <w:sz w:val="13"/>
                <w:szCs w:val="13"/>
                <w:b w:val="1"/>
                <w:bCs w:val="1"/>
                <w:color w:val="FFFFFF"/>
                <w:w w:val="94"/>
              </w:rPr>
              <w:t>All Other</w:t>
            </w:r>
          </w:p>
        </w:tc>
        <w:tc>
          <w:tcPr>
            <w:tcW w:w="86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480" w:type="dxa"/>
            <w:vAlign w:val="bottom"/>
            <w:shd w:val="clear" w:color="auto" w:fill="005CB9"/>
          </w:tcPr>
          <w:p>
            <w:pPr>
              <w:spacing w:after="0"/>
              <w:rPr>
                <w:sz w:val="11"/>
                <w:szCs w:val="11"/>
                <w:color w:val="auto"/>
              </w:rPr>
            </w:pPr>
          </w:p>
        </w:tc>
        <w:tc>
          <w:tcPr>
            <w:tcW w:w="800" w:type="dxa"/>
            <w:vAlign w:val="bottom"/>
            <w:shd w:val="clear" w:color="auto" w:fill="005CB9"/>
          </w:tcPr>
          <w:p>
            <w:pPr>
              <w:spacing w:after="0"/>
              <w:rPr>
                <w:sz w:val="11"/>
                <w:szCs w:val="11"/>
                <w:color w:val="auto"/>
              </w:rPr>
            </w:pPr>
          </w:p>
        </w:tc>
        <w:tc>
          <w:tcPr>
            <w:tcW w:w="820" w:type="dxa"/>
            <w:vAlign w:val="bottom"/>
            <w:shd w:val="clear" w:color="auto" w:fill="005CB9"/>
          </w:tcPr>
          <w:p>
            <w:pPr>
              <w:spacing w:after="0"/>
              <w:rPr>
                <w:sz w:val="11"/>
                <w:szCs w:val="11"/>
                <w:color w:val="auto"/>
              </w:rPr>
            </w:pPr>
          </w:p>
        </w:tc>
        <w:tc>
          <w:tcPr>
            <w:tcW w:w="2400" w:type="dxa"/>
            <w:vAlign w:val="bottom"/>
            <w:gridSpan w:val="3"/>
            <w:vMerge w:val="continue"/>
            <w:shd w:val="clear" w:color="auto" w:fill="005CB9"/>
          </w:tcPr>
          <w:p>
            <w:pPr>
              <w:spacing w:after="0"/>
              <w:rPr>
                <w:sz w:val="11"/>
                <w:szCs w:val="11"/>
                <w:color w:val="auto"/>
              </w:rPr>
            </w:pPr>
          </w:p>
        </w:tc>
        <w:tc>
          <w:tcPr>
            <w:tcW w:w="2460" w:type="dxa"/>
            <w:vAlign w:val="bottom"/>
            <w:gridSpan w:val="3"/>
            <w:vMerge w:val="continue"/>
            <w:shd w:val="clear" w:color="auto" w:fill="005CB9"/>
          </w:tcPr>
          <w:p>
            <w:pPr>
              <w:spacing w:after="0"/>
              <w:rPr>
                <w:sz w:val="11"/>
                <w:szCs w:val="11"/>
                <w:color w:val="auto"/>
              </w:rPr>
            </w:pPr>
          </w:p>
        </w:tc>
        <w:tc>
          <w:tcPr>
            <w:tcW w:w="1100" w:type="dxa"/>
            <w:vAlign w:val="bottom"/>
            <w:shd w:val="clear" w:color="auto" w:fill="005CB9"/>
          </w:tcPr>
          <w:p>
            <w:pPr>
              <w:jc w:val="center"/>
              <w:ind w:left="32"/>
              <w:spacing w:after="0" w:line="130" w:lineRule="exact"/>
              <w:rPr>
                <w:sz w:val="20"/>
                <w:szCs w:val="20"/>
                <w:color w:val="auto"/>
              </w:rPr>
            </w:pPr>
            <w:r>
              <w:rPr>
                <w:rFonts w:ascii="Arial" w:cs="Arial" w:eastAsia="Arial" w:hAnsi="Arial"/>
                <w:sz w:val="13"/>
                <w:szCs w:val="13"/>
                <w:b w:val="1"/>
                <w:bCs w:val="1"/>
                <w:color w:val="FFFFFF"/>
                <w:w w:val="97"/>
              </w:rPr>
              <w:t>Stock Awards:</w:t>
            </w:r>
          </w:p>
        </w:tc>
        <w:tc>
          <w:tcPr>
            <w:tcW w:w="860" w:type="dxa"/>
            <w:vAlign w:val="bottom"/>
            <w:shd w:val="clear" w:color="auto" w:fill="005CB9"/>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80" w:type="dxa"/>
            <w:vAlign w:val="bottom"/>
            <w:shd w:val="clear" w:color="auto" w:fill="005CB9"/>
          </w:tcPr>
          <w:p>
            <w:pPr>
              <w:spacing w:after="0"/>
              <w:rPr>
                <w:sz w:val="12"/>
                <w:szCs w:val="12"/>
                <w:color w:val="auto"/>
              </w:rPr>
            </w:pPr>
          </w:p>
        </w:tc>
        <w:tc>
          <w:tcPr>
            <w:tcW w:w="80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800" w:type="dxa"/>
            <w:vAlign w:val="bottom"/>
            <w:shd w:val="clear" w:color="auto" w:fill="005CB9"/>
          </w:tcPr>
          <w:p>
            <w:pPr>
              <w:spacing w:after="0"/>
              <w:rPr>
                <w:sz w:val="12"/>
                <w:szCs w:val="12"/>
                <w:color w:val="auto"/>
              </w:rPr>
            </w:pPr>
          </w:p>
        </w:tc>
        <w:tc>
          <w:tcPr>
            <w:tcW w:w="78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5"/>
              </w:rPr>
              <w:t>Under</w:t>
            </w:r>
          </w:p>
        </w:tc>
        <w:tc>
          <w:tcPr>
            <w:tcW w:w="820" w:type="dxa"/>
            <w:vAlign w:val="bottom"/>
            <w:shd w:val="clear" w:color="auto" w:fill="005CB9"/>
          </w:tcPr>
          <w:p>
            <w:pPr>
              <w:spacing w:after="0"/>
              <w:rPr>
                <w:sz w:val="12"/>
                <w:szCs w:val="12"/>
                <w:color w:val="auto"/>
              </w:rPr>
            </w:pPr>
          </w:p>
        </w:tc>
        <w:tc>
          <w:tcPr>
            <w:tcW w:w="840" w:type="dxa"/>
            <w:vAlign w:val="bottom"/>
            <w:shd w:val="clear" w:color="auto" w:fill="005CB9"/>
          </w:tcPr>
          <w:p>
            <w:pPr>
              <w:spacing w:after="0"/>
              <w:rPr>
                <w:sz w:val="12"/>
                <w:szCs w:val="12"/>
                <w:color w:val="auto"/>
              </w:rPr>
            </w:pPr>
          </w:p>
        </w:tc>
        <w:tc>
          <w:tcPr>
            <w:tcW w:w="82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5"/>
              </w:rPr>
              <w:t>Under</w:t>
            </w:r>
          </w:p>
        </w:tc>
        <w:tc>
          <w:tcPr>
            <w:tcW w:w="800" w:type="dxa"/>
            <w:vAlign w:val="bottom"/>
            <w:shd w:val="clear" w:color="auto" w:fill="005CB9"/>
          </w:tcPr>
          <w:p>
            <w:pPr>
              <w:spacing w:after="0"/>
              <w:rPr>
                <w:sz w:val="12"/>
                <w:szCs w:val="12"/>
                <w:color w:val="auto"/>
              </w:rPr>
            </w:pPr>
          </w:p>
        </w:tc>
        <w:tc>
          <w:tcPr>
            <w:tcW w:w="1100" w:type="dxa"/>
            <w:vAlign w:val="bottom"/>
            <w:shd w:val="clear" w:color="auto" w:fill="005CB9"/>
          </w:tcPr>
          <w:p>
            <w:pPr>
              <w:jc w:val="center"/>
              <w:ind w:left="32"/>
              <w:spacing w:after="0"/>
              <w:rPr>
                <w:sz w:val="20"/>
                <w:szCs w:val="20"/>
                <w:color w:val="auto"/>
              </w:rPr>
            </w:pPr>
            <w:r>
              <w:rPr>
                <w:rFonts w:ascii="Arial" w:cs="Arial" w:eastAsia="Arial" w:hAnsi="Arial"/>
                <w:sz w:val="13"/>
                <w:szCs w:val="13"/>
                <w:b w:val="1"/>
                <w:bCs w:val="1"/>
                <w:color w:val="FFFFFF"/>
                <w:w w:val="98"/>
              </w:rPr>
              <w:t>Number of</w:t>
            </w:r>
          </w:p>
        </w:tc>
        <w:tc>
          <w:tcPr>
            <w:tcW w:w="86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6"/>
              </w:rPr>
              <w:t>Grant Date</w:t>
            </w:r>
          </w:p>
        </w:tc>
        <w:tc>
          <w:tcPr>
            <w:tcW w:w="0" w:type="dxa"/>
            <w:vAlign w:val="bottom"/>
          </w:tcPr>
          <w:p>
            <w:pPr>
              <w:spacing w:after="0"/>
              <w:rPr>
                <w:sz w:val="1"/>
                <w:szCs w:val="1"/>
                <w:color w:val="auto"/>
              </w:rPr>
            </w:pPr>
          </w:p>
        </w:tc>
      </w:tr>
      <w:tr>
        <w:trPr>
          <w:trHeight w:val="135"/>
        </w:trPr>
        <w:tc>
          <w:tcPr>
            <w:tcW w:w="1480" w:type="dxa"/>
            <w:vAlign w:val="bottom"/>
            <w:shd w:val="clear" w:color="auto" w:fill="005CB9"/>
          </w:tcPr>
          <w:p>
            <w:pPr>
              <w:spacing w:after="0"/>
              <w:rPr>
                <w:sz w:val="11"/>
                <w:szCs w:val="11"/>
                <w:color w:val="auto"/>
              </w:rPr>
            </w:pPr>
          </w:p>
        </w:tc>
        <w:tc>
          <w:tcPr>
            <w:tcW w:w="800" w:type="dxa"/>
            <w:vAlign w:val="bottom"/>
            <w:shd w:val="clear" w:color="auto" w:fill="005CB9"/>
          </w:tcPr>
          <w:p>
            <w:pPr>
              <w:spacing w:after="0"/>
              <w:rPr>
                <w:sz w:val="11"/>
                <w:szCs w:val="11"/>
                <w:color w:val="auto"/>
              </w:rPr>
            </w:pPr>
          </w:p>
        </w:tc>
        <w:tc>
          <w:tcPr>
            <w:tcW w:w="820" w:type="dxa"/>
            <w:vAlign w:val="bottom"/>
            <w:shd w:val="clear" w:color="auto" w:fill="005CB9"/>
          </w:tcPr>
          <w:p>
            <w:pPr>
              <w:spacing w:after="0"/>
              <w:rPr>
                <w:sz w:val="11"/>
                <w:szCs w:val="11"/>
                <w:color w:val="auto"/>
              </w:rPr>
            </w:pPr>
          </w:p>
        </w:tc>
        <w:tc>
          <w:tcPr>
            <w:tcW w:w="2400" w:type="dxa"/>
            <w:vAlign w:val="bottom"/>
            <w:gridSpan w:val="3"/>
            <w:shd w:val="clear" w:color="auto" w:fill="005CB9"/>
          </w:tcPr>
          <w:p>
            <w:pPr>
              <w:jc w:val="center"/>
              <w:spacing w:after="0" w:line="135" w:lineRule="exact"/>
              <w:rPr>
                <w:sz w:val="20"/>
                <w:szCs w:val="20"/>
                <w:color w:val="auto"/>
              </w:rPr>
            </w:pPr>
            <w:r>
              <w:rPr>
                <w:rFonts w:ascii="Arial" w:cs="Arial" w:eastAsia="Arial" w:hAnsi="Arial"/>
                <w:sz w:val="13"/>
                <w:szCs w:val="13"/>
                <w:b w:val="1"/>
                <w:bCs w:val="1"/>
                <w:color w:val="FFFFFF"/>
                <w:w w:val="97"/>
              </w:rPr>
              <w:t>Non-Equity Incentive Plan</w:t>
            </w:r>
          </w:p>
        </w:tc>
        <w:tc>
          <w:tcPr>
            <w:tcW w:w="2460" w:type="dxa"/>
            <w:vAlign w:val="bottom"/>
            <w:gridSpan w:val="3"/>
            <w:shd w:val="clear" w:color="auto" w:fill="005CB9"/>
          </w:tcPr>
          <w:p>
            <w:pPr>
              <w:jc w:val="center"/>
              <w:ind w:left="51"/>
              <w:spacing w:after="0" w:line="135" w:lineRule="exact"/>
              <w:rPr>
                <w:sz w:val="20"/>
                <w:szCs w:val="20"/>
                <w:color w:val="auto"/>
              </w:rPr>
            </w:pPr>
            <w:r>
              <w:rPr>
                <w:rFonts w:ascii="Arial" w:cs="Arial" w:eastAsia="Arial" w:hAnsi="Arial"/>
                <w:sz w:val="13"/>
                <w:szCs w:val="13"/>
                <w:b w:val="1"/>
                <w:bCs w:val="1"/>
                <w:color w:val="FFFFFF"/>
                <w:w w:val="96"/>
              </w:rPr>
              <w:t>Equity Incentive Plan</w:t>
            </w:r>
          </w:p>
        </w:tc>
        <w:tc>
          <w:tcPr>
            <w:tcW w:w="1100" w:type="dxa"/>
            <w:vAlign w:val="bottom"/>
            <w:shd w:val="clear" w:color="auto" w:fill="005CB9"/>
          </w:tcPr>
          <w:p>
            <w:pPr>
              <w:jc w:val="center"/>
              <w:ind w:left="32"/>
              <w:spacing w:after="0" w:line="135" w:lineRule="exact"/>
              <w:rPr>
                <w:sz w:val="20"/>
                <w:szCs w:val="20"/>
                <w:color w:val="auto"/>
              </w:rPr>
            </w:pPr>
            <w:r>
              <w:rPr>
                <w:rFonts w:ascii="Arial" w:cs="Arial" w:eastAsia="Arial" w:hAnsi="Arial"/>
                <w:sz w:val="13"/>
                <w:szCs w:val="13"/>
                <w:b w:val="1"/>
                <w:bCs w:val="1"/>
                <w:color w:val="FFFFFF"/>
                <w:w w:val="94"/>
              </w:rPr>
              <w:t>Shares of</w:t>
            </w:r>
          </w:p>
        </w:tc>
        <w:tc>
          <w:tcPr>
            <w:tcW w:w="860" w:type="dxa"/>
            <w:vAlign w:val="bottom"/>
            <w:shd w:val="clear" w:color="auto" w:fill="005CB9"/>
          </w:tcPr>
          <w:p>
            <w:pPr>
              <w:jc w:val="center"/>
              <w:spacing w:after="0" w:line="135" w:lineRule="exact"/>
              <w:rPr>
                <w:sz w:val="20"/>
                <w:szCs w:val="20"/>
                <w:color w:val="auto"/>
              </w:rPr>
            </w:pPr>
            <w:r>
              <w:rPr>
                <w:rFonts w:ascii="Arial" w:cs="Arial" w:eastAsia="Arial" w:hAnsi="Arial"/>
                <w:sz w:val="13"/>
                <w:szCs w:val="13"/>
                <w:b w:val="1"/>
                <w:bCs w:val="1"/>
                <w:color w:val="FFFFFF"/>
                <w:w w:val="94"/>
              </w:rPr>
              <w:t>Fair Value of</w:t>
            </w:r>
          </w:p>
        </w:tc>
        <w:tc>
          <w:tcPr>
            <w:tcW w:w="0" w:type="dxa"/>
            <w:vAlign w:val="bottom"/>
          </w:tcPr>
          <w:p>
            <w:pPr>
              <w:spacing w:after="0"/>
              <w:rPr>
                <w:sz w:val="1"/>
                <w:szCs w:val="1"/>
                <w:color w:val="auto"/>
              </w:rPr>
            </w:pPr>
          </w:p>
        </w:tc>
      </w:tr>
      <w:tr>
        <w:trPr>
          <w:trHeight w:val="162"/>
        </w:trPr>
        <w:tc>
          <w:tcPr>
            <w:tcW w:w="1480" w:type="dxa"/>
            <w:vAlign w:val="bottom"/>
            <w:shd w:val="clear" w:color="auto" w:fill="005CB9"/>
          </w:tcPr>
          <w:p>
            <w:pPr>
              <w:spacing w:after="0"/>
              <w:rPr>
                <w:sz w:val="14"/>
                <w:szCs w:val="14"/>
                <w:color w:val="auto"/>
              </w:rPr>
            </w:pPr>
          </w:p>
        </w:tc>
        <w:tc>
          <w:tcPr>
            <w:tcW w:w="800" w:type="dxa"/>
            <w:vAlign w:val="bottom"/>
            <w:shd w:val="clear" w:color="auto" w:fill="005CB9"/>
          </w:tcPr>
          <w:p>
            <w:pPr>
              <w:spacing w:after="0"/>
              <w:rPr>
                <w:sz w:val="14"/>
                <w:szCs w:val="14"/>
                <w:color w:val="auto"/>
              </w:rPr>
            </w:pPr>
          </w:p>
        </w:tc>
        <w:tc>
          <w:tcPr>
            <w:tcW w:w="820" w:type="dxa"/>
            <w:vAlign w:val="bottom"/>
            <w:shd w:val="clear" w:color="auto" w:fill="005CB9"/>
          </w:tcPr>
          <w:p>
            <w:pPr>
              <w:spacing w:after="0"/>
              <w:rPr>
                <w:sz w:val="14"/>
                <w:szCs w:val="14"/>
                <w:color w:val="auto"/>
              </w:rPr>
            </w:pPr>
          </w:p>
        </w:tc>
        <w:tc>
          <w:tcPr>
            <w:tcW w:w="800" w:type="dxa"/>
            <w:vAlign w:val="bottom"/>
            <w:shd w:val="clear" w:color="auto" w:fill="005CB9"/>
          </w:tcPr>
          <w:p>
            <w:pPr>
              <w:spacing w:after="0"/>
              <w:rPr>
                <w:sz w:val="14"/>
                <w:szCs w:val="14"/>
                <w:color w:val="auto"/>
              </w:rPr>
            </w:pPr>
          </w:p>
        </w:tc>
        <w:tc>
          <w:tcPr>
            <w:tcW w:w="78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5"/>
              </w:rPr>
              <w:t>Awards(1)</w:t>
            </w:r>
          </w:p>
        </w:tc>
        <w:tc>
          <w:tcPr>
            <w:tcW w:w="820" w:type="dxa"/>
            <w:vAlign w:val="bottom"/>
            <w:shd w:val="clear" w:color="auto" w:fill="005CB9"/>
          </w:tcPr>
          <w:p>
            <w:pPr>
              <w:spacing w:after="0"/>
              <w:rPr>
                <w:sz w:val="14"/>
                <w:szCs w:val="14"/>
                <w:color w:val="auto"/>
              </w:rPr>
            </w:pPr>
          </w:p>
        </w:tc>
        <w:tc>
          <w:tcPr>
            <w:tcW w:w="840" w:type="dxa"/>
            <w:vAlign w:val="bottom"/>
            <w:shd w:val="clear" w:color="auto" w:fill="005CB9"/>
          </w:tcPr>
          <w:p>
            <w:pPr>
              <w:spacing w:after="0"/>
              <w:rPr>
                <w:sz w:val="14"/>
                <w:szCs w:val="14"/>
                <w:color w:val="auto"/>
              </w:rPr>
            </w:pPr>
          </w:p>
        </w:tc>
        <w:tc>
          <w:tcPr>
            <w:tcW w:w="82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5"/>
              </w:rPr>
              <w:t>Awards(2)</w:t>
            </w:r>
          </w:p>
        </w:tc>
        <w:tc>
          <w:tcPr>
            <w:tcW w:w="800" w:type="dxa"/>
            <w:vAlign w:val="bottom"/>
            <w:shd w:val="clear" w:color="auto" w:fill="005CB9"/>
          </w:tcPr>
          <w:p>
            <w:pPr>
              <w:spacing w:after="0"/>
              <w:rPr>
                <w:sz w:val="14"/>
                <w:szCs w:val="14"/>
                <w:color w:val="auto"/>
              </w:rPr>
            </w:pPr>
          </w:p>
        </w:tc>
        <w:tc>
          <w:tcPr>
            <w:tcW w:w="1100" w:type="dxa"/>
            <w:vAlign w:val="bottom"/>
            <w:shd w:val="clear" w:color="auto" w:fill="005CB9"/>
          </w:tcPr>
          <w:p>
            <w:pPr>
              <w:jc w:val="center"/>
              <w:ind w:left="32"/>
              <w:spacing w:after="0"/>
              <w:rPr>
                <w:sz w:val="20"/>
                <w:szCs w:val="20"/>
                <w:color w:val="auto"/>
              </w:rPr>
            </w:pPr>
            <w:r>
              <w:rPr>
                <w:rFonts w:ascii="Arial" w:cs="Arial" w:eastAsia="Arial" w:hAnsi="Arial"/>
                <w:sz w:val="13"/>
                <w:szCs w:val="13"/>
                <w:b w:val="1"/>
                <w:bCs w:val="1"/>
                <w:color w:val="FFFFFF"/>
                <w:w w:val="99"/>
              </w:rPr>
              <w:t>Stock or</w:t>
            </w:r>
          </w:p>
        </w:tc>
        <w:tc>
          <w:tcPr>
            <w:tcW w:w="86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27"/>
        </w:trPr>
        <w:tc>
          <w:tcPr>
            <w:tcW w:w="1480" w:type="dxa"/>
            <w:vAlign w:val="bottom"/>
            <w:shd w:val="clear" w:color="auto" w:fill="005CB9"/>
          </w:tcPr>
          <w:p>
            <w:pPr>
              <w:spacing w:after="0"/>
              <w:rPr>
                <w:sz w:val="11"/>
                <w:szCs w:val="11"/>
                <w:color w:val="auto"/>
              </w:rPr>
            </w:pPr>
          </w:p>
        </w:tc>
        <w:tc>
          <w:tcPr>
            <w:tcW w:w="800" w:type="dxa"/>
            <w:vAlign w:val="bottom"/>
            <w:shd w:val="clear" w:color="auto" w:fill="005CB9"/>
          </w:tcPr>
          <w:p>
            <w:pPr>
              <w:jc w:val="right"/>
              <w:ind w:right="170"/>
              <w:spacing w:after="0" w:line="127" w:lineRule="exact"/>
              <w:rPr>
                <w:sz w:val="20"/>
                <w:szCs w:val="20"/>
                <w:color w:val="auto"/>
              </w:rPr>
            </w:pPr>
            <w:r>
              <w:rPr>
                <w:rFonts w:ascii="Arial" w:cs="Arial" w:eastAsia="Arial" w:hAnsi="Arial"/>
                <w:sz w:val="13"/>
                <w:szCs w:val="13"/>
                <w:b w:val="1"/>
                <w:bCs w:val="1"/>
                <w:color w:val="FFFFFF"/>
              </w:rPr>
              <w:t>Grant</w:t>
            </w:r>
          </w:p>
        </w:tc>
        <w:tc>
          <w:tcPr>
            <w:tcW w:w="820" w:type="dxa"/>
            <w:vAlign w:val="bottom"/>
            <w:shd w:val="clear" w:color="auto" w:fill="005CB9"/>
          </w:tcPr>
          <w:p>
            <w:pPr>
              <w:jc w:val="right"/>
              <w:ind w:right="90"/>
              <w:spacing w:after="0" w:line="127" w:lineRule="exact"/>
              <w:rPr>
                <w:sz w:val="20"/>
                <w:szCs w:val="20"/>
                <w:color w:val="auto"/>
              </w:rPr>
            </w:pPr>
            <w:r>
              <w:rPr>
                <w:rFonts w:ascii="Arial" w:cs="Arial" w:eastAsia="Arial" w:hAnsi="Arial"/>
                <w:sz w:val="13"/>
                <w:szCs w:val="13"/>
                <w:b w:val="1"/>
                <w:bCs w:val="1"/>
                <w:color w:val="FFFFFF"/>
              </w:rPr>
              <w:t>Approval</w:t>
            </w:r>
          </w:p>
        </w:tc>
        <w:tc>
          <w:tcPr>
            <w:tcW w:w="800" w:type="dxa"/>
            <w:vAlign w:val="bottom"/>
            <w:shd w:val="clear" w:color="auto" w:fill="005CB9"/>
          </w:tcPr>
          <w:p>
            <w:pPr>
              <w:jc w:val="right"/>
              <w:ind w:right="11"/>
              <w:spacing w:after="0" w:line="127" w:lineRule="exact"/>
              <w:rPr>
                <w:sz w:val="20"/>
                <w:szCs w:val="20"/>
                <w:color w:val="auto"/>
              </w:rPr>
            </w:pPr>
            <w:r>
              <w:rPr>
                <w:rFonts w:ascii="Arial" w:cs="Arial" w:eastAsia="Arial" w:hAnsi="Arial"/>
                <w:sz w:val="13"/>
                <w:szCs w:val="13"/>
                <w:b w:val="1"/>
                <w:bCs w:val="1"/>
                <w:color w:val="FFFFFF"/>
              </w:rPr>
              <w:t>Threshold</w:t>
            </w:r>
          </w:p>
        </w:tc>
        <w:tc>
          <w:tcPr>
            <w:tcW w:w="780" w:type="dxa"/>
            <w:vAlign w:val="bottom"/>
            <w:shd w:val="clear" w:color="auto" w:fill="005CB9"/>
          </w:tcPr>
          <w:p>
            <w:pPr>
              <w:jc w:val="center"/>
              <w:spacing w:after="0" w:line="127" w:lineRule="exact"/>
              <w:rPr>
                <w:sz w:val="20"/>
                <w:szCs w:val="20"/>
                <w:color w:val="auto"/>
              </w:rPr>
            </w:pPr>
            <w:r>
              <w:rPr>
                <w:rFonts w:ascii="Arial" w:cs="Arial" w:eastAsia="Arial" w:hAnsi="Arial"/>
                <w:sz w:val="13"/>
                <w:szCs w:val="13"/>
                <w:b w:val="1"/>
                <w:bCs w:val="1"/>
                <w:color w:val="FFFFFF"/>
                <w:w w:val="95"/>
              </w:rPr>
              <w:t>Target</w:t>
            </w:r>
          </w:p>
        </w:tc>
        <w:tc>
          <w:tcPr>
            <w:tcW w:w="820" w:type="dxa"/>
            <w:vAlign w:val="bottom"/>
            <w:shd w:val="clear" w:color="auto" w:fill="005CB9"/>
          </w:tcPr>
          <w:p>
            <w:pPr>
              <w:jc w:val="right"/>
              <w:ind w:right="70"/>
              <w:spacing w:after="0" w:line="127" w:lineRule="exact"/>
              <w:rPr>
                <w:sz w:val="20"/>
                <w:szCs w:val="20"/>
                <w:color w:val="auto"/>
              </w:rPr>
            </w:pPr>
            <w:r>
              <w:rPr>
                <w:rFonts w:ascii="Arial" w:cs="Arial" w:eastAsia="Arial" w:hAnsi="Arial"/>
                <w:sz w:val="13"/>
                <w:szCs w:val="13"/>
                <w:b w:val="1"/>
                <w:bCs w:val="1"/>
                <w:color w:val="FFFFFF"/>
              </w:rPr>
              <w:t>Maximum</w:t>
            </w:r>
          </w:p>
        </w:tc>
        <w:tc>
          <w:tcPr>
            <w:tcW w:w="840" w:type="dxa"/>
            <w:vAlign w:val="bottom"/>
            <w:shd w:val="clear" w:color="auto" w:fill="005CB9"/>
          </w:tcPr>
          <w:p>
            <w:pPr>
              <w:jc w:val="right"/>
              <w:ind w:right="51"/>
              <w:spacing w:after="0" w:line="127" w:lineRule="exact"/>
              <w:rPr>
                <w:sz w:val="20"/>
                <w:szCs w:val="20"/>
                <w:color w:val="auto"/>
              </w:rPr>
            </w:pPr>
            <w:r>
              <w:rPr>
                <w:rFonts w:ascii="Arial" w:cs="Arial" w:eastAsia="Arial" w:hAnsi="Arial"/>
                <w:sz w:val="13"/>
                <w:szCs w:val="13"/>
                <w:b w:val="1"/>
                <w:bCs w:val="1"/>
                <w:color w:val="FFFFFF"/>
              </w:rPr>
              <w:t>Threshold</w:t>
            </w:r>
          </w:p>
        </w:tc>
        <w:tc>
          <w:tcPr>
            <w:tcW w:w="820" w:type="dxa"/>
            <w:vAlign w:val="bottom"/>
            <w:shd w:val="clear" w:color="auto" w:fill="005CB9"/>
          </w:tcPr>
          <w:p>
            <w:pPr>
              <w:jc w:val="right"/>
              <w:ind w:right="271"/>
              <w:spacing w:after="0" w:line="127" w:lineRule="exact"/>
              <w:rPr>
                <w:sz w:val="20"/>
                <w:szCs w:val="20"/>
                <w:color w:val="auto"/>
              </w:rPr>
            </w:pPr>
            <w:r>
              <w:rPr>
                <w:rFonts w:ascii="Arial" w:cs="Arial" w:eastAsia="Arial" w:hAnsi="Arial"/>
                <w:sz w:val="13"/>
                <w:szCs w:val="13"/>
                <w:b w:val="1"/>
                <w:bCs w:val="1"/>
                <w:color w:val="FFFFFF"/>
              </w:rPr>
              <w:t>Target</w:t>
            </w:r>
          </w:p>
        </w:tc>
        <w:tc>
          <w:tcPr>
            <w:tcW w:w="800" w:type="dxa"/>
            <w:vAlign w:val="bottom"/>
            <w:shd w:val="clear" w:color="auto" w:fill="005CB9"/>
          </w:tcPr>
          <w:p>
            <w:pPr>
              <w:jc w:val="right"/>
              <w:ind w:right="90"/>
              <w:spacing w:after="0" w:line="127" w:lineRule="exact"/>
              <w:rPr>
                <w:sz w:val="20"/>
                <w:szCs w:val="20"/>
                <w:color w:val="auto"/>
              </w:rPr>
            </w:pPr>
            <w:r>
              <w:rPr>
                <w:rFonts w:ascii="Arial" w:cs="Arial" w:eastAsia="Arial" w:hAnsi="Arial"/>
                <w:sz w:val="13"/>
                <w:szCs w:val="13"/>
                <w:b w:val="1"/>
                <w:bCs w:val="1"/>
                <w:color w:val="FFFFFF"/>
              </w:rPr>
              <w:t>Maximum</w:t>
            </w:r>
          </w:p>
        </w:tc>
        <w:tc>
          <w:tcPr>
            <w:tcW w:w="1100" w:type="dxa"/>
            <w:vAlign w:val="bottom"/>
            <w:shd w:val="clear" w:color="auto" w:fill="005CB9"/>
          </w:tcPr>
          <w:p>
            <w:pPr>
              <w:jc w:val="center"/>
              <w:ind w:left="32"/>
              <w:spacing w:after="0" w:line="127" w:lineRule="exact"/>
              <w:rPr>
                <w:sz w:val="20"/>
                <w:szCs w:val="20"/>
                <w:color w:val="auto"/>
              </w:rPr>
            </w:pPr>
            <w:r>
              <w:rPr>
                <w:rFonts w:ascii="Arial" w:cs="Arial" w:eastAsia="Arial" w:hAnsi="Arial"/>
                <w:sz w:val="13"/>
                <w:szCs w:val="13"/>
                <w:b w:val="1"/>
                <w:bCs w:val="1"/>
                <w:color w:val="FFFFFF"/>
                <w:w w:val="99"/>
              </w:rPr>
              <w:t>Units(2)</w:t>
            </w:r>
          </w:p>
        </w:tc>
        <w:tc>
          <w:tcPr>
            <w:tcW w:w="860" w:type="dxa"/>
            <w:vAlign w:val="bottom"/>
            <w:shd w:val="clear" w:color="auto" w:fill="005CB9"/>
          </w:tcPr>
          <w:p>
            <w:pPr>
              <w:jc w:val="center"/>
              <w:spacing w:after="0" w:line="127"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84"/>
        </w:trPr>
        <w:tc>
          <w:tcPr>
            <w:tcW w:w="1480" w:type="dxa"/>
            <w:vAlign w:val="bottom"/>
            <w:shd w:val="clear" w:color="auto" w:fill="005CB9"/>
          </w:tcPr>
          <w:p>
            <w:pPr>
              <w:ind w:left="40"/>
              <w:spacing w:after="0"/>
              <w:rPr>
                <w:sz w:val="20"/>
                <w:szCs w:val="20"/>
                <w:color w:val="auto"/>
              </w:rPr>
            </w:pPr>
            <w:r>
              <w:rPr>
                <w:rFonts w:ascii="Arial" w:cs="Arial" w:eastAsia="Arial" w:hAnsi="Arial"/>
                <w:sz w:val="13"/>
                <w:szCs w:val="13"/>
                <w:b w:val="1"/>
                <w:bCs w:val="1"/>
                <w:color w:val="FFFFFF"/>
              </w:rPr>
              <w:t>Name</w:t>
            </w:r>
          </w:p>
        </w:tc>
        <w:tc>
          <w:tcPr>
            <w:tcW w:w="800" w:type="dxa"/>
            <w:vAlign w:val="bottom"/>
            <w:shd w:val="clear" w:color="auto" w:fill="005CB9"/>
          </w:tcPr>
          <w:p>
            <w:pPr>
              <w:jc w:val="right"/>
              <w:ind w:right="190"/>
              <w:spacing w:after="0"/>
              <w:rPr>
                <w:sz w:val="20"/>
                <w:szCs w:val="20"/>
                <w:color w:val="auto"/>
              </w:rPr>
            </w:pPr>
            <w:r>
              <w:rPr>
                <w:rFonts w:ascii="Arial" w:cs="Arial" w:eastAsia="Arial" w:hAnsi="Arial"/>
                <w:sz w:val="13"/>
                <w:szCs w:val="13"/>
                <w:b w:val="1"/>
                <w:bCs w:val="1"/>
                <w:color w:val="FFFFFF"/>
              </w:rPr>
              <w:t>Date</w:t>
            </w:r>
          </w:p>
        </w:tc>
        <w:tc>
          <w:tcPr>
            <w:tcW w:w="820" w:type="dxa"/>
            <w:vAlign w:val="bottom"/>
            <w:shd w:val="clear" w:color="auto" w:fill="005CB9"/>
          </w:tcPr>
          <w:p>
            <w:pPr>
              <w:jc w:val="right"/>
              <w:ind w:right="230"/>
              <w:spacing w:after="0"/>
              <w:rPr>
                <w:sz w:val="20"/>
                <w:szCs w:val="20"/>
                <w:color w:val="auto"/>
              </w:rPr>
            </w:pPr>
            <w:r>
              <w:rPr>
                <w:rFonts w:ascii="Arial" w:cs="Arial" w:eastAsia="Arial" w:hAnsi="Arial"/>
                <w:sz w:val="13"/>
                <w:szCs w:val="13"/>
                <w:b w:val="1"/>
                <w:bCs w:val="1"/>
                <w:color w:val="FFFFFF"/>
              </w:rPr>
              <w:t>Date</w:t>
            </w:r>
          </w:p>
        </w:tc>
        <w:tc>
          <w:tcPr>
            <w:tcW w:w="800" w:type="dxa"/>
            <w:vAlign w:val="bottom"/>
            <w:shd w:val="clear" w:color="auto" w:fill="005CB9"/>
          </w:tcPr>
          <w:p>
            <w:pPr>
              <w:jc w:val="right"/>
              <w:ind w:right="251"/>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87"/>
              </w:rPr>
              <w:t>($)</w:t>
            </w:r>
          </w:p>
        </w:tc>
        <w:tc>
          <w:tcPr>
            <w:tcW w:w="820" w:type="dxa"/>
            <w:vAlign w:val="bottom"/>
            <w:shd w:val="clear" w:color="auto" w:fill="005CB9"/>
          </w:tcPr>
          <w:p>
            <w:pPr>
              <w:jc w:val="right"/>
              <w:ind w:right="290"/>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005CB9"/>
          </w:tcPr>
          <w:p>
            <w:pPr>
              <w:jc w:val="right"/>
              <w:ind w:right="291"/>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005CB9"/>
          </w:tcPr>
          <w:p>
            <w:pPr>
              <w:jc w:val="right"/>
              <w:ind w:right="371"/>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005CB9"/>
          </w:tcPr>
          <w:p>
            <w:pPr>
              <w:jc w:val="right"/>
              <w:ind w:right="230"/>
              <w:spacing w:after="0"/>
              <w:rPr>
                <w:sz w:val="20"/>
                <w:szCs w:val="20"/>
                <w:color w:val="auto"/>
              </w:rPr>
            </w:pPr>
            <w:r>
              <w:rPr>
                <w:rFonts w:ascii="Arial" w:cs="Arial" w:eastAsia="Arial" w:hAnsi="Arial"/>
                <w:sz w:val="13"/>
                <w:szCs w:val="13"/>
                <w:b w:val="1"/>
                <w:bCs w:val="1"/>
                <w:color w:val="FFFFFF"/>
              </w:rPr>
              <w:t>(#)(3)</w:t>
            </w:r>
          </w:p>
        </w:tc>
        <w:tc>
          <w:tcPr>
            <w:tcW w:w="1100" w:type="dxa"/>
            <w:vAlign w:val="bottom"/>
            <w:shd w:val="clear" w:color="auto" w:fill="005CB9"/>
          </w:tcPr>
          <w:p>
            <w:pPr>
              <w:jc w:val="right"/>
              <w:ind w:right="352"/>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005CB9"/>
          </w:tcPr>
          <w:p>
            <w:pPr>
              <w:jc w:val="center"/>
              <w:spacing w:after="0"/>
              <w:rPr>
                <w:sz w:val="20"/>
                <w:szCs w:val="20"/>
                <w:color w:val="auto"/>
              </w:rPr>
            </w:pPr>
            <w:r>
              <w:rPr>
                <w:rFonts w:ascii="Arial" w:cs="Arial" w:eastAsia="Arial" w:hAnsi="Arial"/>
                <w:sz w:val="13"/>
                <w:szCs w:val="13"/>
                <w:b w:val="1"/>
                <w:bCs w:val="1"/>
                <w:color w:val="FFFFFF"/>
                <w:w w:val="94"/>
              </w:rPr>
              <w:t>($)(4)</w:t>
            </w:r>
          </w:p>
        </w:tc>
        <w:tc>
          <w:tcPr>
            <w:tcW w:w="0" w:type="dxa"/>
            <w:vAlign w:val="bottom"/>
          </w:tcPr>
          <w:p>
            <w:pPr>
              <w:spacing w:after="0"/>
              <w:rPr>
                <w:sz w:val="1"/>
                <w:szCs w:val="1"/>
                <w:color w:val="auto"/>
              </w:rPr>
            </w:pPr>
          </w:p>
        </w:tc>
      </w:tr>
      <w:tr>
        <w:trPr>
          <w:trHeight w:val="217"/>
        </w:trPr>
        <w:tc>
          <w:tcPr>
            <w:tcW w:w="148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auto"/>
              </w:rPr>
              <w:t>Strauss Zelnick(5)</w:t>
            </w:r>
          </w:p>
        </w:tc>
        <w:tc>
          <w:tcPr>
            <w:tcW w:w="80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EAEAEA"/>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shd w:val="clear" w:color="auto" w:fill="EAEAEA"/>
          </w:tcPr>
          <w:p>
            <w:pPr>
              <w:jc w:val="right"/>
              <w:ind w:right="31"/>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ind w:right="3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ind w:right="271"/>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ind w:right="191"/>
              <w:spacing w:after="0"/>
              <w:rPr>
                <w:sz w:val="20"/>
                <w:szCs w:val="20"/>
                <w:color w:val="auto"/>
              </w:rPr>
            </w:pPr>
            <w:r>
              <w:rPr>
                <w:rFonts w:ascii="Arial" w:cs="Arial" w:eastAsia="Arial" w:hAnsi="Arial"/>
                <w:sz w:val="14"/>
                <w:szCs w:val="14"/>
                <w:color w:val="auto"/>
              </w:rPr>
              <w:t>—</w:t>
            </w:r>
          </w:p>
        </w:tc>
        <w:tc>
          <w:tcPr>
            <w:tcW w:w="800" w:type="dxa"/>
            <w:vAlign w:val="bottom"/>
            <w:shd w:val="clear" w:color="auto" w:fill="EAEAEA"/>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ind w:left="820"/>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AEA"/>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48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78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84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1100" w:type="dxa"/>
            <w:vAlign w:val="bottom"/>
            <w:shd w:val="clear" w:color="auto" w:fill="EAEAEA"/>
          </w:tcPr>
          <w:p>
            <w:pPr>
              <w:spacing w:after="0"/>
              <w:rPr>
                <w:sz w:val="5"/>
                <w:szCs w:val="5"/>
                <w:color w:val="auto"/>
              </w:rPr>
            </w:pPr>
          </w:p>
        </w:tc>
        <w:tc>
          <w:tcPr>
            <w:tcW w:w="86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Lainie Goldstein</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6/1/2019</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5/26/2019</w:t>
            </w:r>
          </w:p>
        </w:tc>
        <w:tc>
          <w:tcPr>
            <w:tcW w:w="8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91"/>
              <w:spacing w:after="0"/>
              <w:rPr>
                <w:sz w:val="20"/>
                <w:szCs w:val="20"/>
                <w:color w:val="auto"/>
              </w:rPr>
            </w:pPr>
            <w:r>
              <w:rPr>
                <w:rFonts w:ascii="Arial" w:cs="Arial" w:eastAsia="Arial" w:hAnsi="Arial"/>
                <w:sz w:val="14"/>
                <w:szCs w:val="14"/>
                <w:color w:val="auto"/>
              </w:rPr>
              <w:t>20,874</w:t>
            </w:r>
          </w:p>
        </w:tc>
        <w:tc>
          <w:tcPr>
            <w:tcW w:w="800" w:type="dxa"/>
            <w:vAlign w:val="bottom"/>
          </w:tcPr>
          <w:p>
            <w:pPr>
              <w:jc w:val="right"/>
              <w:ind w:right="130"/>
              <w:spacing w:after="0"/>
              <w:rPr>
                <w:sz w:val="20"/>
                <w:szCs w:val="20"/>
                <w:color w:val="auto"/>
              </w:rPr>
            </w:pPr>
            <w:r>
              <w:rPr>
                <w:rFonts w:ascii="Arial" w:cs="Arial" w:eastAsia="Arial" w:hAnsi="Arial"/>
                <w:sz w:val="14"/>
                <w:szCs w:val="14"/>
                <w:color w:val="auto"/>
              </w:rPr>
              <w:t>41,748</w:t>
            </w:r>
          </w:p>
        </w:tc>
        <w:tc>
          <w:tcPr>
            <w:tcW w:w="1100" w:type="dxa"/>
            <w:vAlign w:val="bottom"/>
          </w:tcPr>
          <w:p>
            <w:pPr>
              <w:ind w:left="8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3,781,534</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6/1/2019</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5/26/2019</w:t>
            </w:r>
          </w:p>
        </w:tc>
        <w:tc>
          <w:tcPr>
            <w:tcW w:w="8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2"/>
              <w:spacing w:after="0"/>
              <w:rPr>
                <w:sz w:val="20"/>
                <w:szCs w:val="20"/>
                <w:color w:val="auto"/>
              </w:rPr>
            </w:pPr>
            <w:r>
              <w:rPr>
                <w:rFonts w:ascii="Arial" w:cs="Arial" w:eastAsia="Arial" w:hAnsi="Arial"/>
                <w:sz w:val="14"/>
                <w:szCs w:val="14"/>
                <w:color w:val="auto"/>
              </w:rPr>
              <w:t>10,422</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1,127,139</w:t>
            </w:r>
          </w:p>
        </w:tc>
        <w:tc>
          <w:tcPr>
            <w:tcW w:w="0" w:type="dxa"/>
            <w:vAlign w:val="bottom"/>
          </w:tcPr>
          <w:p>
            <w:pPr>
              <w:spacing w:after="0"/>
              <w:rPr>
                <w:sz w:val="1"/>
                <w:szCs w:val="1"/>
                <w:color w:val="auto"/>
              </w:rPr>
            </w:pPr>
          </w:p>
        </w:tc>
      </w:tr>
      <w:tr>
        <w:trPr>
          <w:trHeight w:val="157"/>
        </w:trPr>
        <w:tc>
          <w:tcPr>
            <w:tcW w:w="1480" w:type="dxa"/>
            <w:vAlign w:val="bottom"/>
          </w:tcPr>
          <w:p>
            <w:pPr>
              <w:spacing w:after="0"/>
              <w:rPr>
                <w:sz w:val="13"/>
                <w:szCs w:val="13"/>
                <w:color w:val="auto"/>
              </w:rPr>
            </w:pPr>
          </w:p>
        </w:tc>
        <w:tc>
          <w:tcPr>
            <w:tcW w:w="800" w:type="dxa"/>
            <w:vAlign w:val="bottom"/>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31"/>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line="157" w:lineRule="exact"/>
              <w:rPr>
                <w:sz w:val="20"/>
                <w:szCs w:val="20"/>
                <w:color w:val="auto"/>
              </w:rPr>
            </w:pPr>
            <w:r>
              <w:rPr>
                <w:rFonts w:ascii="Arial" w:cs="Arial" w:eastAsia="Arial" w:hAnsi="Arial"/>
                <w:sz w:val="14"/>
                <w:szCs w:val="14"/>
                <w:color w:val="auto"/>
              </w:rPr>
              <w:t>850,000</w:t>
            </w:r>
          </w:p>
        </w:tc>
        <w:tc>
          <w:tcPr>
            <w:tcW w:w="820" w:type="dxa"/>
            <w:vAlign w:val="bottom"/>
          </w:tcPr>
          <w:p>
            <w:pPr>
              <w:jc w:val="right"/>
              <w:ind w:right="30"/>
              <w:spacing w:after="0" w:line="157" w:lineRule="exact"/>
              <w:rPr>
                <w:sz w:val="20"/>
                <w:szCs w:val="20"/>
                <w:color w:val="auto"/>
              </w:rPr>
            </w:pPr>
            <w:r>
              <w:rPr>
                <w:rFonts w:ascii="Arial" w:cs="Arial" w:eastAsia="Arial" w:hAnsi="Arial"/>
                <w:sz w:val="14"/>
                <w:szCs w:val="14"/>
                <w:color w:val="auto"/>
              </w:rPr>
              <w:t>1,700,000</w:t>
            </w:r>
          </w:p>
        </w:tc>
        <w:tc>
          <w:tcPr>
            <w:tcW w:w="840" w:type="dxa"/>
            <w:vAlign w:val="bottom"/>
          </w:tcPr>
          <w:p>
            <w:pPr>
              <w:jc w:val="right"/>
              <w:ind w:right="271"/>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91"/>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0"/>
              <w:spacing w:after="0" w:line="157" w:lineRule="exact"/>
              <w:rPr>
                <w:sz w:val="20"/>
                <w:szCs w:val="20"/>
                <w:color w:val="auto"/>
              </w:rPr>
            </w:pPr>
            <w:r>
              <w:rPr>
                <w:rFonts w:ascii="Arial" w:cs="Arial" w:eastAsia="Arial" w:hAnsi="Arial"/>
                <w:sz w:val="14"/>
                <w:szCs w:val="14"/>
                <w:color w:val="auto"/>
              </w:rPr>
              <w:t>—</w:t>
            </w:r>
          </w:p>
        </w:tc>
        <w:tc>
          <w:tcPr>
            <w:tcW w:w="1100" w:type="dxa"/>
            <w:vAlign w:val="bottom"/>
          </w:tcPr>
          <w:p>
            <w:pPr>
              <w:ind w:left="82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148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auto"/>
              </w:rPr>
              <w:t>Karl Slatoff(5)</w:t>
            </w:r>
          </w:p>
        </w:tc>
        <w:tc>
          <w:tcPr>
            <w:tcW w:w="80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EAEAEA"/>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shd w:val="clear" w:color="auto" w:fill="EAEAEA"/>
          </w:tcPr>
          <w:p>
            <w:pPr>
              <w:jc w:val="right"/>
              <w:ind w:right="31"/>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ind w:right="3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ind w:right="271"/>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ind w:right="191"/>
              <w:spacing w:after="0"/>
              <w:rPr>
                <w:sz w:val="20"/>
                <w:szCs w:val="20"/>
                <w:color w:val="auto"/>
              </w:rPr>
            </w:pPr>
            <w:r>
              <w:rPr>
                <w:rFonts w:ascii="Arial" w:cs="Arial" w:eastAsia="Arial" w:hAnsi="Arial"/>
                <w:sz w:val="14"/>
                <w:szCs w:val="14"/>
                <w:color w:val="auto"/>
              </w:rPr>
              <w:t>—</w:t>
            </w:r>
          </w:p>
        </w:tc>
        <w:tc>
          <w:tcPr>
            <w:tcW w:w="800" w:type="dxa"/>
            <w:vAlign w:val="bottom"/>
            <w:shd w:val="clear" w:color="auto" w:fill="EAEAEA"/>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ind w:left="820"/>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AEA"/>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48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78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84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1100" w:type="dxa"/>
            <w:vAlign w:val="bottom"/>
            <w:shd w:val="clear" w:color="auto" w:fill="EAEAEA"/>
          </w:tcPr>
          <w:p>
            <w:pPr>
              <w:spacing w:after="0"/>
              <w:rPr>
                <w:sz w:val="5"/>
                <w:szCs w:val="5"/>
                <w:color w:val="auto"/>
              </w:rPr>
            </w:pPr>
          </w:p>
        </w:tc>
        <w:tc>
          <w:tcPr>
            <w:tcW w:w="86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Daniel Emerson</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6/1/2019</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5/26/2019</w:t>
            </w:r>
          </w:p>
        </w:tc>
        <w:tc>
          <w:tcPr>
            <w:tcW w:w="8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91"/>
              <w:spacing w:after="0"/>
              <w:rPr>
                <w:sz w:val="20"/>
                <w:szCs w:val="20"/>
                <w:color w:val="auto"/>
              </w:rPr>
            </w:pPr>
            <w:r>
              <w:rPr>
                <w:rFonts w:ascii="Arial" w:cs="Arial" w:eastAsia="Arial" w:hAnsi="Arial"/>
                <w:sz w:val="14"/>
                <w:szCs w:val="14"/>
                <w:color w:val="auto"/>
              </w:rPr>
              <w:t>7,305</w:t>
            </w:r>
          </w:p>
        </w:tc>
        <w:tc>
          <w:tcPr>
            <w:tcW w:w="800" w:type="dxa"/>
            <w:vAlign w:val="bottom"/>
          </w:tcPr>
          <w:p>
            <w:pPr>
              <w:jc w:val="right"/>
              <w:ind w:right="130"/>
              <w:spacing w:after="0"/>
              <w:rPr>
                <w:sz w:val="20"/>
                <w:szCs w:val="20"/>
                <w:color w:val="auto"/>
              </w:rPr>
            </w:pPr>
            <w:r>
              <w:rPr>
                <w:rFonts w:ascii="Arial" w:cs="Arial" w:eastAsia="Arial" w:hAnsi="Arial"/>
                <w:sz w:val="14"/>
                <w:szCs w:val="14"/>
                <w:color w:val="auto"/>
              </w:rPr>
              <w:t>14,610</w:t>
            </w:r>
          </w:p>
        </w:tc>
        <w:tc>
          <w:tcPr>
            <w:tcW w:w="1100" w:type="dxa"/>
            <w:vAlign w:val="bottom"/>
          </w:tcPr>
          <w:p>
            <w:pPr>
              <w:ind w:left="8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1,323,374</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6/1/2019</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5/26/2019</w:t>
            </w:r>
          </w:p>
        </w:tc>
        <w:tc>
          <w:tcPr>
            <w:tcW w:w="8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32"/>
              <w:spacing w:after="0"/>
              <w:rPr>
                <w:sz w:val="20"/>
                <w:szCs w:val="20"/>
                <w:color w:val="auto"/>
              </w:rPr>
            </w:pPr>
            <w:r>
              <w:rPr>
                <w:rFonts w:ascii="Arial" w:cs="Arial" w:eastAsia="Arial" w:hAnsi="Arial"/>
                <w:sz w:val="14"/>
                <w:szCs w:val="14"/>
                <w:color w:val="auto"/>
              </w:rPr>
              <w:t>3,648</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394,531</w:t>
            </w:r>
          </w:p>
        </w:tc>
        <w:tc>
          <w:tcPr>
            <w:tcW w:w="0" w:type="dxa"/>
            <w:vAlign w:val="bottom"/>
          </w:tcPr>
          <w:p>
            <w:pPr>
              <w:spacing w:after="0"/>
              <w:rPr>
                <w:sz w:val="1"/>
                <w:szCs w:val="1"/>
                <w:color w:val="auto"/>
              </w:rPr>
            </w:pPr>
          </w:p>
        </w:tc>
      </w:tr>
      <w:tr>
        <w:trPr>
          <w:trHeight w:val="172"/>
        </w:trPr>
        <w:tc>
          <w:tcPr>
            <w:tcW w:w="148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378,000</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756,000</w:t>
            </w:r>
          </w:p>
        </w:tc>
        <w:tc>
          <w:tcPr>
            <w:tcW w:w="84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ind w:left="8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-1183640</wp:posOffset>
            </wp:positionV>
            <wp:extent cx="31800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91" w:lineRule="exact"/>
        <w:rPr>
          <w:sz w:val="20"/>
          <w:szCs w:val="20"/>
          <w:color w:val="auto"/>
        </w:rPr>
      </w:pPr>
    </w:p>
    <w:p>
      <w:pPr>
        <w:ind w:left="960" w:right="180" w:hanging="293"/>
        <w:spacing w:after="0" w:line="241" w:lineRule="auto"/>
        <w:tabs>
          <w:tab w:leader="none" w:pos="9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cash performance bonus opportunities ranging from 0% to 140% of base salary for Mr. Emerson and from 0% to 200% of base salary for Ms. Goldstein. There is no set minimum payout amount. See “Compensation Discussion and Analysis—Annual Cash Incentive.”</w:t>
      </w:r>
    </w:p>
    <w:p>
      <w:pPr>
        <w:ind w:left="960" w:right="20" w:hanging="293"/>
        <w:spacing w:after="0" w:line="241" w:lineRule="auto"/>
        <w:tabs>
          <w:tab w:leader="none" w:pos="9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Ms. Goldstein and Mr. Emerson, 66.7% of the RSUs vest in two (2) equal annual installments commencing in the second year following the year in which such grants were made on a date determined by the Compensation Committee at the time of grant, subject to the satisfaction of certain performance criteria based on the Company’s TSR performance measured against the NASDAQ Composite Index over a period of two (2) years. The remaining 33.3% of the RSUs vest in three (3) equal annual installments commencing in the year following the year in which such grants were made on a date determined by the Compensation Committee at the time of grant based on the NEO’s continued service with the Company.</w:t>
      </w:r>
    </w:p>
    <w:p>
      <w:pPr>
        <w:spacing w:after="0" w:line="1" w:lineRule="exact"/>
        <w:rPr>
          <w:rFonts w:ascii="Arial" w:cs="Arial" w:eastAsia="Arial" w:hAnsi="Arial"/>
          <w:sz w:val="14"/>
          <w:szCs w:val="14"/>
          <w:color w:val="auto"/>
        </w:rPr>
      </w:pPr>
    </w:p>
    <w:p>
      <w:pPr>
        <w:ind w:left="960" w:hanging="293"/>
        <w:spacing w:after="0"/>
        <w:tabs>
          <w:tab w:leader="none" w:pos="9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the maximum shares of performance-based RSUs. Such RSUs will vest, if at all, 50% on June 1, 2021 and 50% on June 1, 2022.</w:t>
      </w:r>
    </w:p>
    <w:p>
      <w:pPr>
        <w:spacing w:after="0" w:line="1" w:lineRule="exact"/>
        <w:rPr>
          <w:rFonts w:ascii="Arial" w:cs="Arial" w:eastAsia="Arial" w:hAnsi="Arial"/>
          <w:sz w:val="14"/>
          <w:szCs w:val="14"/>
          <w:color w:val="auto"/>
        </w:rPr>
      </w:pPr>
    </w:p>
    <w:p>
      <w:pPr>
        <w:ind w:left="960" w:right="40" w:hanging="293"/>
        <w:spacing w:after="0" w:line="241" w:lineRule="auto"/>
        <w:tabs>
          <w:tab w:leader="none" w:pos="9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These amounts are valued based on the aggregate grant date fair market value of the award. For additional information with respect to stock awards granted during fiscal 2020, see Note 17 under the heading “Stock-Based Compensation” of the Notes to Consolidated Financial Statements included in the Company’s Annual Report on Form 10-K for fiscal 2020. The grant date fair value of equity incentive plan awards that are subject to performance-based vesting conditions is based upon the probable outcome of such conditions. All amounts reflect the grant date fair value for these awards, excluding the accounting effect of any estimate of future service-based forfeitures, and do not necessarily correspond to the actual value that might be realized by the NEOs.</w:t>
      </w:r>
    </w:p>
    <w:p>
      <w:pPr>
        <w:spacing w:after="0" w:line="2" w:lineRule="exact"/>
        <w:rPr>
          <w:rFonts w:ascii="Arial" w:cs="Arial" w:eastAsia="Arial" w:hAnsi="Arial"/>
          <w:sz w:val="14"/>
          <w:szCs w:val="14"/>
          <w:color w:val="auto"/>
        </w:rPr>
      </w:pPr>
    </w:p>
    <w:p>
      <w:pPr>
        <w:ind w:left="960" w:right="560" w:hanging="293"/>
        <w:spacing w:after="0" w:line="249" w:lineRule="auto"/>
        <w:tabs>
          <w:tab w:leader="none" w:pos="9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Messrs. Zelnick and Slatoff have not received grants of restricted stock, RSUs or option awards. Messrs. Zelnick and Slatoff are partners in ZelnickMedia, to which the Company has previously granted restricted stock, RSUs and options pursuant to the Management Agreements. For information regarding the grants made to ZelnickMedia, see “Certain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270510</wp:posOffset>
            </wp:positionV>
            <wp:extent cx="291465" cy="274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48</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205740</wp:posOffset>
            </wp:positionV>
            <wp:extent cx="202311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023110" cy="137160"/>
                    </a:xfrm>
                    <a:prstGeom prst="rect">
                      <a:avLst/>
                    </a:prstGeom>
                    <a:noFill/>
                  </pic:spPr>
                </pic:pic>
              </a:graphicData>
            </a:graphic>
          </wp:anchor>
        </w:drawing>
      </w:r>
    </w:p>
    <w:p>
      <w:pPr>
        <w:spacing w:after="0" w:line="331"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XECUTIVE</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C</w:t>
      </w:r>
      <w:r>
        <w:rPr>
          <w:rFonts w:ascii="Arial" w:cs="Arial" w:eastAsia="Arial" w:hAnsi="Arial"/>
          <w:sz w:val="11"/>
          <w:szCs w:val="11"/>
          <w:b w:val="1"/>
          <w:bCs w:val="1"/>
          <w:color w:val="000000"/>
        </w:rPr>
        <w:t>OMPENSATION</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Narrative Disclosure Regarding Equity Plans and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2017 Stock Incentive Plan</w:t>
      </w:r>
    </w:p>
    <w:p>
      <w:pPr>
        <w:spacing w:after="0" w:line="117" w:lineRule="exact"/>
        <w:rPr>
          <w:sz w:val="20"/>
          <w:szCs w:val="20"/>
          <w:color w:val="auto"/>
        </w:rPr>
      </w:pPr>
    </w:p>
    <w:p>
      <w:pPr>
        <w:ind w:left="660" w:right="200"/>
        <w:spacing w:after="0" w:line="258" w:lineRule="auto"/>
        <w:rPr>
          <w:sz w:val="20"/>
          <w:szCs w:val="20"/>
          <w:color w:val="auto"/>
        </w:rPr>
      </w:pPr>
      <w:r>
        <w:rPr>
          <w:rFonts w:ascii="Arial" w:cs="Arial" w:eastAsia="Arial" w:hAnsi="Arial"/>
          <w:sz w:val="16"/>
          <w:szCs w:val="16"/>
          <w:color w:val="auto"/>
        </w:rPr>
        <w:t>The Take-Two Interactive Software, Inc. 2017 Stock Incentive Plan (the “</w:t>
      </w:r>
      <w:r>
        <w:rPr>
          <w:rFonts w:ascii="Arial" w:cs="Arial" w:eastAsia="Arial" w:hAnsi="Arial"/>
          <w:sz w:val="16"/>
          <w:szCs w:val="16"/>
          <w:i w:val="1"/>
          <w:iCs w:val="1"/>
          <w:color w:val="auto"/>
        </w:rPr>
        <w:t>2017 Plan</w:t>
      </w:r>
      <w:r>
        <w:rPr>
          <w:rFonts w:ascii="Arial" w:cs="Arial" w:eastAsia="Arial" w:hAnsi="Arial"/>
          <w:sz w:val="16"/>
          <w:szCs w:val="16"/>
          <w:color w:val="auto"/>
        </w:rPr>
        <w:t>”) was approved by shareholders on September 15, 2017. Under the 2017 Plan, the Company may grant stock-based incentive compensation awards to eligible employees (including officers), non-employee directors and consultants in the form of stock options, stock appreciation rights, restricted stock, restricted stock units and other stock-based awards.</w:t>
      </w:r>
    </w:p>
    <w:p>
      <w:pPr>
        <w:spacing w:after="0" w:line="197" w:lineRule="exact"/>
        <w:rPr>
          <w:sz w:val="20"/>
          <w:szCs w:val="20"/>
          <w:color w:val="auto"/>
        </w:rPr>
      </w:pPr>
    </w:p>
    <w:p>
      <w:pPr>
        <w:ind w:left="660" w:right="20"/>
        <w:spacing w:after="0" w:line="253" w:lineRule="auto"/>
        <w:rPr>
          <w:sz w:val="20"/>
          <w:szCs w:val="20"/>
          <w:color w:val="auto"/>
        </w:rPr>
      </w:pPr>
      <w:r>
        <w:rPr>
          <w:rFonts w:ascii="Arial" w:cs="Arial" w:eastAsia="Arial" w:hAnsi="Arial"/>
          <w:sz w:val="16"/>
          <w:szCs w:val="16"/>
          <w:color w:val="auto"/>
        </w:rPr>
        <w:t>The 2017 Plan replaced the 2009 Plan, which terminated effective upon shareholder approval of the 2017 Plan. From and after the date of such shareholder approval, no additional awards will be made under the 2009 Plan. However, any awards granted pursuant to the 2009 Plan prior to the approval and adoption of the 2017 Plan shall continue to be governed by the 2009 Plan.</w:t>
      </w:r>
    </w:p>
    <w:p>
      <w:pPr>
        <w:spacing w:after="0" w:line="201" w:lineRule="exact"/>
        <w:rPr>
          <w:sz w:val="20"/>
          <w:szCs w:val="20"/>
          <w:color w:val="auto"/>
        </w:rPr>
      </w:pPr>
    </w:p>
    <w:p>
      <w:pPr>
        <w:ind w:left="660" w:right="60"/>
        <w:spacing w:after="0" w:line="248" w:lineRule="auto"/>
        <w:rPr>
          <w:sz w:val="20"/>
          <w:szCs w:val="20"/>
          <w:color w:val="auto"/>
        </w:rPr>
      </w:pPr>
      <w:r>
        <w:rPr>
          <w:rFonts w:ascii="Arial" w:cs="Arial" w:eastAsia="Arial" w:hAnsi="Arial"/>
          <w:sz w:val="16"/>
          <w:szCs w:val="16"/>
          <w:color w:val="auto"/>
        </w:rPr>
        <w:t>Under the 2017 Plan, as of September 15, 2017, the date the Company’s shareholders approved the 2017 Plan, the Company was authorized to issue up to 7,603,745 shares of common stock. In addition, the number of shares of common stock available for issuance under the 2017 Plan are subject to increase by any shares of common stock subject to an award outstanding under the 2009 Plan after September 15, 2017 that become eligible for reuse pursuant to the share recycling provisions of the 2017 Plan. Stock-based awards assumed or substituted by the Company or its affiliates as part of a corporate transaction (including from an entity that the Company merges with or into, acquires, or engages with in a similar corporate transaction) will not count against the number of shares of common stock reserved and available for issuance pursuant to the 2017 Plan (except as may be required by Section 422 of the Code). In addition, shares of common stock will not be deemed to have been issued pursuant to the 2017 Plan with respect to any portion of an award that is settled in cash.</w:t>
      </w:r>
    </w:p>
    <w:p>
      <w:pPr>
        <w:spacing w:after="0" w:line="206" w:lineRule="exact"/>
        <w:rPr>
          <w:sz w:val="20"/>
          <w:szCs w:val="20"/>
          <w:color w:val="auto"/>
        </w:rPr>
      </w:pPr>
    </w:p>
    <w:p>
      <w:pPr>
        <w:ind w:left="660" w:right="140"/>
        <w:spacing w:after="0" w:line="249" w:lineRule="auto"/>
        <w:rPr>
          <w:sz w:val="20"/>
          <w:szCs w:val="20"/>
          <w:color w:val="auto"/>
        </w:rPr>
      </w:pPr>
      <w:r>
        <w:rPr>
          <w:rFonts w:ascii="Arial" w:cs="Arial" w:eastAsia="Arial" w:hAnsi="Arial"/>
          <w:sz w:val="16"/>
          <w:szCs w:val="16"/>
          <w:color w:val="auto"/>
        </w:rPr>
        <w:t>On July 21, 2020, the Board of Directors approved and adopted the Amended and Restated Take-Two Interactive Software, Inc. 2017 Stock Incentive Plan. If the Amended and Restated Take-Two Interactive Software, Inc. 2017 Stock Incentive Plan is approved by the shareholders, the number of shares that may be issued to participants in connection with awards granted will be increased by 2,000,000, which would be added to the 4,744,253 shares available for issuance under the 2017 Stock Incentive Plan as of June 30, 2020. For a more detailed description of the Amended and Restated Take-Two Interactive Software, Inc. 2017 Stock Incentive Plan, see Proposal 3 (“Approval of the Amended and Restated 2017 Stock Incentive Plan”) of this Proxy Statement.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2017 Global Employee Stock Purchase Plan</w:t>
      </w:r>
    </w:p>
    <w:p>
      <w:pPr>
        <w:spacing w:after="0" w:line="117"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Take-Two Interactive Software, Inc. Second Amended and Restated 2017 Global Employee Stock Purchase Plan (the “</w:t>
      </w:r>
      <w:r>
        <w:rPr>
          <w:rFonts w:ascii="Arial" w:cs="Arial" w:eastAsia="Arial" w:hAnsi="Arial"/>
          <w:sz w:val="16"/>
          <w:szCs w:val="16"/>
          <w:i w:val="1"/>
          <w:iCs w:val="1"/>
          <w:color w:val="auto"/>
        </w:rPr>
        <w:t>2017 Global</w:t>
      </w:r>
      <w:r>
        <w:rPr>
          <w:rFonts w:ascii="Arial" w:cs="Arial" w:eastAsia="Arial" w:hAnsi="Arial"/>
          <w:sz w:val="16"/>
          <w:szCs w:val="16"/>
          <w:color w:val="auto"/>
        </w:rPr>
        <w:t xml:space="preserve"> </w:t>
      </w:r>
      <w:r>
        <w:rPr>
          <w:rFonts w:ascii="Arial" w:cs="Arial" w:eastAsia="Arial" w:hAnsi="Arial"/>
          <w:sz w:val="16"/>
          <w:szCs w:val="16"/>
          <w:i w:val="1"/>
          <w:iCs w:val="1"/>
          <w:color w:val="auto"/>
        </w:rPr>
        <w:t>ESPP</w:t>
      </w:r>
      <w:r>
        <w:rPr>
          <w:rFonts w:ascii="Arial" w:cs="Arial" w:eastAsia="Arial" w:hAnsi="Arial"/>
          <w:sz w:val="16"/>
          <w:szCs w:val="16"/>
          <w:color w:val="auto"/>
        </w:rPr>
        <w:t>”) was approved by shareholders on September 15, 2017. The 2017 Global ESPP allows the Company to provide its employees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of certain designated subsidiaries and affiliates an opportunity to obtain a proprietary interest in the continued growth and prosperity of the Company through ownership of its shares of common stock. For employees of participating affiliates in countries outside of the United States, the 2017 Global ESPP will be effectuated via separate offerings under one or more sub-plans of the 2017 Global ESPP in order to achieve tax, employment, securities law or other purposes and objectives, and to conform the terms of the sub-plans with the laws and requirements of such countries. Subject to adjustment for certain changes in recapitalization or reorganization, the maximum aggregate number of the Company’s shares of common stock that may be issued under the 2017 Global ESPP is 9,000,000 shares. The 2017 Global ESPP became effective as of the first available offering date, which was on May 1, 2018.</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Employment Agreements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Lainie Goldstein</w:t>
      </w:r>
    </w:p>
    <w:p>
      <w:pPr>
        <w:spacing w:after="0" w:line="129" w:lineRule="exact"/>
        <w:rPr>
          <w:sz w:val="20"/>
          <w:szCs w:val="20"/>
          <w:color w:val="auto"/>
        </w:rPr>
      </w:pPr>
    </w:p>
    <w:p>
      <w:pPr>
        <w:ind w:left="660" w:right="200"/>
        <w:spacing w:after="0" w:line="260" w:lineRule="auto"/>
        <w:rPr>
          <w:sz w:val="20"/>
          <w:szCs w:val="20"/>
          <w:color w:val="auto"/>
        </w:rPr>
      </w:pPr>
      <w:r>
        <w:rPr>
          <w:rFonts w:ascii="Arial" w:cs="Arial" w:eastAsia="Arial" w:hAnsi="Arial"/>
          <w:sz w:val="16"/>
          <w:szCs w:val="16"/>
          <w:color w:val="auto"/>
        </w:rPr>
        <w:t>Ms. Goldstein serves as Chief Financial Officer pursuant to an employment agreement between the Company and Ms. Goldstein, dated May 12, 2010, as amended on October 25, 2010, August 27, 2012 and 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268605</wp:posOffset>
            </wp:positionV>
            <wp:extent cx="291465" cy="274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bl>
    <w:p>
      <w:pPr>
        <w:sectPr>
          <w:pgSz w:w="11900" w:h="16838" w:orient="portrait"/>
          <w:cols w:equalWidth="0" w:num="1">
            <w:col w:w="10580"/>
          </w:cols>
          <w:pgMar w:left="320" w:top="459" w:right="9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962785"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62785" cy="137160"/>
                    </a:xfrm>
                    <a:prstGeom prst="rect">
                      <a:avLst/>
                    </a:prstGeom>
                    <a:noFill/>
                  </pic:spPr>
                </pic:pic>
              </a:graphicData>
            </a:graphic>
          </wp:anchor>
        </w:drawing>
      </w:r>
    </w:p>
    <w:p>
      <w:pPr>
        <w:spacing w:after="0" w:line="33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XECUTIVE</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C</w:t>
      </w:r>
      <w:r>
        <w:rPr>
          <w:rFonts w:ascii="Arial" w:cs="Arial" w:eastAsia="Arial" w:hAnsi="Arial"/>
          <w:sz w:val="11"/>
          <w:szCs w:val="11"/>
          <w:b w:val="1"/>
          <w:bCs w:val="1"/>
          <w:color w:val="000000"/>
        </w:rPr>
        <w:t>OMPENSATION</w:t>
      </w:r>
    </w:p>
    <w:p>
      <w:pPr>
        <w:spacing w:after="0" w:line="200" w:lineRule="exact"/>
        <w:rPr>
          <w:sz w:val="20"/>
          <w:szCs w:val="20"/>
          <w:color w:val="auto"/>
        </w:rPr>
      </w:pPr>
    </w:p>
    <w:p>
      <w:pPr>
        <w:spacing w:after="0" w:line="248" w:lineRule="exact"/>
        <w:rPr>
          <w:sz w:val="20"/>
          <w:szCs w:val="20"/>
          <w:color w:val="auto"/>
        </w:rPr>
      </w:pPr>
    </w:p>
    <w:p>
      <w:pPr>
        <w:jc w:val="both"/>
        <w:ind w:left="660" w:right="280"/>
        <w:spacing w:after="0" w:line="253" w:lineRule="auto"/>
        <w:rPr>
          <w:sz w:val="20"/>
          <w:szCs w:val="20"/>
          <w:color w:val="auto"/>
        </w:rPr>
      </w:pPr>
      <w:r>
        <w:rPr>
          <w:rFonts w:ascii="Arial" w:cs="Arial" w:eastAsia="Arial" w:hAnsi="Arial"/>
          <w:sz w:val="16"/>
          <w:szCs w:val="16"/>
          <w:color w:val="auto"/>
        </w:rPr>
        <w:t>Pursuant to the employment agreement, Ms. Goldstein will continue to serve as Chief Financial Officer of the Company until March 31, 2023, and thereafter for successive one-year periods until either party elects not to renew the term of the agreement (each, a “</w:t>
      </w:r>
      <w:r>
        <w:rPr>
          <w:rFonts w:ascii="Arial" w:cs="Arial" w:eastAsia="Arial" w:hAnsi="Arial"/>
          <w:sz w:val="16"/>
          <w:szCs w:val="16"/>
          <w:i w:val="1"/>
          <w:iCs w:val="1"/>
          <w:color w:val="auto"/>
        </w:rPr>
        <w:t>renewal</w:t>
      </w:r>
      <w:r>
        <w:rPr>
          <w:rFonts w:ascii="Arial" w:cs="Arial" w:eastAsia="Arial" w:hAnsi="Arial"/>
          <w:sz w:val="16"/>
          <w:szCs w:val="16"/>
          <w:color w:val="auto"/>
        </w:rPr>
        <w:t xml:space="preserve"> </w:t>
      </w:r>
      <w:r>
        <w:rPr>
          <w:rFonts w:ascii="Arial" w:cs="Arial" w:eastAsia="Arial" w:hAnsi="Arial"/>
          <w:sz w:val="16"/>
          <w:szCs w:val="16"/>
          <w:i w:val="1"/>
          <w:iCs w:val="1"/>
          <w:color w:val="auto"/>
        </w:rPr>
        <w:t>term</w:t>
      </w:r>
      <w:r>
        <w:rPr>
          <w:rFonts w:ascii="Arial" w:cs="Arial" w:eastAsia="Arial" w:hAnsi="Arial"/>
          <w:sz w:val="16"/>
          <w:szCs w:val="16"/>
          <w:color w:val="auto"/>
        </w:rPr>
        <w:t>”).</w:t>
      </w:r>
    </w:p>
    <w:p>
      <w:pPr>
        <w:spacing w:after="0" w:line="201"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On May 17, 2018, the Company entered into a third amendment to its employment agreement with Ms. Goldstein to extend the term of the agreement through March 31, 2023. In connection with this amendment, effective as of April 1, 2018, Ms. Goldstein’s base salary was increased to $850,000 with no automatic, annual cost of living increases, but subject to increase from time to time, as determined by the Company. On May 26, 2020, the Compensation Committee determined that the fiscal 2021 base salary for Ms. Goldstein would remain at its fiscal 2020 level, based on peer benchmarking. Ms. Goldstein will also be eligible to receive an annual bonus during each fiscal year of her employment at target in the amount of 100% of her base salary, based on the achievement of certain financial targets by the Company, as set forth in the employment agreement. Additionally, Ms. Goldstein is eligible to participate in the Company’s long-term incentive compensation program.</w:t>
      </w:r>
    </w:p>
    <w:p>
      <w:pPr>
        <w:spacing w:after="0" w:line="207" w:lineRule="exact"/>
        <w:rPr>
          <w:sz w:val="20"/>
          <w:szCs w:val="20"/>
          <w:color w:val="auto"/>
        </w:rPr>
      </w:pPr>
    </w:p>
    <w:p>
      <w:pPr>
        <w:jc w:val="both"/>
        <w:ind w:left="660" w:right="60"/>
        <w:spacing w:after="0" w:line="253" w:lineRule="auto"/>
        <w:rPr>
          <w:sz w:val="20"/>
          <w:szCs w:val="20"/>
          <w:color w:val="auto"/>
        </w:rPr>
      </w:pPr>
      <w:r>
        <w:rPr>
          <w:rFonts w:ascii="Arial" w:cs="Arial" w:eastAsia="Arial" w:hAnsi="Arial"/>
          <w:sz w:val="16"/>
          <w:szCs w:val="16"/>
          <w:color w:val="auto"/>
        </w:rPr>
        <w:t>The employment agreement also provides for severance benefits upon termination by the Company without cause or a change in control. For more information regarding these severance and change in control benefits, please refer to “Potential Payments Upon Termination or Change in Control” below.</w:t>
      </w:r>
    </w:p>
    <w:p>
      <w:pPr>
        <w:spacing w:after="0" w:line="201" w:lineRule="exact"/>
        <w:rPr>
          <w:sz w:val="20"/>
          <w:szCs w:val="20"/>
          <w:color w:val="auto"/>
        </w:rPr>
      </w:pPr>
    </w:p>
    <w:p>
      <w:pPr>
        <w:ind w:left="660" w:right="520"/>
        <w:spacing w:after="0" w:line="260" w:lineRule="auto"/>
        <w:rPr>
          <w:sz w:val="20"/>
          <w:szCs w:val="20"/>
          <w:color w:val="auto"/>
        </w:rPr>
      </w:pPr>
      <w:r>
        <w:rPr>
          <w:rFonts w:ascii="Arial" w:cs="Arial" w:eastAsia="Arial" w:hAnsi="Arial"/>
          <w:sz w:val="16"/>
          <w:szCs w:val="16"/>
          <w:color w:val="auto"/>
        </w:rPr>
        <w:t>Ms. Goldstein has agreed not to compete with the Company or solicit any of the Company’s customers or personnel during her employment and for one year following any termination of her employment, all on the terms set forth in the employment agreement.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Karl Slatoff</w:t>
      </w:r>
    </w:p>
    <w:p>
      <w:pPr>
        <w:spacing w:after="0" w:line="129"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On February 14, 2008, the Company entered into an employment agreement with Mr. Slatoff, pursuant to which Mr. Slatoff initially served as Executive Vice President. Effective October 25, 2010, Mr. Slatoff was named to the role of Chief Operating Officer. Effective May 1, 2013, Mr. Slatoff was appointed to the newly created role of President. Pursuant to the agreement, Mr. Slatoff will continue to serve as President until termination of the 2017 Management Agreement, unless earlier terminated upon his death or resignation, or by the Board of Directors for any reason. Pursuant to the terms of the employment agreement, Mr. Slatoff receives an annual salary of $1.00. Additionally, Mr. Slatoff is eligible to participate in all benefits and plans which the Company may institute from time to time for its executive officers and employees (other than the 401(k) savings plan). The employment agreement with Mr. Slatoff provides that he is not entitled to receive an annual bonus from the Company. The employment agreement does not provide for any continued obligations of the Company following a termination of Mr. Slatoff’s employment other than continued indemnification rights and coverage under the Company’s directors’ and officers’ liability insurance policies.</w:t>
      </w:r>
    </w:p>
    <w:p>
      <w:pPr>
        <w:spacing w:after="0" w:line="205" w:lineRule="exact"/>
        <w:rPr>
          <w:sz w:val="20"/>
          <w:szCs w:val="20"/>
          <w:color w:val="auto"/>
        </w:rPr>
      </w:pPr>
    </w:p>
    <w:p>
      <w:pPr>
        <w:ind w:left="660" w:right="200"/>
        <w:spacing w:after="0" w:line="253" w:lineRule="auto"/>
        <w:rPr>
          <w:sz w:val="20"/>
          <w:szCs w:val="20"/>
          <w:color w:val="auto"/>
        </w:rPr>
      </w:pPr>
      <w:r>
        <w:rPr>
          <w:rFonts w:ascii="Arial" w:cs="Arial" w:eastAsia="Arial" w:hAnsi="Arial"/>
          <w:sz w:val="16"/>
          <w:szCs w:val="16"/>
          <w:color w:val="auto"/>
        </w:rPr>
        <w:t>Mr. Slatoff has agreed not to compete with the Company, nor to solicit any of the Company’s customers or personnel during his employment and for one year following his termination for “cause” or without “good reason,” all on the terms set forth in the employment agreement.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Daniel Emerson</w:t>
      </w:r>
    </w:p>
    <w:p>
      <w:pPr>
        <w:spacing w:after="0" w:line="129" w:lineRule="exact"/>
        <w:rPr>
          <w:sz w:val="20"/>
          <w:szCs w:val="20"/>
          <w:color w:val="auto"/>
        </w:rPr>
      </w:pPr>
    </w:p>
    <w:p>
      <w:pPr>
        <w:ind w:left="660" w:right="220"/>
        <w:spacing w:after="0" w:line="251" w:lineRule="auto"/>
        <w:rPr>
          <w:sz w:val="20"/>
          <w:szCs w:val="20"/>
          <w:color w:val="auto"/>
        </w:rPr>
      </w:pPr>
      <w:r>
        <w:rPr>
          <w:rFonts w:ascii="Arial" w:cs="Arial" w:eastAsia="Arial" w:hAnsi="Arial"/>
          <w:sz w:val="16"/>
          <w:szCs w:val="16"/>
          <w:color w:val="auto"/>
        </w:rPr>
        <w:t>Mr. Emerson serves as Executive Vice President and Chief Legal Officer pursuant to an employment agreement between the Company and Mr. Emerson, dated January 28, 2015, effective as of October 24, 2014. Pursuant to the employment agreement, Mr. Emerson will continue to serve in this capacity until his employment is terminated by him or the Company in accordance with the provisions of the employment agreement.</w:t>
      </w:r>
    </w:p>
    <w:p>
      <w:pPr>
        <w:spacing w:after="0" w:line="202"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Pursuant to the terms of the employment agreement, Mr. Emerson received an annual base salary of $540,000 for fiscal 2020, based in part on peer benchmarking. On May 26, 2020, the Compensation Committee approved an increase to Mr. Emerson’s base salary for fiscal 2021, effective April 1, 2020, to $625,000 based, in part, on peer benchmarking, as well as Mr. Emerson’s strong individual performance and value to the organization as a key senior leader. Mr. Emerson will also be eligible to receive an annual bonus during each fiscal year of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273050</wp:posOffset>
            </wp:positionV>
            <wp:extent cx="291465" cy="274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50</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60"/>
          </w:cols>
          <w:pgMar w:left="320" w:top="459" w:right="10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205740</wp:posOffset>
            </wp:positionV>
            <wp:extent cx="202311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23110" cy="137160"/>
                    </a:xfrm>
                    <a:prstGeom prst="rect">
                      <a:avLst/>
                    </a:prstGeom>
                    <a:noFill/>
                  </pic:spPr>
                </pic:pic>
              </a:graphicData>
            </a:graphic>
          </wp:anchor>
        </w:drawing>
      </w:r>
    </w:p>
    <w:p>
      <w:pPr>
        <w:spacing w:after="0" w:line="331"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XECUTIVE</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C</w:t>
      </w:r>
      <w:r>
        <w:rPr>
          <w:rFonts w:ascii="Arial" w:cs="Arial" w:eastAsia="Arial" w:hAnsi="Arial"/>
          <w:sz w:val="11"/>
          <w:szCs w:val="11"/>
          <w:b w:val="1"/>
          <w:bCs w:val="1"/>
          <w:color w:val="000000"/>
        </w:rPr>
        <w:t>OMPENSATION</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employment at target in the amount of 70% of his base salary, based on the achievement of certain financial targets by the Company.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Additionally, Mr. Emerson is eligible to participate in the Company’s long-term incentive compensation program.</w:t>
      </w:r>
    </w:p>
    <w:p>
      <w:pPr>
        <w:spacing w:after="0" w:line="221"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6"/>
          <w:szCs w:val="16"/>
          <w:color w:val="auto"/>
        </w:rPr>
        <w:t>The employment agreement also provides for severance benefits upon termination by the Company without cause or a change in control. For more information regarding these severance and change in control benefits, please refer to “Potential Payments Upon Termination or Change in Control” below.</w:t>
      </w:r>
    </w:p>
    <w:p>
      <w:pPr>
        <w:spacing w:after="0" w:line="201" w:lineRule="exact"/>
        <w:rPr>
          <w:sz w:val="20"/>
          <w:szCs w:val="20"/>
          <w:color w:val="auto"/>
        </w:rPr>
      </w:pPr>
    </w:p>
    <w:p>
      <w:pPr>
        <w:ind w:left="660" w:right="20"/>
        <w:spacing w:after="0" w:line="260" w:lineRule="auto"/>
        <w:rPr>
          <w:sz w:val="20"/>
          <w:szCs w:val="20"/>
          <w:color w:val="auto"/>
        </w:rPr>
      </w:pPr>
      <w:r>
        <w:rPr>
          <w:rFonts w:ascii="Arial" w:cs="Arial" w:eastAsia="Arial" w:hAnsi="Arial"/>
          <w:sz w:val="16"/>
          <w:szCs w:val="16"/>
          <w:color w:val="auto"/>
        </w:rPr>
        <w:t>Mr. Emerson has agreed not to solicit any of the Company’s customers or personnel during his employment and for one year following any termination of his employment, all on the terms set forth in the employment agreement.</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concerning RSUs outstanding for each of the NEOs as of March 31, 2020:</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5420" w:type="dxa"/>
            <w:vAlign w:val="bottom"/>
            <w:shd w:val="clear" w:color="auto" w:fill="005CB9"/>
          </w:tcPr>
          <w:p>
            <w:pPr>
              <w:spacing w:after="0"/>
              <w:rPr>
                <w:sz w:val="17"/>
                <w:szCs w:val="17"/>
                <w:color w:val="auto"/>
              </w:rPr>
            </w:pPr>
          </w:p>
        </w:tc>
        <w:tc>
          <w:tcPr>
            <w:tcW w:w="920" w:type="dxa"/>
            <w:vAlign w:val="bottom"/>
            <w:shd w:val="clear" w:color="auto" w:fill="005CB9"/>
          </w:tcPr>
          <w:p>
            <w:pPr>
              <w:spacing w:after="0"/>
              <w:rPr>
                <w:sz w:val="17"/>
                <w:szCs w:val="17"/>
                <w:color w:val="auto"/>
              </w:rPr>
            </w:pPr>
          </w:p>
        </w:tc>
        <w:tc>
          <w:tcPr>
            <w:tcW w:w="840" w:type="dxa"/>
            <w:vAlign w:val="bottom"/>
            <w:shd w:val="clear" w:color="auto" w:fill="005CB9"/>
          </w:tcPr>
          <w:p>
            <w:pPr>
              <w:spacing w:after="0"/>
              <w:rPr>
                <w:sz w:val="17"/>
                <w:szCs w:val="17"/>
                <w:color w:val="auto"/>
              </w:rPr>
            </w:pPr>
          </w:p>
        </w:tc>
        <w:tc>
          <w:tcPr>
            <w:tcW w:w="1040" w:type="dxa"/>
            <w:vAlign w:val="bottom"/>
            <w:shd w:val="clear" w:color="auto" w:fill="005CB9"/>
          </w:tcPr>
          <w:p>
            <w:pPr>
              <w:jc w:val="right"/>
              <w:spacing w:after="0"/>
              <w:rPr>
                <w:sz w:val="20"/>
                <w:szCs w:val="20"/>
                <w:color w:val="auto"/>
              </w:rPr>
            </w:pPr>
            <w:r>
              <w:rPr>
                <w:rFonts w:ascii="Arial" w:cs="Arial" w:eastAsia="Arial" w:hAnsi="Arial"/>
                <w:sz w:val="14"/>
                <w:szCs w:val="14"/>
                <w:b w:val="1"/>
                <w:bCs w:val="1"/>
                <w:color w:val="FFFFFF"/>
              </w:rPr>
              <w:t>Stock Awards</w:t>
            </w:r>
          </w:p>
        </w:tc>
        <w:tc>
          <w:tcPr>
            <w:tcW w:w="860" w:type="dxa"/>
            <w:vAlign w:val="bottom"/>
            <w:shd w:val="clear" w:color="auto" w:fill="005CB9"/>
          </w:tcPr>
          <w:p>
            <w:pPr>
              <w:spacing w:after="0"/>
              <w:rPr>
                <w:sz w:val="17"/>
                <w:szCs w:val="17"/>
                <w:color w:val="auto"/>
              </w:rPr>
            </w:pPr>
          </w:p>
        </w:tc>
        <w:tc>
          <w:tcPr>
            <w:tcW w:w="840" w:type="dxa"/>
            <w:vAlign w:val="bottom"/>
            <w:vMerge w:val="restart"/>
            <w:shd w:val="clear" w:color="auto" w:fill="005CB9"/>
          </w:tcPr>
          <w:p>
            <w:pPr>
              <w:jc w:val="center"/>
              <w:ind w:left="8"/>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49"/>
        </w:trPr>
        <w:tc>
          <w:tcPr>
            <w:tcW w:w="5420" w:type="dxa"/>
            <w:vAlign w:val="bottom"/>
            <w:shd w:val="clear" w:color="auto" w:fill="005CB9"/>
          </w:tcPr>
          <w:p>
            <w:pPr>
              <w:spacing w:after="0"/>
              <w:rPr>
                <w:sz w:val="12"/>
                <w:szCs w:val="12"/>
                <w:color w:val="auto"/>
              </w:rPr>
            </w:pPr>
          </w:p>
        </w:tc>
        <w:tc>
          <w:tcPr>
            <w:tcW w:w="920" w:type="dxa"/>
            <w:vAlign w:val="bottom"/>
            <w:shd w:val="clear" w:color="auto" w:fill="005CB9"/>
          </w:tcPr>
          <w:p>
            <w:pPr>
              <w:spacing w:after="0"/>
              <w:rPr>
                <w:sz w:val="12"/>
                <w:szCs w:val="12"/>
                <w:color w:val="auto"/>
              </w:rPr>
            </w:pPr>
          </w:p>
        </w:tc>
        <w:tc>
          <w:tcPr>
            <w:tcW w:w="840" w:type="dxa"/>
            <w:vAlign w:val="bottom"/>
            <w:shd w:val="clear" w:color="auto" w:fill="005CB9"/>
          </w:tcPr>
          <w:p>
            <w:pPr>
              <w:spacing w:after="0"/>
              <w:rPr>
                <w:sz w:val="12"/>
                <w:szCs w:val="12"/>
                <w:color w:val="auto"/>
              </w:rPr>
            </w:pPr>
          </w:p>
        </w:tc>
        <w:tc>
          <w:tcPr>
            <w:tcW w:w="1040" w:type="dxa"/>
            <w:vAlign w:val="bottom"/>
            <w:shd w:val="clear" w:color="auto" w:fill="005CB9"/>
          </w:tcPr>
          <w:p>
            <w:pPr>
              <w:spacing w:after="0"/>
              <w:rPr>
                <w:sz w:val="12"/>
                <w:szCs w:val="12"/>
                <w:color w:val="auto"/>
              </w:rPr>
            </w:pPr>
          </w:p>
        </w:tc>
        <w:tc>
          <w:tcPr>
            <w:tcW w:w="860" w:type="dxa"/>
            <w:vAlign w:val="bottom"/>
            <w:shd w:val="clear" w:color="auto" w:fill="005CB9"/>
          </w:tcPr>
          <w:p>
            <w:pPr>
              <w:spacing w:after="0"/>
              <w:rPr>
                <w:sz w:val="12"/>
                <w:szCs w:val="12"/>
                <w:color w:val="auto"/>
              </w:rPr>
            </w:pPr>
          </w:p>
        </w:tc>
        <w:tc>
          <w:tcPr>
            <w:tcW w:w="840" w:type="dxa"/>
            <w:vAlign w:val="bottom"/>
            <w:vMerge w:val="continue"/>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840" w:type="dxa"/>
            <w:vAlign w:val="bottom"/>
            <w:shd w:val="clear" w:color="auto" w:fill="005CB9"/>
          </w:tcPr>
          <w:p>
            <w:pPr>
              <w:spacing w:after="0"/>
              <w:rPr>
                <w:sz w:val="14"/>
                <w:szCs w:val="14"/>
                <w:color w:val="auto"/>
              </w:rPr>
            </w:pPr>
          </w:p>
        </w:tc>
        <w:tc>
          <w:tcPr>
            <w:tcW w:w="1040" w:type="dxa"/>
            <w:vAlign w:val="bottom"/>
            <w:shd w:val="clear" w:color="auto" w:fill="005CB9"/>
          </w:tcPr>
          <w:p>
            <w:pPr>
              <w:spacing w:after="0"/>
              <w:rPr>
                <w:sz w:val="14"/>
                <w:szCs w:val="14"/>
                <w:color w:val="auto"/>
              </w:rPr>
            </w:pPr>
          </w:p>
        </w:tc>
        <w:tc>
          <w:tcPr>
            <w:tcW w:w="860" w:type="dxa"/>
            <w:vAlign w:val="bottom"/>
            <w:shd w:val="clear" w:color="auto" w:fill="005CB9"/>
          </w:tcPr>
          <w:p>
            <w:pPr>
              <w:jc w:val="center"/>
              <w:ind w:right="28"/>
              <w:spacing w:after="0"/>
              <w:rPr>
                <w:sz w:val="20"/>
                <w:szCs w:val="20"/>
                <w:color w:val="auto"/>
              </w:rPr>
            </w:pPr>
            <w:r>
              <w:rPr>
                <w:rFonts w:ascii="Arial" w:cs="Arial" w:eastAsia="Arial" w:hAnsi="Arial"/>
                <w:sz w:val="14"/>
                <w:szCs w:val="14"/>
                <w:b w:val="1"/>
                <w:bCs w:val="1"/>
                <w:color w:val="FFFFFF"/>
              </w:rPr>
              <w:t>Equity</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542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840" w:type="dxa"/>
            <w:vAlign w:val="bottom"/>
            <w:shd w:val="clear" w:color="auto" w:fill="005CB9"/>
          </w:tcPr>
          <w:p>
            <w:pPr>
              <w:spacing w:after="0"/>
              <w:rPr>
                <w:sz w:val="14"/>
                <w:szCs w:val="14"/>
                <w:color w:val="auto"/>
              </w:rPr>
            </w:pPr>
          </w:p>
        </w:tc>
        <w:tc>
          <w:tcPr>
            <w:tcW w:w="1040" w:type="dxa"/>
            <w:vAlign w:val="bottom"/>
            <w:shd w:val="clear" w:color="auto" w:fill="005CB9"/>
          </w:tcPr>
          <w:p>
            <w:pPr>
              <w:spacing w:after="0"/>
              <w:rPr>
                <w:sz w:val="14"/>
                <w:szCs w:val="14"/>
                <w:color w:val="auto"/>
              </w:rPr>
            </w:pPr>
          </w:p>
        </w:tc>
        <w:tc>
          <w:tcPr>
            <w:tcW w:w="860" w:type="dxa"/>
            <w:vAlign w:val="bottom"/>
            <w:shd w:val="clear" w:color="auto" w:fill="005CB9"/>
          </w:tcPr>
          <w:p>
            <w:pPr>
              <w:jc w:val="center"/>
              <w:ind w:right="48"/>
              <w:spacing w:after="0"/>
              <w:rPr>
                <w:sz w:val="20"/>
                <w:szCs w:val="20"/>
                <w:color w:val="auto"/>
              </w:rPr>
            </w:pPr>
            <w:r>
              <w:rPr>
                <w:rFonts w:ascii="Arial" w:cs="Arial" w:eastAsia="Arial" w:hAnsi="Arial"/>
                <w:sz w:val="14"/>
                <w:szCs w:val="14"/>
                <w:b w:val="1"/>
                <w:bCs w:val="1"/>
                <w:color w:val="FFFFFF"/>
              </w:rPr>
              <w:t>Incentive</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Plan</w:t>
            </w:r>
          </w:p>
        </w:tc>
        <w:tc>
          <w:tcPr>
            <w:tcW w:w="0" w:type="dxa"/>
            <w:vAlign w:val="bottom"/>
          </w:tcPr>
          <w:p>
            <w:pPr>
              <w:spacing w:after="0"/>
              <w:rPr>
                <w:sz w:val="1"/>
                <w:szCs w:val="1"/>
                <w:color w:val="auto"/>
              </w:rPr>
            </w:pPr>
          </w:p>
        </w:tc>
      </w:tr>
      <w:tr>
        <w:trPr>
          <w:trHeight w:val="162"/>
        </w:trPr>
        <w:tc>
          <w:tcPr>
            <w:tcW w:w="542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840" w:type="dxa"/>
            <w:vAlign w:val="bottom"/>
            <w:shd w:val="clear" w:color="auto" w:fill="005CB9"/>
          </w:tcPr>
          <w:p>
            <w:pPr>
              <w:spacing w:after="0"/>
              <w:rPr>
                <w:sz w:val="14"/>
                <w:szCs w:val="14"/>
                <w:color w:val="auto"/>
              </w:rPr>
            </w:pPr>
          </w:p>
        </w:tc>
        <w:tc>
          <w:tcPr>
            <w:tcW w:w="1040" w:type="dxa"/>
            <w:vAlign w:val="bottom"/>
            <w:shd w:val="clear" w:color="auto" w:fill="005CB9"/>
          </w:tcPr>
          <w:p>
            <w:pPr>
              <w:spacing w:after="0"/>
              <w:rPr>
                <w:sz w:val="14"/>
                <w:szCs w:val="14"/>
                <w:color w:val="auto"/>
              </w:rPr>
            </w:pPr>
          </w:p>
        </w:tc>
        <w:tc>
          <w:tcPr>
            <w:tcW w:w="860" w:type="dxa"/>
            <w:vAlign w:val="bottom"/>
            <w:shd w:val="clear" w:color="auto" w:fill="005CB9"/>
          </w:tcPr>
          <w:p>
            <w:pPr>
              <w:jc w:val="center"/>
              <w:ind w:right="48"/>
              <w:spacing w:after="0"/>
              <w:rPr>
                <w:sz w:val="20"/>
                <w:szCs w:val="20"/>
                <w:color w:val="auto"/>
              </w:rPr>
            </w:pPr>
            <w:r>
              <w:rPr>
                <w:rFonts w:ascii="Arial" w:cs="Arial" w:eastAsia="Arial" w:hAnsi="Arial"/>
                <w:sz w:val="14"/>
                <w:szCs w:val="14"/>
                <w:b w:val="1"/>
                <w:bCs w:val="1"/>
                <w:color w:val="FFFFFF"/>
              </w:rPr>
              <w:t>Plan</w:t>
            </w:r>
          </w:p>
        </w:tc>
        <w:tc>
          <w:tcPr>
            <w:tcW w:w="840" w:type="dxa"/>
            <w:vAlign w:val="bottom"/>
            <w:shd w:val="clear" w:color="auto" w:fill="005CB9"/>
          </w:tcPr>
          <w:p>
            <w:pPr>
              <w:jc w:val="center"/>
              <w:ind w:left="8"/>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2"/>
        </w:trPr>
        <w:tc>
          <w:tcPr>
            <w:tcW w:w="542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Number</w:t>
            </w:r>
          </w:p>
        </w:tc>
        <w:tc>
          <w:tcPr>
            <w:tcW w:w="1040" w:type="dxa"/>
            <w:vAlign w:val="bottom"/>
            <w:shd w:val="clear" w:color="auto" w:fill="005CB9"/>
          </w:tcPr>
          <w:p>
            <w:pPr>
              <w:spacing w:after="0"/>
              <w:rPr>
                <w:sz w:val="14"/>
                <w:szCs w:val="14"/>
                <w:color w:val="auto"/>
              </w:rPr>
            </w:pPr>
          </w:p>
        </w:tc>
        <w:tc>
          <w:tcPr>
            <w:tcW w:w="860" w:type="dxa"/>
            <w:vAlign w:val="bottom"/>
            <w:shd w:val="clear" w:color="auto" w:fill="005CB9"/>
          </w:tcPr>
          <w:p>
            <w:pPr>
              <w:jc w:val="center"/>
              <w:ind w:right="28"/>
              <w:spacing w:after="0"/>
              <w:rPr>
                <w:sz w:val="20"/>
                <w:szCs w:val="20"/>
                <w:color w:val="auto"/>
              </w:rPr>
            </w:pPr>
            <w:r>
              <w:rPr>
                <w:rFonts w:ascii="Arial" w:cs="Arial" w:eastAsia="Arial" w:hAnsi="Arial"/>
                <w:sz w:val="14"/>
                <w:szCs w:val="14"/>
                <w:b w:val="1"/>
                <w:bCs w:val="1"/>
                <w:color w:val="FFFFFF"/>
              </w:rPr>
              <w:t>Awards:</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Market</w:t>
            </w:r>
          </w:p>
        </w:tc>
        <w:tc>
          <w:tcPr>
            <w:tcW w:w="0" w:type="dxa"/>
            <w:vAlign w:val="bottom"/>
          </w:tcPr>
          <w:p>
            <w:pPr>
              <w:spacing w:after="0"/>
              <w:rPr>
                <w:sz w:val="1"/>
                <w:szCs w:val="1"/>
                <w:color w:val="auto"/>
              </w:rPr>
            </w:pPr>
          </w:p>
        </w:tc>
      </w:tr>
      <w:tr>
        <w:trPr>
          <w:trHeight w:val="162"/>
        </w:trPr>
        <w:tc>
          <w:tcPr>
            <w:tcW w:w="542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of</w:t>
            </w:r>
          </w:p>
        </w:tc>
        <w:tc>
          <w:tcPr>
            <w:tcW w:w="1040" w:type="dxa"/>
            <w:vAlign w:val="bottom"/>
            <w:shd w:val="clear" w:color="auto" w:fill="005CB9"/>
          </w:tcPr>
          <w:p>
            <w:pPr>
              <w:jc w:val="center"/>
              <w:ind w:right="28"/>
              <w:spacing w:after="0"/>
              <w:rPr>
                <w:sz w:val="20"/>
                <w:szCs w:val="20"/>
                <w:color w:val="auto"/>
              </w:rPr>
            </w:pPr>
            <w:r>
              <w:rPr>
                <w:rFonts w:ascii="Arial" w:cs="Arial" w:eastAsia="Arial" w:hAnsi="Arial"/>
                <w:sz w:val="14"/>
                <w:szCs w:val="14"/>
                <w:b w:val="1"/>
                <w:bCs w:val="1"/>
                <w:color w:val="FFFFFF"/>
              </w:rPr>
              <w:t>Market</w:t>
            </w:r>
          </w:p>
        </w:tc>
        <w:tc>
          <w:tcPr>
            <w:tcW w:w="860" w:type="dxa"/>
            <w:vAlign w:val="bottom"/>
            <w:shd w:val="clear" w:color="auto" w:fill="005CB9"/>
          </w:tcPr>
          <w:p>
            <w:pPr>
              <w:jc w:val="center"/>
              <w:ind w:right="28"/>
              <w:spacing w:after="0"/>
              <w:rPr>
                <w:sz w:val="20"/>
                <w:szCs w:val="20"/>
                <w:color w:val="auto"/>
              </w:rPr>
            </w:pPr>
            <w:r>
              <w:rPr>
                <w:rFonts w:ascii="Arial" w:cs="Arial" w:eastAsia="Arial" w:hAnsi="Arial"/>
                <w:sz w:val="14"/>
                <w:szCs w:val="14"/>
                <w:b w:val="1"/>
                <w:bCs w:val="1"/>
                <w:color w:val="FFFFFF"/>
              </w:rPr>
              <w:t>Number of</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62"/>
        </w:trPr>
        <w:tc>
          <w:tcPr>
            <w:tcW w:w="542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Shares</w:t>
            </w:r>
          </w:p>
        </w:tc>
        <w:tc>
          <w:tcPr>
            <w:tcW w:w="1040" w:type="dxa"/>
            <w:vAlign w:val="bottom"/>
            <w:shd w:val="clear" w:color="auto" w:fill="005CB9"/>
          </w:tcPr>
          <w:p>
            <w:pPr>
              <w:jc w:val="center"/>
              <w:ind w:right="8"/>
              <w:spacing w:after="0"/>
              <w:rPr>
                <w:sz w:val="20"/>
                <w:szCs w:val="20"/>
                <w:color w:val="auto"/>
              </w:rPr>
            </w:pPr>
            <w:r>
              <w:rPr>
                <w:rFonts w:ascii="Arial" w:cs="Arial" w:eastAsia="Arial" w:hAnsi="Arial"/>
                <w:sz w:val="14"/>
                <w:szCs w:val="14"/>
                <w:b w:val="1"/>
                <w:bCs w:val="1"/>
                <w:color w:val="FFFFFF"/>
              </w:rPr>
              <w:t>Value of</w:t>
            </w:r>
          </w:p>
        </w:tc>
        <w:tc>
          <w:tcPr>
            <w:tcW w:w="860" w:type="dxa"/>
            <w:vAlign w:val="bottom"/>
            <w:shd w:val="clear" w:color="auto" w:fill="005CB9"/>
          </w:tcPr>
          <w:p>
            <w:pPr>
              <w:jc w:val="center"/>
              <w:ind w:right="48"/>
              <w:spacing w:after="0"/>
              <w:rPr>
                <w:sz w:val="20"/>
                <w:szCs w:val="20"/>
                <w:color w:val="auto"/>
              </w:rPr>
            </w:pPr>
            <w:r>
              <w:rPr>
                <w:rFonts w:ascii="Arial" w:cs="Arial" w:eastAsia="Arial" w:hAnsi="Arial"/>
                <w:sz w:val="14"/>
                <w:szCs w:val="14"/>
                <w:b w:val="1"/>
                <w:bCs w:val="1"/>
                <w:color w:val="FFFFFF"/>
              </w:rPr>
              <w:t>Unearned</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62"/>
        </w:trPr>
        <w:tc>
          <w:tcPr>
            <w:tcW w:w="542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w w:val="99"/>
              </w:rPr>
              <w:t>or</w:t>
            </w:r>
          </w:p>
        </w:tc>
        <w:tc>
          <w:tcPr>
            <w:tcW w:w="1040" w:type="dxa"/>
            <w:vAlign w:val="bottom"/>
            <w:shd w:val="clear" w:color="auto" w:fill="005CB9"/>
          </w:tcPr>
          <w:p>
            <w:pPr>
              <w:jc w:val="center"/>
              <w:ind w:right="28"/>
              <w:spacing w:after="0"/>
              <w:rPr>
                <w:sz w:val="20"/>
                <w:szCs w:val="20"/>
                <w:color w:val="auto"/>
              </w:rPr>
            </w:pPr>
            <w:r>
              <w:rPr>
                <w:rFonts w:ascii="Arial" w:cs="Arial" w:eastAsia="Arial" w:hAnsi="Arial"/>
                <w:sz w:val="14"/>
                <w:szCs w:val="14"/>
                <w:b w:val="1"/>
                <w:bCs w:val="1"/>
                <w:color w:val="FFFFFF"/>
              </w:rPr>
              <w:t>Shares or</w:t>
            </w:r>
          </w:p>
        </w:tc>
        <w:tc>
          <w:tcPr>
            <w:tcW w:w="860" w:type="dxa"/>
            <w:vAlign w:val="bottom"/>
            <w:shd w:val="clear" w:color="auto" w:fill="005CB9"/>
          </w:tcPr>
          <w:p>
            <w:pPr>
              <w:jc w:val="center"/>
              <w:ind w:right="48"/>
              <w:spacing w:after="0"/>
              <w:rPr>
                <w:sz w:val="20"/>
                <w:szCs w:val="20"/>
                <w:color w:val="auto"/>
              </w:rPr>
            </w:pPr>
            <w:r>
              <w:rPr>
                <w:rFonts w:ascii="Arial" w:cs="Arial" w:eastAsia="Arial" w:hAnsi="Arial"/>
                <w:sz w:val="14"/>
                <w:szCs w:val="14"/>
                <w:b w:val="1"/>
                <w:bCs w:val="1"/>
                <w:color w:val="FFFFFF"/>
              </w:rPr>
              <w:t>Shares or</w:t>
            </w:r>
          </w:p>
        </w:tc>
        <w:tc>
          <w:tcPr>
            <w:tcW w:w="840" w:type="dxa"/>
            <w:vAlign w:val="bottom"/>
            <w:shd w:val="clear" w:color="auto" w:fill="005CB9"/>
          </w:tcPr>
          <w:p>
            <w:pPr>
              <w:jc w:val="center"/>
              <w:ind w:left="8"/>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62"/>
        </w:trPr>
        <w:tc>
          <w:tcPr>
            <w:tcW w:w="542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Units of</w:t>
            </w:r>
          </w:p>
        </w:tc>
        <w:tc>
          <w:tcPr>
            <w:tcW w:w="1040" w:type="dxa"/>
            <w:vAlign w:val="bottom"/>
            <w:shd w:val="clear" w:color="auto" w:fill="005CB9"/>
          </w:tcPr>
          <w:p>
            <w:pPr>
              <w:jc w:val="center"/>
              <w:ind w:right="8"/>
              <w:spacing w:after="0"/>
              <w:rPr>
                <w:sz w:val="20"/>
                <w:szCs w:val="20"/>
                <w:color w:val="auto"/>
              </w:rPr>
            </w:pPr>
            <w:r>
              <w:rPr>
                <w:rFonts w:ascii="Arial" w:cs="Arial" w:eastAsia="Arial" w:hAnsi="Arial"/>
                <w:sz w:val="14"/>
                <w:szCs w:val="14"/>
                <w:b w:val="1"/>
                <w:bCs w:val="1"/>
                <w:color w:val="FFFFFF"/>
              </w:rPr>
              <w:t>Units</w:t>
            </w:r>
          </w:p>
        </w:tc>
        <w:tc>
          <w:tcPr>
            <w:tcW w:w="860" w:type="dxa"/>
            <w:vAlign w:val="bottom"/>
            <w:shd w:val="clear" w:color="auto" w:fill="005CB9"/>
          </w:tcPr>
          <w:p>
            <w:pPr>
              <w:jc w:val="center"/>
              <w:ind w:right="48"/>
              <w:spacing w:after="0"/>
              <w:rPr>
                <w:sz w:val="20"/>
                <w:szCs w:val="20"/>
                <w:color w:val="auto"/>
              </w:rPr>
            </w:pPr>
            <w:r>
              <w:rPr>
                <w:rFonts w:ascii="Arial" w:cs="Arial" w:eastAsia="Arial" w:hAnsi="Arial"/>
                <w:sz w:val="14"/>
                <w:szCs w:val="14"/>
                <w:b w:val="1"/>
                <w:bCs w:val="1"/>
                <w:color w:val="FFFFFF"/>
              </w:rPr>
              <w:t>Units of</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or Units</w:t>
            </w:r>
          </w:p>
        </w:tc>
        <w:tc>
          <w:tcPr>
            <w:tcW w:w="0" w:type="dxa"/>
            <w:vAlign w:val="bottom"/>
          </w:tcPr>
          <w:p>
            <w:pPr>
              <w:spacing w:after="0"/>
              <w:rPr>
                <w:sz w:val="1"/>
                <w:szCs w:val="1"/>
                <w:color w:val="auto"/>
              </w:rPr>
            </w:pPr>
          </w:p>
        </w:tc>
      </w:tr>
      <w:tr>
        <w:trPr>
          <w:trHeight w:val="162"/>
        </w:trPr>
        <w:tc>
          <w:tcPr>
            <w:tcW w:w="542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Stock</w:t>
            </w:r>
          </w:p>
        </w:tc>
        <w:tc>
          <w:tcPr>
            <w:tcW w:w="1040" w:type="dxa"/>
            <w:vAlign w:val="bottom"/>
            <w:shd w:val="clear" w:color="auto" w:fill="005CB9"/>
          </w:tcPr>
          <w:p>
            <w:pPr>
              <w:jc w:val="center"/>
              <w:ind w:right="8"/>
              <w:spacing w:after="0"/>
              <w:rPr>
                <w:sz w:val="20"/>
                <w:szCs w:val="20"/>
                <w:color w:val="auto"/>
              </w:rPr>
            </w:pPr>
            <w:r>
              <w:rPr>
                <w:rFonts w:ascii="Arial" w:cs="Arial" w:eastAsia="Arial" w:hAnsi="Arial"/>
                <w:sz w:val="14"/>
                <w:szCs w:val="14"/>
                <w:b w:val="1"/>
                <w:bCs w:val="1"/>
                <w:color w:val="FFFFFF"/>
              </w:rPr>
              <w:t>of Stock</w:t>
            </w:r>
          </w:p>
        </w:tc>
        <w:tc>
          <w:tcPr>
            <w:tcW w:w="860" w:type="dxa"/>
            <w:vAlign w:val="bottom"/>
            <w:shd w:val="clear" w:color="auto" w:fill="005CB9"/>
          </w:tcPr>
          <w:p>
            <w:pPr>
              <w:jc w:val="center"/>
              <w:ind w:right="28"/>
              <w:spacing w:after="0"/>
              <w:rPr>
                <w:sz w:val="20"/>
                <w:szCs w:val="20"/>
                <w:color w:val="auto"/>
              </w:rPr>
            </w:pPr>
            <w:r>
              <w:rPr>
                <w:rFonts w:ascii="Arial" w:cs="Arial" w:eastAsia="Arial" w:hAnsi="Arial"/>
                <w:sz w:val="14"/>
                <w:szCs w:val="14"/>
                <w:b w:val="1"/>
                <w:bCs w:val="1"/>
                <w:color w:val="FFFFFF"/>
              </w:rPr>
              <w:t>Stock</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of Stock</w:t>
            </w:r>
          </w:p>
        </w:tc>
        <w:tc>
          <w:tcPr>
            <w:tcW w:w="0" w:type="dxa"/>
            <w:vAlign w:val="bottom"/>
          </w:tcPr>
          <w:p>
            <w:pPr>
              <w:spacing w:after="0"/>
              <w:rPr>
                <w:sz w:val="1"/>
                <w:szCs w:val="1"/>
                <w:color w:val="auto"/>
              </w:rPr>
            </w:pPr>
          </w:p>
        </w:tc>
      </w:tr>
      <w:tr>
        <w:trPr>
          <w:trHeight w:val="162"/>
        </w:trPr>
        <w:tc>
          <w:tcPr>
            <w:tcW w:w="5420" w:type="dxa"/>
            <w:vAlign w:val="bottom"/>
            <w:shd w:val="clear" w:color="auto" w:fill="005CB9"/>
          </w:tcPr>
          <w:p>
            <w:pPr>
              <w:spacing w:after="0"/>
              <w:rPr>
                <w:sz w:val="14"/>
                <w:szCs w:val="14"/>
                <w:color w:val="auto"/>
              </w:rPr>
            </w:pPr>
          </w:p>
        </w:tc>
        <w:tc>
          <w:tcPr>
            <w:tcW w:w="920" w:type="dxa"/>
            <w:vAlign w:val="bottom"/>
            <w:shd w:val="clear" w:color="auto" w:fill="005CB9"/>
          </w:tcPr>
          <w:p>
            <w:pPr>
              <w:jc w:val="center"/>
              <w:ind w:left="8"/>
              <w:spacing w:after="0"/>
              <w:rPr>
                <w:sz w:val="20"/>
                <w:szCs w:val="20"/>
                <w:color w:val="auto"/>
              </w:rPr>
            </w:pPr>
            <w:r>
              <w:rPr>
                <w:rFonts w:ascii="Arial" w:cs="Arial" w:eastAsia="Arial" w:hAnsi="Arial"/>
                <w:sz w:val="14"/>
                <w:szCs w:val="14"/>
                <w:b w:val="1"/>
                <w:bCs w:val="1"/>
                <w:color w:val="FFFFFF"/>
              </w:rPr>
              <w:t>Stock</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That</w:t>
            </w:r>
          </w:p>
        </w:tc>
        <w:tc>
          <w:tcPr>
            <w:tcW w:w="1040" w:type="dxa"/>
            <w:vAlign w:val="bottom"/>
            <w:shd w:val="clear" w:color="auto" w:fill="005CB9"/>
          </w:tcPr>
          <w:p>
            <w:pPr>
              <w:jc w:val="center"/>
              <w:ind w:right="28"/>
              <w:spacing w:after="0"/>
              <w:rPr>
                <w:sz w:val="20"/>
                <w:szCs w:val="20"/>
                <w:color w:val="auto"/>
              </w:rPr>
            </w:pPr>
            <w:r>
              <w:rPr>
                <w:rFonts w:ascii="Arial" w:cs="Arial" w:eastAsia="Arial" w:hAnsi="Arial"/>
                <w:sz w:val="14"/>
                <w:szCs w:val="14"/>
                <w:b w:val="1"/>
                <w:bCs w:val="1"/>
                <w:color w:val="FFFFFF"/>
              </w:rPr>
              <w:t>That</w:t>
            </w:r>
          </w:p>
        </w:tc>
        <w:tc>
          <w:tcPr>
            <w:tcW w:w="860" w:type="dxa"/>
            <w:vAlign w:val="bottom"/>
            <w:shd w:val="clear" w:color="auto" w:fill="005CB9"/>
          </w:tcPr>
          <w:p>
            <w:pPr>
              <w:jc w:val="center"/>
              <w:ind w:right="48"/>
              <w:spacing w:after="0"/>
              <w:rPr>
                <w:sz w:val="20"/>
                <w:szCs w:val="20"/>
                <w:color w:val="auto"/>
              </w:rPr>
            </w:pPr>
            <w:r>
              <w:rPr>
                <w:rFonts w:ascii="Arial" w:cs="Arial" w:eastAsia="Arial" w:hAnsi="Arial"/>
                <w:sz w:val="14"/>
                <w:szCs w:val="14"/>
                <w:b w:val="1"/>
                <w:bCs w:val="1"/>
                <w:color w:val="FFFFFF"/>
              </w:rPr>
              <w:t>That</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That</w:t>
            </w:r>
          </w:p>
        </w:tc>
        <w:tc>
          <w:tcPr>
            <w:tcW w:w="0" w:type="dxa"/>
            <w:vAlign w:val="bottom"/>
          </w:tcPr>
          <w:p>
            <w:pPr>
              <w:spacing w:after="0"/>
              <w:rPr>
                <w:sz w:val="1"/>
                <w:szCs w:val="1"/>
                <w:color w:val="auto"/>
              </w:rPr>
            </w:pPr>
          </w:p>
        </w:tc>
      </w:tr>
      <w:tr>
        <w:trPr>
          <w:trHeight w:val="162"/>
        </w:trPr>
        <w:tc>
          <w:tcPr>
            <w:tcW w:w="5420" w:type="dxa"/>
            <w:vAlign w:val="bottom"/>
            <w:shd w:val="clear" w:color="auto" w:fill="005CB9"/>
          </w:tcPr>
          <w:p>
            <w:pPr>
              <w:spacing w:after="0"/>
              <w:rPr>
                <w:sz w:val="14"/>
                <w:szCs w:val="14"/>
                <w:color w:val="auto"/>
              </w:rPr>
            </w:pPr>
          </w:p>
        </w:tc>
        <w:tc>
          <w:tcPr>
            <w:tcW w:w="920" w:type="dxa"/>
            <w:vAlign w:val="bottom"/>
            <w:shd w:val="clear" w:color="auto" w:fill="005CB9"/>
          </w:tcPr>
          <w:p>
            <w:pPr>
              <w:jc w:val="center"/>
              <w:ind w:left="8"/>
              <w:spacing w:after="0"/>
              <w:rPr>
                <w:sz w:val="20"/>
                <w:szCs w:val="20"/>
                <w:color w:val="auto"/>
              </w:rPr>
            </w:pPr>
            <w:r>
              <w:rPr>
                <w:rFonts w:ascii="Arial" w:cs="Arial" w:eastAsia="Arial" w:hAnsi="Arial"/>
                <w:sz w:val="14"/>
                <w:szCs w:val="14"/>
                <w:b w:val="1"/>
                <w:bCs w:val="1"/>
                <w:color w:val="FFFFFF"/>
              </w:rPr>
              <w:t>Award</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Have Not</w:t>
            </w:r>
          </w:p>
        </w:tc>
        <w:tc>
          <w:tcPr>
            <w:tcW w:w="1040" w:type="dxa"/>
            <w:vAlign w:val="bottom"/>
            <w:shd w:val="clear" w:color="auto" w:fill="005CB9"/>
          </w:tcPr>
          <w:p>
            <w:pPr>
              <w:jc w:val="center"/>
              <w:ind w:right="28"/>
              <w:spacing w:after="0"/>
              <w:rPr>
                <w:sz w:val="20"/>
                <w:szCs w:val="20"/>
                <w:color w:val="auto"/>
              </w:rPr>
            </w:pPr>
            <w:r>
              <w:rPr>
                <w:rFonts w:ascii="Arial" w:cs="Arial" w:eastAsia="Arial" w:hAnsi="Arial"/>
                <w:sz w:val="14"/>
                <w:szCs w:val="14"/>
                <w:b w:val="1"/>
                <w:bCs w:val="1"/>
                <w:color w:val="FFFFFF"/>
              </w:rPr>
              <w:t>Have Not</w:t>
            </w:r>
          </w:p>
        </w:tc>
        <w:tc>
          <w:tcPr>
            <w:tcW w:w="860" w:type="dxa"/>
            <w:vAlign w:val="bottom"/>
            <w:shd w:val="clear" w:color="auto" w:fill="005CB9"/>
          </w:tcPr>
          <w:p>
            <w:pPr>
              <w:jc w:val="center"/>
              <w:ind w:right="48"/>
              <w:spacing w:after="0"/>
              <w:rPr>
                <w:sz w:val="20"/>
                <w:szCs w:val="20"/>
                <w:color w:val="auto"/>
              </w:rPr>
            </w:pPr>
            <w:r>
              <w:rPr>
                <w:rFonts w:ascii="Arial" w:cs="Arial" w:eastAsia="Arial" w:hAnsi="Arial"/>
                <w:sz w:val="14"/>
                <w:szCs w:val="14"/>
                <w:b w:val="1"/>
                <w:bCs w:val="1"/>
                <w:color w:val="FFFFFF"/>
              </w:rPr>
              <w:t>Have Not</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162"/>
        </w:trPr>
        <w:tc>
          <w:tcPr>
            <w:tcW w:w="5420" w:type="dxa"/>
            <w:vAlign w:val="bottom"/>
            <w:shd w:val="clear" w:color="auto" w:fill="005CB9"/>
          </w:tcPr>
          <w:p>
            <w:pPr>
              <w:spacing w:after="0"/>
              <w:rPr>
                <w:sz w:val="14"/>
                <w:szCs w:val="14"/>
                <w:color w:val="auto"/>
              </w:rPr>
            </w:pPr>
          </w:p>
        </w:tc>
        <w:tc>
          <w:tcPr>
            <w:tcW w:w="92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Grant</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Vested</w:t>
            </w:r>
          </w:p>
        </w:tc>
        <w:tc>
          <w:tcPr>
            <w:tcW w:w="1040" w:type="dxa"/>
            <w:vAlign w:val="bottom"/>
            <w:shd w:val="clear" w:color="auto" w:fill="005CB9"/>
          </w:tcPr>
          <w:p>
            <w:pPr>
              <w:jc w:val="center"/>
              <w:ind w:right="28"/>
              <w:spacing w:after="0"/>
              <w:rPr>
                <w:sz w:val="20"/>
                <w:szCs w:val="20"/>
                <w:color w:val="auto"/>
              </w:rPr>
            </w:pPr>
            <w:r>
              <w:rPr>
                <w:rFonts w:ascii="Arial" w:cs="Arial" w:eastAsia="Arial" w:hAnsi="Arial"/>
                <w:sz w:val="14"/>
                <w:szCs w:val="14"/>
                <w:b w:val="1"/>
                <w:bCs w:val="1"/>
                <w:color w:val="FFFFFF"/>
              </w:rPr>
              <w:t>Vested</w:t>
            </w:r>
          </w:p>
        </w:tc>
        <w:tc>
          <w:tcPr>
            <w:tcW w:w="860" w:type="dxa"/>
            <w:vAlign w:val="bottom"/>
            <w:shd w:val="clear" w:color="auto" w:fill="005CB9"/>
          </w:tcPr>
          <w:p>
            <w:pPr>
              <w:jc w:val="center"/>
              <w:ind w:right="48"/>
              <w:spacing w:after="0"/>
              <w:rPr>
                <w:sz w:val="20"/>
                <w:szCs w:val="20"/>
                <w:color w:val="auto"/>
              </w:rPr>
            </w:pPr>
            <w:r>
              <w:rPr>
                <w:rFonts w:ascii="Arial" w:cs="Arial" w:eastAsia="Arial" w:hAnsi="Arial"/>
                <w:sz w:val="14"/>
                <w:szCs w:val="14"/>
                <w:b w:val="1"/>
                <w:bCs w:val="1"/>
                <w:color w:val="FFFFFF"/>
              </w:rPr>
              <w:t>Vested</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202"/>
        </w:trPr>
        <w:tc>
          <w:tcPr>
            <w:tcW w:w="5420" w:type="dxa"/>
            <w:vAlign w:val="bottom"/>
            <w:shd w:val="clear" w:color="auto" w:fill="005CB9"/>
          </w:tcPr>
          <w:p>
            <w:pPr>
              <w:ind w:left="120"/>
              <w:spacing w:after="0"/>
              <w:rPr>
                <w:sz w:val="20"/>
                <w:szCs w:val="20"/>
                <w:color w:val="auto"/>
              </w:rPr>
            </w:pPr>
            <w:r>
              <w:rPr>
                <w:rFonts w:ascii="Arial" w:cs="Arial" w:eastAsia="Arial" w:hAnsi="Arial"/>
                <w:sz w:val="14"/>
                <w:szCs w:val="14"/>
                <w:b w:val="1"/>
                <w:bCs w:val="1"/>
                <w:color w:val="FFFFFF"/>
              </w:rPr>
              <w:t>Name</w:t>
            </w:r>
          </w:p>
        </w:tc>
        <w:tc>
          <w:tcPr>
            <w:tcW w:w="920" w:type="dxa"/>
            <w:vAlign w:val="bottom"/>
            <w:shd w:val="clear" w:color="auto" w:fill="005CB9"/>
          </w:tcPr>
          <w:p>
            <w:pPr>
              <w:jc w:val="center"/>
              <w:ind w:left="8"/>
              <w:spacing w:after="0"/>
              <w:rPr>
                <w:sz w:val="20"/>
                <w:szCs w:val="20"/>
                <w:color w:val="auto"/>
              </w:rPr>
            </w:pPr>
            <w:r>
              <w:rPr>
                <w:rFonts w:ascii="Arial" w:cs="Arial" w:eastAsia="Arial" w:hAnsi="Arial"/>
                <w:sz w:val="14"/>
                <w:szCs w:val="14"/>
                <w:b w:val="1"/>
                <w:bCs w:val="1"/>
                <w:color w:val="FFFFFF"/>
              </w:rPr>
              <w:t>Date</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w w:val="99"/>
              </w:rPr>
              <w:t>(#)(1)</w:t>
            </w:r>
          </w:p>
        </w:tc>
        <w:tc>
          <w:tcPr>
            <w:tcW w:w="1040" w:type="dxa"/>
            <w:vAlign w:val="bottom"/>
            <w:shd w:val="clear" w:color="auto" w:fill="005CB9"/>
          </w:tcPr>
          <w:p>
            <w:pPr>
              <w:jc w:val="center"/>
              <w:ind w:right="8"/>
              <w:spacing w:after="0"/>
              <w:rPr>
                <w:sz w:val="20"/>
                <w:szCs w:val="20"/>
                <w:color w:val="auto"/>
              </w:rPr>
            </w:pPr>
            <w:r>
              <w:rPr>
                <w:rFonts w:ascii="Arial" w:cs="Arial" w:eastAsia="Arial" w:hAnsi="Arial"/>
                <w:sz w:val="14"/>
                <w:szCs w:val="14"/>
                <w:b w:val="1"/>
                <w:bCs w:val="1"/>
                <w:color w:val="FFFFFF"/>
              </w:rPr>
              <w:t>($)(2)</w:t>
            </w:r>
          </w:p>
        </w:tc>
        <w:tc>
          <w:tcPr>
            <w:tcW w:w="860" w:type="dxa"/>
            <w:vAlign w:val="bottom"/>
            <w:shd w:val="clear" w:color="auto" w:fill="005CB9"/>
          </w:tcPr>
          <w:p>
            <w:pPr>
              <w:jc w:val="center"/>
              <w:ind w:right="48"/>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w w:val="99"/>
              </w:rPr>
              <w:t>($)(2)</w:t>
            </w:r>
          </w:p>
        </w:tc>
        <w:tc>
          <w:tcPr>
            <w:tcW w:w="0" w:type="dxa"/>
            <w:vAlign w:val="bottom"/>
          </w:tcPr>
          <w:p>
            <w:pPr>
              <w:spacing w:after="0"/>
              <w:rPr>
                <w:sz w:val="1"/>
                <w:szCs w:val="1"/>
                <w:color w:val="auto"/>
              </w:rPr>
            </w:pPr>
          </w:p>
        </w:tc>
      </w:tr>
      <w:tr>
        <w:trPr>
          <w:trHeight w:val="250"/>
        </w:trPr>
        <w:tc>
          <w:tcPr>
            <w:tcW w:w="54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auto"/>
              </w:rPr>
              <w:t>Strauss Zelnick(3)</w:t>
            </w:r>
          </w:p>
        </w:tc>
        <w:tc>
          <w:tcPr>
            <w:tcW w:w="920" w:type="dxa"/>
            <w:vAlign w:val="bottom"/>
            <w:tcBorders>
              <w:bottom w:val="single" w:sz="8" w:color="EAEAEA"/>
            </w:tcBorders>
            <w:shd w:val="clear" w:color="auto" w:fill="EAEAEA"/>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EAEAEA"/>
            </w:tcBorders>
            <w:shd w:val="clear" w:color="auto" w:fill="EAEAEA"/>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AEAEA"/>
            </w:tcBorders>
            <w:shd w:val="clear" w:color="auto" w:fill="EAEAEA"/>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AEAEA"/>
            </w:tcBorders>
            <w:shd w:val="clear" w:color="auto" w:fill="EAEAEA"/>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Lainie Goldstein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6/1/2019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10,422</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1,236,153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41,748</w:t>
            </w:r>
          </w:p>
        </w:tc>
        <w:tc>
          <w:tcPr>
            <w:tcW w:w="840" w:type="dxa"/>
            <w:vAlign w:val="bottom"/>
          </w:tcPr>
          <w:p>
            <w:pPr>
              <w:jc w:val="right"/>
              <w:spacing w:after="0"/>
              <w:rPr>
                <w:sz w:val="20"/>
                <w:szCs w:val="20"/>
                <w:color w:val="auto"/>
              </w:rPr>
            </w:pPr>
            <w:r>
              <w:rPr>
                <w:rFonts w:ascii="Arial" w:cs="Arial" w:eastAsia="Arial" w:hAnsi="Arial"/>
                <w:sz w:val="14"/>
                <w:szCs w:val="14"/>
                <w:color w:val="auto"/>
              </w:rPr>
              <w:t>4,951,730</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6/1/2018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45,754</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5,426,882</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420" w:type="dxa"/>
            <w:vAlign w:val="bottom"/>
          </w:tcPr>
          <w:p>
            <w:pPr>
              <w:spacing w:after="0"/>
              <w:rPr>
                <w:sz w:val="13"/>
                <w:szCs w:val="13"/>
                <w:color w:val="auto"/>
              </w:rPr>
            </w:pPr>
          </w:p>
        </w:tc>
        <w:tc>
          <w:tcPr>
            <w:tcW w:w="9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6/1/2017</w:t>
            </w:r>
          </w:p>
        </w:tc>
        <w:tc>
          <w:tcPr>
            <w:tcW w:w="8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11,179</w:t>
            </w:r>
          </w:p>
        </w:tc>
        <w:tc>
          <w:tcPr>
            <w:tcW w:w="104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1,325,941</w:t>
            </w:r>
          </w:p>
        </w:tc>
        <w:tc>
          <w:tcPr>
            <w:tcW w:w="8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4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auto"/>
              </w:rPr>
              <w:t>Karl Slatoff(3)</w:t>
            </w:r>
          </w:p>
        </w:tc>
        <w:tc>
          <w:tcPr>
            <w:tcW w:w="920" w:type="dxa"/>
            <w:vAlign w:val="bottom"/>
            <w:tcBorders>
              <w:bottom w:val="single" w:sz="8" w:color="EAEAEA"/>
            </w:tcBorders>
            <w:shd w:val="clear" w:color="auto" w:fill="EAEAEA"/>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EAEAEA"/>
            </w:tcBorders>
            <w:shd w:val="clear" w:color="auto" w:fill="EAEAEA"/>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AEAEA"/>
            </w:tcBorders>
            <w:shd w:val="clear" w:color="auto" w:fill="EAEAEA"/>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AEAEA"/>
            </w:tcBorders>
            <w:shd w:val="clear" w:color="auto" w:fill="EAEAEA"/>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Daniel Emerson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6/1/2019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3,648</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432,689</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14,610</w:t>
            </w:r>
          </w:p>
        </w:tc>
        <w:tc>
          <w:tcPr>
            <w:tcW w:w="840" w:type="dxa"/>
            <w:vAlign w:val="bottom"/>
          </w:tcPr>
          <w:p>
            <w:pPr>
              <w:jc w:val="right"/>
              <w:spacing w:after="0"/>
              <w:rPr>
                <w:sz w:val="20"/>
                <w:szCs w:val="20"/>
                <w:color w:val="auto"/>
              </w:rPr>
            </w:pPr>
            <w:r>
              <w:rPr>
                <w:rFonts w:ascii="Arial" w:cs="Arial" w:eastAsia="Arial" w:hAnsi="Arial"/>
                <w:sz w:val="14"/>
                <w:szCs w:val="14"/>
                <w:color w:val="auto"/>
              </w:rPr>
              <w:t>1,732,892</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6/1/2018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16,013</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1,899,302</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542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6/1/2017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11,179</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1,325,941</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960" w:right="40" w:hanging="293"/>
        <w:spacing w:after="0" w:line="241" w:lineRule="auto"/>
        <w:tabs>
          <w:tab w:leader="none" w:pos="9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Time-based awards and performance-based awards with respect to which the performance criteria have been satisfied, made under the 2009 Plan or the 2017 Plan, which time-based awards vest, subject to continuing employment, in three (3) equal annual installments commencing in the year following the year in which such grants were made on a date determined by the Compensation Committee at the time of grant and which performance-based awards will vest, if at all, in two (2) equal annual installments commencing in the second year following the year in which such grants were made on a date determined by the Compensation Committee at the time of grant.</w:t>
      </w:r>
    </w:p>
    <w:p>
      <w:pPr>
        <w:spacing w:after="0" w:line="1" w:lineRule="exact"/>
        <w:rPr>
          <w:rFonts w:ascii="Arial" w:cs="Arial" w:eastAsia="Arial" w:hAnsi="Arial"/>
          <w:sz w:val="14"/>
          <w:szCs w:val="14"/>
          <w:color w:val="auto"/>
        </w:rPr>
      </w:pPr>
    </w:p>
    <w:p>
      <w:pPr>
        <w:ind w:left="960" w:hanging="293"/>
        <w:spacing w:after="0"/>
        <w:tabs>
          <w:tab w:leader="none" w:pos="9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Value determined based on the closing price of the Company’s common stock of $118.61 on March 31, 2020, the final business day of fiscal 2020.</w:t>
      </w:r>
    </w:p>
    <w:p>
      <w:pPr>
        <w:spacing w:after="0" w:line="1" w:lineRule="exact"/>
        <w:rPr>
          <w:rFonts w:ascii="Arial" w:cs="Arial" w:eastAsia="Arial" w:hAnsi="Arial"/>
          <w:sz w:val="14"/>
          <w:szCs w:val="14"/>
          <w:color w:val="auto"/>
        </w:rPr>
      </w:pPr>
    </w:p>
    <w:p>
      <w:pPr>
        <w:ind w:left="960" w:right="140" w:hanging="293"/>
        <w:spacing w:after="0" w:line="244" w:lineRule="auto"/>
        <w:tabs>
          <w:tab w:leader="none" w:pos="9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Messrs. Zelnick and Slatoff have not received grants of stock or option awards. Messrs. Zelnick and Slatoff are partners in ZelnickMedia, to which the Company has previously granted restricted stock, RSUs and options pursuant to the Management Agreements. Of these grants, no options or shares of restricted stock remained outstanding and an aggregate of 394,562 time-based and performance-based RSUs (based on the target number of performance-based RSUs eligible to vest) or 611,571 time-based and performance-based RSUs (based on the maximum number of performance-based RSUs eligible to vest) remained unvested as of March 31, 2020. The value of the unvested RSUs based on the closing price of the common stock on March 31, 2020 was $46,798,999 (based on the target number of performance-based RSUs eligible to vest) or $72,538,436 (based on the maximum number of performance-based RSUs eligible to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272415</wp:posOffset>
            </wp:positionV>
            <wp:extent cx="291465" cy="274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51</w:t>
            </w:r>
          </w:p>
        </w:tc>
      </w:tr>
    </w:tbl>
    <w:p>
      <w:pPr>
        <w:sectPr>
          <w:pgSz w:w="11900" w:h="16838" w:orient="portrait"/>
          <w:cols w:equalWidth="0" w:num="1">
            <w:col w:w="10580"/>
          </w:cols>
          <w:pgMar w:left="320" w:top="459" w:right="9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962785"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962785" cy="137160"/>
                    </a:xfrm>
                    <a:prstGeom prst="rect">
                      <a:avLst/>
                    </a:prstGeom>
                    <a:noFill/>
                  </pic:spPr>
                </pic:pic>
              </a:graphicData>
            </a:graphic>
          </wp:anchor>
        </w:drawing>
      </w:r>
    </w:p>
    <w:p>
      <w:pPr>
        <w:spacing w:after="0" w:line="33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XECUTIVE</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C</w:t>
      </w:r>
      <w:r>
        <w:rPr>
          <w:rFonts w:ascii="Arial" w:cs="Arial" w:eastAsia="Arial" w:hAnsi="Arial"/>
          <w:sz w:val="11"/>
          <w:szCs w:val="11"/>
          <w:b w:val="1"/>
          <w:bCs w:val="1"/>
          <w:color w:val="000000"/>
        </w:rPr>
        <w:t>OMPENSATION</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Stock Vested During 2020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jc w:val="both"/>
        <w:ind w:left="660" w:right="40"/>
        <w:spacing w:after="0" w:line="253" w:lineRule="auto"/>
        <w:rPr>
          <w:sz w:val="20"/>
          <w:szCs w:val="20"/>
          <w:color w:val="auto"/>
        </w:rPr>
      </w:pPr>
      <w:r>
        <w:rPr>
          <w:rFonts w:ascii="Arial" w:cs="Arial" w:eastAsia="Arial" w:hAnsi="Arial"/>
          <w:sz w:val="16"/>
          <w:szCs w:val="16"/>
          <w:color w:val="auto"/>
        </w:rPr>
        <w:t>The following table sets forth information concerning the vesting of shares of restricted stock held by each of the NEOs during fiscal 2020. The value realized from vested restricted stock is deemed to be the market value of the common stock on the date of vesting multiplied by the number of shares.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6020" w:type="dxa"/>
            <w:vAlign w:val="bottom"/>
            <w:shd w:val="clear" w:color="auto" w:fill="005CB9"/>
          </w:tcPr>
          <w:p>
            <w:pPr>
              <w:spacing w:after="0"/>
              <w:rPr>
                <w:sz w:val="16"/>
                <w:szCs w:val="16"/>
                <w:color w:val="auto"/>
              </w:rPr>
            </w:pPr>
          </w:p>
        </w:tc>
        <w:tc>
          <w:tcPr>
            <w:tcW w:w="2780" w:type="dxa"/>
            <w:vAlign w:val="bottom"/>
            <w:shd w:val="clear" w:color="auto" w:fill="005CB9"/>
          </w:tcPr>
          <w:p>
            <w:pPr>
              <w:jc w:val="right"/>
              <w:spacing w:after="0"/>
              <w:rPr>
                <w:sz w:val="20"/>
                <w:szCs w:val="20"/>
                <w:color w:val="auto"/>
              </w:rPr>
            </w:pPr>
            <w:r>
              <w:rPr>
                <w:rFonts w:ascii="Arial" w:cs="Arial" w:eastAsia="Arial" w:hAnsi="Arial"/>
                <w:sz w:val="14"/>
                <w:szCs w:val="14"/>
                <w:b w:val="1"/>
                <w:bCs w:val="1"/>
                <w:color w:val="FFFFFF"/>
              </w:rPr>
              <w:t>Stock Awards</w:t>
            </w:r>
          </w:p>
        </w:tc>
        <w:tc>
          <w:tcPr>
            <w:tcW w:w="160" w:type="dxa"/>
            <w:vAlign w:val="bottom"/>
            <w:shd w:val="clear" w:color="auto" w:fill="005CB9"/>
          </w:tcPr>
          <w:p>
            <w:pPr>
              <w:spacing w:after="0"/>
              <w:rPr>
                <w:sz w:val="16"/>
                <w:szCs w:val="16"/>
                <w:color w:val="auto"/>
              </w:rPr>
            </w:pPr>
          </w:p>
        </w:tc>
        <w:tc>
          <w:tcPr>
            <w:tcW w:w="960" w:type="dxa"/>
            <w:vAlign w:val="bottom"/>
            <w:shd w:val="clear" w:color="auto" w:fill="005CB9"/>
          </w:tcPr>
          <w:p>
            <w:pPr>
              <w:spacing w:after="0"/>
              <w:rPr>
                <w:sz w:val="16"/>
                <w:szCs w:val="16"/>
                <w:color w:val="auto"/>
              </w:rPr>
            </w:pPr>
          </w:p>
        </w:tc>
      </w:tr>
      <w:tr>
        <w:trPr>
          <w:trHeight w:val="149"/>
        </w:trPr>
        <w:tc>
          <w:tcPr>
            <w:tcW w:w="6020" w:type="dxa"/>
            <w:vAlign w:val="bottom"/>
            <w:shd w:val="clear" w:color="auto" w:fill="005CB9"/>
          </w:tcPr>
          <w:p>
            <w:pPr>
              <w:spacing w:after="0"/>
              <w:rPr>
                <w:sz w:val="12"/>
                <w:szCs w:val="12"/>
                <w:color w:val="auto"/>
              </w:rPr>
            </w:pPr>
          </w:p>
        </w:tc>
        <w:tc>
          <w:tcPr>
            <w:tcW w:w="2780" w:type="dxa"/>
            <w:vAlign w:val="bottom"/>
            <w:shd w:val="clear" w:color="auto" w:fill="005CB9"/>
          </w:tcPr>
          <w:p>
            <w:pPr>
              <w:jc w:val="center"/>
              <w:ind w:right="104"/>
              <w:spacing w:after="0" w:line="149" w:lineRule="exact"/>
              <w:rPr>
                <w:sz w:val="20"/>
                <w:szCs w:val="20"/>
                <w:color w:val="auto"/>
              </w:rPr>
            </w:pPr>
            <w:r>
              <w:rPr>
                <w:rFonts w:ascii="Arial" w:cs="Arial" w:eastAsia="Arial" w:hAnsi="Arial"/>
                <w:sz w:val="14"/>
                <w:szCs w:val="14"/>
                <w:b w:val="1"/>
                <w:bCs w:val="1"/>
                <w:color w:val="FFFFFF"/>
              </w:rPr>
              <w:t>Number of Shares</w:t>
            </w:r>
          </w:p>
        </w:tc>
        <w:tc>
          <w:tcPr>
            <w:tcW w:w="160" w:type="dxa"/>
            <w:vAlign w:val="bottom"/>
            <w:shd w:val="clear" w:color="auto" w:fill="005CB9"/>
          </w:tcPr>
          <w:p>
            <w:pPr>
              <w:spacing w:after="0"/>
              <w:rPr>
                <w:sz w:val="12"/>
                <w:szCs w:val="12"/>
                <w:color w:val="auto"/>
              </w:rPr>
            </w:pPr>
          </w:p>
        </w:tc>
        <w:tc>
          <w:tcPr>
            <w:tcW w:w="960" w:type="dxa"/>
            <w:vAlign w:val="bottom"/>
            <w:shd w:val="clear" w:color="auto" w:fill="005CB9"/>
          </w:tcPr>
          <w:p>
            <w:pPr>
              <w:spacing w:after="0"/>
              <w:rPr>
                <w:sz w:val="12"/>
                <w:szCs w:val="12"/>
                <w:color w:val="auto"/>
              </w:rPr>
            </w:pPr>
          </w:p>
        </w:tc>
      </w:tr>
      <w:tr>
        <w:trPr>
          <w:trHeight w:val="162"/>
        </w:trPr>
        <w:tc>
          <w:tcPr>
            <w:tcW w:w="6020" w:type="dxa"/>
            <w:vAlign w:val="bottom"/>
            <w:shd w:val="clear" w:color="auto" w:fill="005CB9"/>
          </w:tcPr>
          <w:p>
            <w:pPr>
              <w:spacing w:after="0"/>
              <w:rPr>
                <w:sz w:val="14"/>
                <w:szCs w:val="14"/>
                <w:color w:val="auto"/>
              </w:rPr>
            </w:pPr>
          </w:p>
        </w:tc>
        <w:tc>
          <w:tcPr>
            <w:tcW w:w="2780" w:type="dxa"/>
            <w:vAlign w:val="bottom"/>
            <w:shd w:val="clear" w:color="auto" w:fill="005CB9"/>
          </w:tcPr>
          <w:p>
            <w:pPr>
              <w:jc w:val="center"/>
              <w:ind w:right="124"/>
              <w:spacing w:after="0"/>
              <w:rPr>
                <w:sz w:val="20"/>
                <w:szCs w:val="20"/>
                <w:color w:val="auto"/>
              </w:rPr>
            </w:pPr>
            <w:r>
              <w:rPr>
                <w:rFonts w:ascii="Arial" w:cs="Arial" w:eastAsia="Arial" w:hAnsi="Arial"/>
                <w:sz w:val="14"/>
                <w:szCs w:val="14"/>
                <w:b w:val="1"/>
                <w:bCs w:val="1"/>
                <w:color w:val="FFFFFF"/>
              </w:rPr>
              <w:t>Acquired</w:t>
            </w:r>
          </w:p>
        </w:tc>
        <w:tc>
          <w:tcPr>
            <w:tcW w:w="1120" w:type="dxa"/>
            <w:vAlign w:val="bottom"/>
            <w:gridSpan w:val="2"/>
            <w:shd w:val="clear" w:color="auto" w:fill="005CB9"/>
          </w:tcPr>
          <w:p>
            <w:pPr>
              <w:ind w:left="60"/>
              <w:spacing w:after="0"/>
              <w:rPr>
                <w:sz w:val="20"/>
                <w:szCs w:val="20"/>
                <w:color w:val="auto"/>
              </w:rPr>
            </w:pPr>
            <w:r>
              <w:rPr>
                <w:rFonts w:ascii="Arial" w:cs="Arial" w:eastAsia="Arial" w:hAnsi="Arial"/>
                <w:sz w:val="14"/>
                <w:szCs w:val="14"/>
                <w:b w:val="1"/>
                <w:bCs w:val="1"/>
                <w:color w:val="FFFFFF"/>
              </w:rPr>
              <w:t>Value Realized</w:t>
            </w:r>
          </w:p>
        </w:tc>
      </w:tr>
      <w:tr>
        <w:trPr>
          <w:trHeight w:val="162"/>
        </w:trPr>
        <w:tc>
          <w:tcPr>
            <w:tcW w:w="6020" w:type="dxa"/>
            <w:vAlign w:val="bottom"/>
            <w:shd w:val="clear" w:color="auto" w:fill="005CB9"/>
          </w:tcPr>
          <w:p>
            <w:pPr>
              <w:spacing w:after="0"/>
              <w:rPr>
                <w:sz w:val="14"/>
                <w:szCs w:val="14"/>
                <w:color w:val="auto"/>
              </w:rPr>
            </w:pPr>
          </w:p>
        </w:tc>
        <w:tc>
          <w:tcPr>
            <w:tcW w:w="2780" w:type="dxa"/>
            <w:vAlign w:val="bottom"/>
            <w:shd w:val="clear" w:color="auto" w:fill="005CB9"/>
          </w:tcPr>
          <w:p>
            <w:pPr>
              <w:jc w:val="center"/>
              <w:ind w:right="124"/>
              <w:spacing w:after="0"/>
              <w:rPr>
                <w:sz w:val="20"/>
                <w:szCs w:val="20"/>
                <w:color w:val="auto"/>
              </w:rPr>
            </w:pPr>
            <w:r>
              <w:rPr>
                <w:rFonts w:ascii="Arial" w:cs="Arial" w:eastAsia="Arial" w:hAnsi="Arial"/>
                <w:sz w:val="14"/>
                <w:szCs w:val="14"/>
                <w:b w:val="1"/>
                <w:bCs w:val="1"/>
                <w:color w:val="FFFFFF"/>
              </w:rPr>
              <w:t>on Vesting</w:t>
            </w:r>
          </w:p>
        </w:tc>
        <w:tc>
          <w:tcPr>
            <w:tcW w:w="160" w:type="dxa"/>
            <w:vAlign w:val="bottom"/>
            <w:shd w:val="clear" w:color="auto" w:fill="005CB9"/>
          </w:tcPr>
          <w:p>
            <w:pPr>
              <w:spacing w:after="0"/>
              <w:rPr>
                <w:sz w:val="14"/>
                <w:szCs w:val="14"/>
                <w:color w:val="auto"/>
              </w:rPr>
            </w:pPr>
          </w:p>
        </w:tc>
        <w:tc>
          <w:tcPr>
            <w:tcW w:w="960" w:type="dxa"/>
            <w:vAlign w:val="bottom"/>
            <w:shd w:val="clear" w:color="auto" w:fill="005CB9"/>
          </w:tcPr>
          <w:p>
            <w:pPr>
              <w:jc w:val="right"/>
              <w:ind w:right="122"/>
              <w:spacing w:after="0"/>
              <w:rPr>
                <w:sz w:val="20"/>
                <w:szCs w:val="20"/>
                <w:color w:val="auto"/>
              </w:rPr>
            </w:pPr>
            <w:r>
              <w:rPr>
                <w:rFonts w:ascii="Arial" w:cs="Arial" w:eastAsia="Arial" w:hAnsi="Arial"/>
                <w:sz w:val="14"/>
                <w:szCs w:val="14"/>
                <w:b w:val="1"/>
                <w:bCs w:val="1"/>
                <w:color w:val="FFFFFF"/>
              </w:rPr>
              <w:t>on Vesting</w:t>
            </w:r>
          </w:p>
        </w:tc>
      </w:tr>
      <w:tr>
        <w:trPr>
          <w:trHeight w:val="202"/>
        </w:trPr>
        <w:tc>
          <w:tcPr>
            <w:tcW w:w="602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Name</w:t>
            </w:r>
          </w:p>
        </w:tc>
        <w:tc>
          <w:tcPr>
            <w:tcW w:w="2780" w:type="dxa"/>
            <w:vAlign w:val="bottom"/>
            <w:shd w:val="clear" w:color="auto" w:fill="005CB9"/>
          </w:tcPr>
          <w:p>
            <w:pPr>
              <w:jc w:val="center"/>
              <w:ind w:right="124"/>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5CB9"/>
          </w:tcPr>
          <w:p>
            <w:pPr>
              <w:spacing w:after="0"/>
              <w:rPr>
                <w:sz w:val="17"/>
                <w:szCs w:val="17"/>
                <w:color w:val="auto"/>
              </w:rPr>
            </w:pPr>
          </w:p>
        </w:tc>
        <w:tc>
          <w:tcPr>
            <w:tcW w:w="960" w:type="dxa"/>
            <w:vAlign w:val="bottom"/>
            <w:shd w:val="clear" w:color="auto" w:fill="005CB9"/>
          </w:tcPr>
          <w:p>
            <w:pPr>
              <w:jc w:val="right"/>
              <w:ind w:right="402"/>
              <w:spacing w:after="0"/>
              <w:rPr>
                <w:sz w:val="20"/>
                <w:szCs w:val="20"/>
                <w:color w:val="auto"/>
              </w:rPr>
            </w:pPr>
            <w:r>
              <w:rPr>
                <w:rFonts w:ascii="Arial" w:cs="Arial" w:eastAsia="Arial" w:hAnsi="Arial"/>
                <w:sz w:val="14"/>
                <w:szCs w:val="14"/>
                <w:b w:val="1"/>
                <w:bCs w:val="1"/>
                <w:color w:val="FFFFFF"/>
              </w:rPr>
              <w:t>($)</w:t>
            </w:r>
          </w:p>
        </w:tc>
      </w:tr>
      <w:tr>
        <w:trPr>
          <w:trHeight w:val="304"/>
        </w:trPr>
        <w:tc>
          <w:tcPr>
            <w:tcW w:w="60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6"/>
                <w:szCs w:val="16"/>
                <w:color w:val="auto"/>
              </w:rPr>
              <w:t>Strauss Zelnick(1)</w:t>
            </w:r>
          </w:p>
        </w:tc>
        <w:tc>
          <w:tcPr>
            <w:tcW w:w="2780" w:type="dxa"/>
            <w:vAlign w:val="bottom"/>
            <w:tcBorders>
              <w:bottom w:val="single" w:sz="8" w:color="EAEAEA"/>
            </w:tcBorders>
            <w:shd w:val="clear" w:color="auto" w:fill="EAEAEA"/>
          </w:tcPr>
          <w:p>
            <w:pPr>
              <w:jc w:val="right"/>
              <w:ind w:right="784"/>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EAEA"/>
            </w:tcBorders>
            <w:shd w:val="clear" w:color="auto" w:fill="EAEAEA"/>
          </w:tcPr>
          <w:p>
            <w:pPr>
              <w:spacing w:after="0"/>
              <w:rPr>
                <w:sz w:val="24"/>
                <w:szCs w:val="24"/>
                <w:color w:val="auto"/>
              </w:rPr>
            </w:pPr>
          </w:p>
        </w:tc>
        <w:tc>
          <w:tcPr>
            <w:tcW w:w="9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6020" w:type="dxa"/>
            <w:vAlign w:val="bottom"/>
          </w:tcPr>
          <w:p>
            <w:pPr>
              <w:ind w:left="80"/>
              <w:spacing w:after="0"/>
              <w:rPr>
                <w:sz w:val="20"/>
                <w:szCs w:val="20"/>
                <w:color w:val="auto"/>
              </w:rPr>
            </w:pPr>
            <w:r>
              <w:rPr>
                <w:rFonts w:ascii="Arial" w:cs="Arial" w:eastAsia="Arial" w:hAnsi="Arial"/>
                <w:sz w:val="16"/>
                <w:szCs w:val="16"/>
                <w:color w:val="auto"/>
              </w:rPr>
              <w:t>Lainie Goldstein</w:t>
            </w:r>
          </w:p>
        </w:tc>
        <w:tc>
          <w:tcPr>
            <w:tcW w:w="2780" w:type="dxa"/>
            <w:vAlign w:val="bottom"/>
          </w:tcPr>
          <w:p>
            <w:pPr>
              <w:jc w:val="right"/>
              <w:ind w:right="584"/>
              <w:spacing w:after="0"/>
              <w:rPr>
                <w:sz w:val="20"/>
                <w:szCs w:val="20"/>
                <w:color w:val="auto"/>
              </w:rPr>
            </w:pPr>
            <w:r>
              <w:rPr>
                <w:rFonts w:ascii="Arial" w:cs="Arial" w:eastAsia="Arial" w:hAnsi="Arial"/>
                <w:sz w:val="16"/>
                <w:szCs w:val="16"/>
                <w:color w:val="auto"/>
              </w:rPr>
              <w:t>36,610(2)</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3,959,372</w:t>
            </w:r>
          </w:p>
        </w:tc>
      </w:tr>
      <w:tr>
        <w:trPr>
          <w:trHeight w:val="60"/>
        </w:trPr>
        <w:tc>
          <w:tcPr>
            <w:tcW w:w="60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304"/>
        </w:trPr>
        <w:tc>
          <w:tcPr>
            <w:tcW w:w="60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6"/>
                <w:szCs w:val="16"/>
                <w:color w:val="auto"/>
              </w:rPr>
              <w:t>Karl Slatoff(1)</w:t>
            </w:r>
          </w:p>
        </w:tc>
        <w:tc>
          <w:tcPr>
            <w:tcW w:w="2780" w:type="dxa"/>
            <w:vAlign w:val="bottom"/>
            <w:tcBorders>
              <w:bottom w:val="single" w:sz="8" w:color="EAEAEA"/>
            </w:tcBorders>
            <w:shd w:val="clear" w:color="auto" w:fill="EAEAEA"/>
          </w:tcPr>
          <w:p>
            <w:pPr>
              <w:jc w:val="right"/>
              <w:ind w:right="784"/>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EAEA"/>
            </w:tcBorders>
            <w:shd w:val="clear" w:color="auto" w:fill="EAEAEA"/>
          </w:tcPr>
          <w:p>
            <w:pPr>
              <w:spacing w:after="0"/>
              <w:rPr>
                <w:sz w:val="24"/>
                <w:szCs w:val="24"/>
                <w:color w:val="auto"/>
              </w:rPr>
            </w:pPr>
          </w:p>
        </w:tc>
        <w:tc>
          <w:tcPr>
            <w:tcW w:w="9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6020" w:type="dxa"/>
            <w:vAlign w:val="bottom"/>
          </w:tcPr>
          <w:p>
            <w:pPr>
              <w:ind w:left="80"/>
              <w:spacing w:after="0"/>
              <w:rPr>
                <w:sz w:val="20"/>
                <w:szCs w:val="20"/>
                <w:color w:val="auto"/>
              </w:rPr>
            </w:pPr>
            <w:r>
              <w:rPr>
                <w:rFonts w:ascii="Arial" w:cs="Arial" w:eastAsia="Arial" w:hAnsi="Arial"/>
                <w:sz w:val="16"/>
                <w:szCs w:val="16"/>
                <w:color w:val="auto"/>
              </w:rPr>
              <w:t>Daniel Emerson</w:t>
            </w:r>
          </w:p>
        </w:tc>
        <w:tc>
          <w:tcPr>
            <w:tcW w:w="2780" w:type="dxa"/>
            <w:vAlign w:val="bottom"/>
          </w:tcPr>
          <w:p>
            <w:pPr>
              <w:jc w:val="right"/>
              <w:ind w:right="584"/>
              <w:spacing w:after="0"/>
              <w:rPr>
                <w:sz w:val="20"/>
                <w:szCs w:val="20"/>
                <w:color w:val="auto"/>
              </w:rPr>
            </w:pPr>
            <w:r>
              <w:rPr>
                <w:rFonts w:ascii="Arial" w:cs="Arial" w:eastAsia="Arial" w:hAnsi="Arial"/>
                <w:sz w:val="16"/>
                <w:szCs w:val="16"/>
                <w:color w:val="auto"/>
              </w:rPr>
              <w:t>34,488(3)</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3,729,877</w:t>
            </w:r>
          </w:p>
        </w:tc>
      </w:tr>
    </w:tbl>
    <w:p>
      <w:pPr>
        <w:spacing w:after="0" w:line="186" w:lineRule="exact"/>
        <w:rPr>
          <w:sz w:val="20"/>
          <w:szCs w:val="20"/>
          <w:color w:val="auto"/>
        </w:rPr>
      </w:pPr>
    </w:p>
    <w:p>
      <w:pPr>
        <w:jc w:val="both"/>
        <w:ind w:left="960" w:right="460" w:hanging="293"/>
        <w:spacing w:after="0" w:line="241" w:lineRule="auto"/>
        <w:tabs>
          <w:tab w:leader="none" w:pos="9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 discussed above, Messrs. Zelnick and Slatoff have not received grants of stock or option awards but are partners in ZelnickMedia, which has received certain grants. On April 4, 2019, an aggregate of 208,886 shares of restricted stock held by ZelnickMedia vested. The value realized on vesting of such shares of restricted stock was $19,572,618.</w:t>
      </w:r>
    </w:p>
    <w:p>
      <w:pPr>
        <w:spacing w:after="0" w:line="1" w:lineRule="exact"/>
        <w:rPr>
          <w:rFonts w:ascii="Arial" w:cs="Arial" w:eastAsia="Arial" w:hAnsi="Arial"/>
          <w:sz w:val="14"/>
          <w:szCs w:val="14"/>
          <w:color w:val="auto"/>
        </w:rPr>
      </w:pPr>
    </w:p>
    <w:p>
      <w:pPr>
        <w:ind w:left="960" w:right="60" w:hanging="293"/>
        <w:spacing w:after="0" w:line="241" w:lineRule="auto"/>
        <w:tabs>
          <w:tab w:leader="none" w:pos="9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(i) 19,000 of performance-based RSUs and 3,167 time-based RSUs originally granted on June 1, 2016, which vested on May 31, 2019, (ii) 9,584 performance-based RSUs and 1,595 time-based RSUs originally granted on June 1, 2017, which vested on May 31, 2019 and (iii) 3,264 time-based RSUs originally granted on June 1, 2018, which vested on May 31, 2019. Maximum performance criteria were achieved for all such performance-based RSUs.</w:t>
      </w:r>
    </w:p>
    <w:p>
      <w:pPr>
        <w:spacing w:after="0" w:line="1" w:lineRule="exact"/>
        <w:rPr>
          <w:rFonts w:ascii="Arial" w:cs="Arial" w:eastAsia="Arial" w:hAnsi="Arial"/>
          <w:sz w:val="14"/>
          <w:szCs w:val="14"/>
          <w:color w:val="auto"/>
        </w:rPr>
      </w:pPr>
    </w:p>
    <w:p>
      <w:pPr>
        <w:ind w:left="960" w:right="60" w:hanging="293"/>
        <w:spacing w:after="0" w:line="247" w:lineRule="auto"/>
        <w:tabs>
          <w:tab w:leader="none" w:pos="9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(i) 19,000 of performance-based RSUs and 3,167 time-based RSUs originally granted on June 1, 2016, which vested on May 31, 2019, (ii) 9,584 performance-based RSUs and 1,595 time-based RSUs originally granted on June 1, 2017, which vested on May 31, 2019 and (iii) 1,142 time-based RSUs originally granted on June 1, 2018, which vested on May 31, 2019. Maximum performance criteria were achieved for all such performance-based RSUs.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right="400"/>
        <w:spacing w:after="0" w:line="260" w:lineRule="auto"/>
        <w:rPr>
          <w:sz w:val="20"/>
          <w:szCs w:val="20"/>
          <w:color w:val="auto"/>
        </w:rPr>
      </w:pPr>
      <w:r>
        <w:rPr>
          <w:rFonts w:ascii="Arial" w:cs="Arial" w:eastAsia="Arial" w:hAnsi="Arial"/>
          <w:sz w:val="16"/>
          <w:szCs w:val="16"/>
          <w:color w:val="auto"/>
        </w:rPr>
        <w:t>We do not currently sponsor or maintain any defined benefit pension or retirement plans providing specified retirement payments and benefits for our employees.</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Nonqualified Deferred Compensation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right="200"/>
        <w:spacing w:after="0" w:line="260" w:lineRule="auto"/>
        <w:rPr>
          <w:sz w:val="20"/>
          <w:szCs w:val="20"/>
          <w:color w:val="auto"/>
        </w:rPr>
      </w:pPr>
      <w:r>
        <w:rPr>
          <w:rFonts w:ascii="Arial" w:cs="Arial" w:eastAsia="Arial" w:hAnsi="Arial"/>
          <w:sz w:val="16"/>
          <w:szCs w:val="16"/>
          <w:color w:val="auto"/>
        </w:rPr>
        <w:t>We do not currently sponsor or maintain any nonqualified defined contribution or other nonqualified deferred compensation plans for the benefit of our employees.</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39" w:lineRule="exact"/>
        <w:rPr>
          <w:sz w:val="20"/>
          <w:szCs w:val="20"/>
          <w:color w:val="auto"/>
        </w:rPr>
      </w:pPr>
    </w:p>
    <w:p>
      <w:pPr>
        <w:ind w:left="660" w:right="100"/>
        <w:spacing w:after="0" w:line="249" w:lineRule="auto"/>
        <w:rPr>
          <w:sz w:val="20"/>
          <w:szCs w:val="20"/>
          <w:color w:val="auto"/>
        </w:rPr>
      </w:pPr>
      <w:r>
        <w:rPr>
          <w:rFonts w:ascii="Arial" w:cs="Arial" w:eastAsia="Arial" w:hAnsi="Arial"/>
          <w:sz w:val="16"/>
          <w:szCs w:val="16"/>
          <w:color w:val="auto"/>
        </w:rPr>
        <w:t>Ms. Goldstein and Mr. Emerson are entitled to receive certain amounts and benefits upon termination of their employment or a change in control pursuant to their employment agreements. Additionally, Ms. Goldstein and Mr. Emerson are eligible to participate in the CIC Severance Plan, to the extent they would be entitled to receive greater amounts and benefits under the CIC Severance Plan than under their employment agreements. Messrs. Zelnick and Slatoff are not entitled to receive directly any severance benefits from the Company upon a termination of employment or change in control. See “Certain Relationships and Related Transactions—Management Agreement” for details regarding certain payments and benefits that ZelnickMedia is entitled to receive upon certain qualifying terminations.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Employment Agreements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Lainie Goldstein</w:t>
      </w:r>
    </w:p>
    <w:p>
      <w:pPr>
        <w:spacing w:after="0" w:line="129" w:lineRule="exact"/>
        <w:rPr>
          <w:sz w:val="20"/>
          <w:szCs w:val="20"/>
          <w:color w:val="auto"/>
        </w:rPr>
      </w:pPr>
    </w:p>
    <w:p>
      <w:pPr>
        <w:jc w:val="both"/>
        <w:ind w:left="660" w:right="380"/>
        <w:spacing w:after="0" w:line="253" w:lineRule="auto"/>
        <w:rPr>
          <w:sz w:val="20"/>
          <w:szCs w:val="20"/>
          <w:color w:val="auto"/>
        </w:rPr>
      </w:pPr>
      <w:r>
        <w:rPr>
          <w:rFonts w:ascii="Arial" w:cs="Arial" w:eastAsia="Arial" w:hAnsi="Arial"/>
          <w:sz w:val="16"/>
          <w:szCs w:val="16"/>
          <w:color w:val="auto"/>
        </w:rPr>
        <w:t>Pursuant to the terms of Ms. Goldstein’s amended employment agreement in effect for fiscal 2020 and future fiscal years, she will be entitled to receive the following severance benefits upon a termination by the Company without cause (including a non-renewal of the agreement as well as her resignation following certain events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272415</wp:posOffset>
            </wp:positionV>
            <wp:extent cx="291465" cy="274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205740</wp:posOffset>
            </wp:positionV>
            <wp:extent cx="2023110"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023110" cy="128905"/>
                    </a:xfrm>
                    <a:prstGeom prst="rect">
                      <a:avLst/>
                    </a:prstGeom>
                    <a:noFill/>
                  </pic:spPr>
                </pic:pic>
              </a:graphicData>
            </a:graphic>
          </wp:anchor>
        </w:drawing>
      </w:r>
    </w:p>
    <w:p>
      <w:pPr>
        <w:spacing w:after="0" w:line="318"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XECUTIVE</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C</w:t>
      </w:r>
      <w:r>
        <w:rPr>
          <w:rFonts w:ascii="Arial" w:cs="Arial" w:eastAsia="Arial" w:hAnsi="Arial"/>
          <w:sz w:val="11"/>
          <w:szCs w:val="11"/>
          <w:b w:val="1"/>
          <w:bCs w:val="1"/>
          <w:color w:val="000000"/>
        </w:rPr>
        <w:t>OMPENSATION</w:t>
      </w:r>
    </w:p>
    <w:p>
      <w:pPr>
        <w:spacing w:after="0" w:line="200" w:lineRule="exact"/>
        <w:rPr>
          <w:sz w:val="20"/>
          <w:szCs w:val="20"/>
          <w:color w:val="auto"/>
        </w:rPr>
      </w:pPr>
    </w:p>
    <w:p>
      <w:pPr>
        <w:spacing w:after="0" w:line="248" w:lineRule="exact"/>
        <w:rPr>
          <w:sz w:val="20"/>
          <w:szCs w:val="20"/>
          <w:color w:val="auto"/>
        </w:rPr>
      </w:pPr>
    </w:p>
    <w:p>
      <w:pPr>
        <w:ind w:left="660" w:right="60"/>
        <w:spacing w:after="0" w:line="246" w:lineRule="auto"/>
        <w:rPr>
          <w:sz w:val="20"/>
          <w:szCs w:val="20"/>
          <w:color w:val="auto"/>
        </w:rPr>
      </w:pPr>
      <w:r>
        <w:rPr>
          <w:rFonts w:ascii="Arial" w:cs="Arial" w:eastAsia="Arial" w:hAnsi="Arial"/>
          <w:sz w:val="16"/>
          <w:szCs w:val="16"/>
          <w:color w:val="auto"/>
        </w:rPr>
        <w:t>will be deemed a termination without cause): (i) (w) a continuation of Ms. Goldstein’s then-current base salary for 24 months, (x) 2 times her target bonus of 100% of base salary, (y) a prorated target bonus for the year of termination (equal to 50% of target if such termination occurs during the first half of the year, and 100% of target if such termination occurs during the second half of the year), and (z) any unpaid bonuses earned in respect of the prior full fiscal year, (ii) reimbursement for the cost of continued health insurance coverage under COBRA or its equivalent for 24 months (or until Ms. Goldstein becomes entitled to coverage with a subsequent employer); and</w:t>
      </w:r>
    </w:p>
    <w:p>
      <w:pPr>
        <w:spacing w:after="0" w:line="2" w:lineRule="exact"/>
        <w:rPr>
          <w:sz w:val="20"/>
          <w:szCs w:val="20"/>
          <w:color w:val="auto"/>
        </w:rPr>
      </w:pPr>
    </w:p>
    <w:p>
      <w:pPr>
        <w:jc w:val="both"/>
        <w:ind w:left="660" w:right="20" w:firstLine="9"/>
        <w:spacing w:after="0" w:line="253" w:lineRule="auto"/>
        <w:tabs>
          <w:tab w:leader="none" w:pos="918" w:val="left"/>
        </w:tabs>
        <w:numPr>
          <w:ilvl w:val="0"/>
          <w:numId w:val="65"/>
        </w:numPr>
        <w:rPr>
          <w:rFonts w:ascii="Arial" w:cs="Arial" w:eastAsia="Arial" w:hAnsi="Arial"/>
          <w:sz w:val="16"/>
          <w:szCs w:val="16"/>
          <w:color w:val="auto"/>
        </w:rPr>
      </w:pPr>
      <w:r>
        <w:rPr>
          <w:rFonts w:ascii="Arial" w:cs="Arial" w:eastAsia="Arial" w:hAnsi="Arial"/>
          <w:sz w:val="16"/>
          <w:szCs w:val="16"/>
          <w:color w:val="auto"/>
        </w:rPr>
        <w:t>immediate vesting in all outstanding and unvested restricted equity then held by her. Ms. Goldstein has agreed not to compete with the Company or solicit any of the Company’s customers or personnel during her employment and for one year following any termination of her employment, all on the terms set forth in the employment agreement.</w:t>
      </w:r>
    </w:p>
    <w:p>
      <w:pPr>
        <w:spacing w:after="0" w:line="201" w:lineRule="exact"/>
        <w:rPr>
          <w:sz w:val="20"/>
          <w:szCs w:val="20"/>
          <w:color w:val="auto"/>
        </w:rPr>
      </w:pPr>
    </w:p>
    <w:p>
      <w:pPr>
        <w:ind w:left="660" w:right="260"/>
        <w:spacing w:after="0" w:line="248" w:lineRule="auto"/>
        <w:rPr>
          <w:sz w:val="20"/>
          <w:szCs w:val="20"/>
          <w:color w:val="auto"/>
        </w:rPr>
      </w:pPr>
      <w:r>
        <w:rPr>
          <w:rFonts w:ascii="Arial" w:cs="Arial" w:eastAsia="Arial" w:hAnsi="Arial"/>
          <w:sz w:val="16"/>
          <w:szCs w:val="16"/>
          <w:color w:val="auto"/>
        </w:rPr>
        <w:t>The employment agreement also provides that, upon a change in control of the Company, Ms. Goldstein will be entitled to a retention bonus equal to three months’ base salary upon the closing of the transaction, and three months’ base salary upon the six month anniversary thereof, in each case subject to her continued employment with the Company through the applicable payment date (or an earlier termination by the Company without cause (including a non-renewal of the employment agreement as well as her resignation following certain events that will be deemed a termination without cause)). The employment agreement also provides that any amounts received by her in connection with a change in control will be reduced if, pursuant to the excise tax provisions of the Code relating to “parachute payments,” such reduction would result in a greater after-tax benefit to her.</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Daniel Emerson</w:t>
      </w:r>
    </w:p>
    <w:p>
      <w:pPr>
        <w:spacing w:after="0" w:line="129" w:lineRule="exact"/>
        <w:rPr>
          <w:sz w:val="20"/>
          <w:szCs w:val="20"/>
          <w:color w:val="auto"/>
        </w:rPr>
      </w:pPr>
    </w:p>
    <w:p>
      <w:pPr>
        <w:ind w:left="660" w:right="80"/>
        <w:spacing w:after="0" w:line="246" w:lineRule="auto"/>
        <w:rPr>
          <w:sz w:val="20"/>
          <w:szCs w:val="20"/>
          <w:color w:val="auto"/>
        </w:rPr>
      </w:pPr>
      <w:r>
        <w:rPr>
          <w:rFonts w:ascii="Arial" w:cs="Arial" w:eastAsia="Arial" w:hAnsi="Arial"/>
          <w:sz w:val="16"/>
          <w:szCs w:val="16"/>
          <w:color w:val="auto"/>
        </w:rPr>
        <w:t>Pursuant to the terms of Mr. Emerson’s employment agreement, he will be entitled to receive the following severance benefits following a termination by the Company without cause (including his resignation following certain events that will be deemed a termination without cause): (i) for a period of 12 months following such termination of employment, continuation of his base salary and continued participation in Company welfare benefit plans (including, without limitation, any medical benefits in which he participates) on the same terms and conditions as in effect at the time of the event triggering his entitlement to severance; (ii) immediate vesting of all restricted equity previously granted to him; (iii) subject to the effective date of Mr. Emerson’s termination, payment of the following lump sum amounts:</w:t>
      </w:r>
    </w:p>
    <w:p>
      <w:pPr>
        <w:spacing w:after="0" w:line="2" w:lineRule="exact"/>
        <w:rPr>
          <w:sz w:val="20"/>
          <w:szCs w:val="20"/>
          <w:color w:val="auto"/>
        </w:rPr>
      </w:pPr>
    </w:p>
    <w:p>
      <w:pPr>
        <w:ind w:left="660" w:right="40" w:firstLine="9"/>
        <w:spacing w:after="0" w:line="248" w:lineRule="auto"/>
        <w:tabs>
          <w:tab w:leader="none" w:pos="891"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accrued but unpaid bonuses earned in respect of prior years; (y) if the termination is effective during the first half of the year, a lump sum payment equivalent to the sum of (1) the accrued but unpaid bonus for the prior fiscal year and (2) 50% of the target bonus for which Mr. Emerson would otherwise have been eligible in the current fiscal year; or (z) if such termination occurs during the second half of the year, a lump sum payment equivalent to the sum of (1) the accrued but unpaid bonus for the prior fiscal year and (2) the target bonus for which Mr. Emerson would otherwise have been eligible in the current fiscal year. Mr. Emerson has agreed not to solicit any of the Company’s customers or personnel during his employment and for one year following any termination of his employment, all on the terms set forth in the employment agreement.</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CIC Severance Plan</w:t>
      </w:r>
    </w:p>
    <w:p>
      <w:pPr>
        <w:spacing w:after="0" w:line="133" w:lineRule="exact"/>
        <w:rPr>
          <w:sz w:val="20"/>
          <w:szCs w:val="20"/>
          <w:color w:val="auto"/>
        </w:rPr>
      </w:pPr>
    </w:p>
    <w:p>
      <w:pPr>
        <w:ind w:left="660" w:right="240"/>
        <w:spacing w:after="0" w:line="246" w:lineRule="auto"/>
        <w:rPr>
          <w:sz w:val="20"/>
          <w:szCs w:val="20"/>
          <w:color w:val="auto"/>
        </w:rPr>
      </w:pPr>
      <w:r>
        <w:rPr>
          <w:rFonts w:ascii="Arial" w:cs="Arial" w:eastAsia="Arial" w:hAnsi="Arial"/>
          <w:sz w:val="16"/>
          <w:szCs w:val="16"/>
          <w:color w:val="auto"/>
        </w:rPr>
        <w:t>Pursuant to the CIC Severance Plan, certain eligible employees, including Ms. Goldstein and Mr. Emerson may receive certain benefits upon a termination of employment either by the Company without “cause” or voluntarily for “good reason,” in either case during the</w:t>
      </w:r>
    </w:p>
    <w:p>
      <w:pPr>
        <w:spacing w:after="0" w:line="1" w:lineRule="exact"/>
        <w:rPr>
          <w:sz w:val="20"/>
          <w:szCs w:val="20"/>
          <w:color w:val="auto"/>
        </w:rPr>
      </w:pPr>
    </w:p>
    <w:p>
      <w:pPr>
        <w:ind w:left="660" w:right="420"/>
        <w:spacing w:after="0" w:line="260" w:lineRule="auto"/>
        <w:rPr>
          <w:sz w:val="20"/>
          <w:szCs w:val="20"/>
          <w:color w:val="auto"/>
        </w:rPr>
      </w:pPr>
      <w:r>
        <w:rPr>
          <w:rFonts w:ascii="Arial" w:cs="Arial" w:eastAsia="Arial" w:hAnsi="Arial"/>
          <w:sz w:val="16"/>
          <w:szCs w:val="16"/>
          <w:color w:val="auto"/>
        </w:rPr>
        <w:t>12-month period following a change in control of the Company. The benefits that Ms. Goldstein and Mr. Emerson would be entitled to receive upon a qualifying termination of employment under the CIC Severance Plan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62865</wp:posOffset>
            </wp:positionV>
            <wp:extent cx="6292215" cy="6254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215" cy="62547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195" w:lineRule="exact"/>
        <w:rPr>
          <w:sz w:val="20"/>
          <w:szCs w:val="20"/>
          <w:color w:val="auto"/>
        </w:rPr>
      </w:pPr>
    </w:p>
    <w:p>
      <w:pPr>
        <w:ind w:left="1040" w:hanging="292"/>
        <w:spacing w:after="0" w:line="253" w:lineRule="auto"/>
        <w:tabs>
          <w:tab w:leader="none" w:pos="1040" w:val="left"/>
        </w:tabs>
        <w:numPr>
          <w:ilvl w:val="0"/>
          <w:numId w:val="67"/>
        </w:numPr>
        <w:rPr>
          <w:rFonts w:ascii="Arial" w:cs="Arial" w:eastAsia="Arial" w:hAnsi="Arial"/>
          <w:sz w:val="16"/>
          <w:szCs w:val="16"/>
          <w:color w:val="005CB9"/>
        </w:rPr>
      </w:pPr>
      <w:r>
        <w:rPr>
          <w:rFonts w:ascii="Arial" w:cs="Arial" w:eastAsia="Arial" w:hAnsi="Arial"/>
          <w:sz w:val="16"/>
          <w:szCs w:val="16"/>
          <w:color w:val="auto"/>
        </w:rPr>
        <w:t>a cash severance payment equal to 150% of the sum of the NEO’s annual base salary and target annual bonus or incentive opportunity;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276" w:hanging="276"/>
        <w:spacing w:after="0"/>
        <w:tabs>
          <w:tab w:leader="none" w:pos="276" w:val="left"/>
        </w:tabs>
        <w:numPr>
          <w:ilvl w:val="0"/>
          <w:numId w:val="68"/>
        </w:numPr>
        <w:rPr>
          <w:rFonts w:ascii="Arial" w:cs="Arial" w:eastAsia="Arial" w:hAnsi="Arial"/>
          <w:sz w:val="16"/>
          <w:szCs w:val="16"/>
          <w:color w:val="005CB9"/>
        </w:rPr>
      </w:pPr>
      <w:r>
        <w:rPr>
          <w:rFonts w:ascii="Arial" w:cs="Arial" w:eastAsia="Arial" w:hAnsi="Arial"/>
          <w:sz w:val="16"/>
          <w:szCs w:val="16"/>
          <w:color w:val="auto"/>
        </w:rPr>
        <w:t>continued health benefits for a period of 18 months; and</w:t>
      </w:r>
    </w:p>
    <w:p>
      <w:pPr>
        <w:spacing w:after="0" w:line="126" w:lineRule="exact"/>
        <w:rPr>
          <w:rFonts w:ascii="Arial" w:cs="Arial" w:eastAsia="Arial" w:hAnsi="Arial"/>
          <w:sz w:val="16"/>
          <w:szCs w:val="16"/>
          <w:color w:val="005CB9"/>
        </w:rPr>
      </w:pPr>
    </w:p>
    <w:p>
      <w:pPr>
        <w:ind w:left="276" w:right="340" w:hanging="276"/>
        <w:spacing w:after="0" w:line="260" w:lineRule="auto"/>
        <w:tabs>
          <w:tab w:leader="none" w:pos="276" w:val="left"/>
        </w:tabs>
        <w:numPr>
          <w:ilvl w:val="0"/>
          <w:numId w:val="68"/>
        </w:numPr>
        <w:rPr>
          <w:rFonts w:ascii="Arial" w:cs="Arial" w:eastAsia="Arial" w:hAnsi="Arial"/>
          <w:sz w:val="16"/>
          <w:szCs w:val="16"/>
          <w:color w:val="005CB9"/>
        </w:rPr>
      </w:pPr>
      <w:r>
        <w:rPr>
          <w:rFonts w:ascii="Arial" w:cs="Arial" w:eastAsia="Arial" w:hAnsi="Arial"/>
          <w:sz w:val="16"/>
          <w:szCs w:val="16"/>
          <w:color w:val="auto"/>
        </w:rPr>
        <w:t>full and immediate vesting of all outstanding and unvested equity awards.</w:t>
      </w:r>
    </w:p>
    <w:p>
      <w:pPr>
        <w:spacing w:after="0" w:line="200" w:lineRule="exact"/>
        <w:rPr>
          <w:sz w:val="20"/>
          <w:szCs w:val="20"/>
          <w:color w:val="auto"/>
        </w:rPr>
      </w:pPr>
    </w:p>
    <w:p>
      <w:pPr>
        <w:sectPr>
          <w:pgSz w:w="11900" w:h="16838" w:orient="portrait"/>
          <w:cols w:equalWidth="0" w:num="2">
            <w:col w:w="5300" w:space="504"/>
            <w:col w:w="4776"/>
          </w:cols>
          <w:pgMar w:left="320" w:top="459" w:right="999" w:bottom="1440" w:gutter="0" w:footer="0" w:header="0"/>
          <w:type w:val="continuous"/>
        </w:sectPr>
      </w:pPr>
    </w:p>
    <w:p>
      <w:pPr>
        <w:spacing w:after="0" w:line="198" w:lineRule="exact"/>
        <w:rPr>
          <w:sz w:val="20"/>
          <w:szCs w:val="20"/>
          <w:color w:val="auto"/>
        </w:rPr>
      </w:pPr>
    </w:p>
    <w:p>
      <w:pPr>
        <w:ind w:left="660" w:right="580"/>
        <w:spacing w:after="0" w:line="260" w:lineRule="auto"/>
        <w:rPr>
          <w:sz w:val="20"/>
          <w:szCs w:val="20"/>
          <w:color w:val="auto"/>
        </w:rPr>
      </w:pPr>
      <w:r>
        <w:rPr>
          <w:rFonts w:ascii="Arial" w:cs="Arial" w:eastAsia="Arial" w:hAnsi="Arial"/>
          <w:sz w:val="16"/>
          <w:szCs w:val="16"/>
          <w:color w:val="auto"/>
        </w:rPr>
        <w:t>For purposes of the CIC Severance Plan, Ms. Goldstein and Mr. Emerson will be deemed to have resigned for “good reason” if the resignation occurs or occurred, as applicable, in connection with any of the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259715</wp:posOffset>
            </wp:positionV>
            <wp:extent cx="291465" cy="274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bl>
    <w:p>
      <w:pPr>
        <w:sectPr>
          <w:pgSz w:w="11900" w:h="16838" w:orient="portrait"/>
          <w:cols w:equalWidth="0" w:num="1">
            <w:col w:w="10580"/>
          </w:cols>
          <w:pgMar w:left="320" w:top="459" w:right="99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962785"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62785" cy="137160"/>
                    </a:xfrm>
                    <a:prstGeom prst="rect">
                      <a:avLst/>
                    </a:prstGeom>
                    <a:noFill/>
                  </pic:spPr>
                </pic:pic>
              </a:graphicData>
            </a:graphic>
          </wp:anchor>
        </w:drawing>
      </w:r>
    </w:p>
    <w:p>
      <w:pPr>
        <w:spacing w:after="0" w:line="33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XECUTIVE</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C</w:t>
      </w:r>
      <w:r>
        <w:rPr>
          <w:rFonts w:ascii="Arial" w:cs="Arial" w:eastAsia="Arial" w:hAnsi="Arial"/>
          <w:sz w:val="11"/>
          <w:szCs w:val="11"/>
          <w:b w:val="1"/>
          <w:bCs w:val="1"/>
          <w:color w:val="000000"/>
        </w:rPr>
        <w:t>OMPENSATION</w:t>
      </w:r>
    </w:p>
    <w:p>
      <w:pPr>
        <w:spacing w:after="0" w:line="200" w:lineRule="exact"/>
        <w:rPr>
          <w:sz w:val="20"/>
          <w:szCs w:val="20"/>
          <w:color w:val="auto"/>
        </w:rPr>
      </w:pPr>
    </w:p>
    <w:p>
      <w:pPr>
        <w:spacing w:after="0" w:line="248" w:lineRule="exact"/>
        <w:rPr>
          <w:sz w:val="20"/>
          <w:szCs w:val="20"/>
          <w:color w:val="auto"/>
        </w:rPr>
      </w:pPr>
    </w:p>
    <w:p>
      <w:pPr>
        <w:ind w:left="660" w:right="280"/>
        <w:spacing w:after="0" w:line="249" w:lineRule="auto"/>
        <w:rPr>
          <w:sz w:val="20"/>
          <w:szCs w:val="20"/>
          <w:color w:val="auto"/>
        </w:rPr>
      </w:pPr>
      <w:r>
        <w:rPr>
          <w:rFonts w:ascii="Arial" w:cs="Arial" w:eastAsia="Arial" w:hAnsi="Arial"/>
          <w:sz w:val="16"/>
          <w:szCs w:val="16"/>
          <w:color w:val="auto"/>
        </w:rPr>
        <w:t>specified in the employment agreements, such that the resignation would be or would have been, as applicable, tantamount to a termination without cause under the terms of the employment agreements. For purposes of the CIC Severance Plan, “cause” generally means a participant’s continued failure to substantially perform the participant’s duties after receipt of notice from the Company, a participant’s criminal conviction which is demonstrably injurious to the Company, a participant’s felony conviction, a participant’s gross negligence which affects the Company or a participant’s failure to adhere to the Company’s written policies or to cooperate in any investigation or inquiry involving the Company.</w:t>
      </w:r>
    </w:p>
    <w:p>
      <w:pPr>
        <w:spacing w:after="0" w:line="205"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Severance benefits provided under the CIC Severance Plan are subject to reduction to avoid any excise tax on “parachute payments” under Section 280G of the Code if the employee would benefit from such reduction as opposed to receiving the full severance benefits and paying the excise tax. All employees who accept severance payments and, if applicable, the continued health coverage under the CIC Severance Plan are required to sign a release and are subject to restrictions on the solicitation of employees and customers of the Company for a period of six months following termination as well as a non-disparagement obligation. In addition, all employees who accept any benefits under the CIC Severance Plan are subject to a duty to cooperate reasonably with the Company in any litigation relating to matters in which the employee was personally involved. We do not provide for any tax gross-ups in respect of any excise taxes on parachute payments.</w:t>
      </w:r>
    </w:p>
    <w:p>
      <w:pPr>
        <w:spacing w:after="0" w:line="397" w:lineRule="exact"/>
        <w:rPr>
          <w:sz w:val="20"/>
          <w:szCs w:val="20"/>
          <w:color w:val="auto"/>
        </w:rPr>
      </w:pPr>
    </w:p>
    <w:p>
      <w:pPr>
        <w:ind w:left="660" w:right="120"/>
        <w:spacing w:after="0" w:line="251" w:lineRule="auto"/>
        <w:rPr>
          <w:sz w:val="20"/>
          <w:szCs w:val="20"/>
          <w:color w:val="auto"/>
        </w:rPr>
      </w:pPr>
      <w:r>
        <w:rPr>
          <w:rFonts w:ascii="Arial" w:cs="Arial" w:eastAsia="Arial" w:hAnsi="Arial"/>
          <w:sz w:val="16"/>
          <w:szCs w:val="16"/>
          <w:color w:val="auto"/>
        </w:rPr>
        <w:t>The tables below set forth amounts to be paid or benefits received by those NEOs entitled to receive any amounts or benefits upon termination of their employment or a change in control, assuming the applicable triggering event occurred on March 31, 2020 pursuant to their employment agreements and the CIC Severance Plan (to the extent the benefits under the CIC Severance Plan would be greater than the benefits under the employment agreements).</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360" w:type="dxa"/>
            <w:vAlign w:val="bottom"/>
            <w:shd w:val="clear" w:color="auto" w:fill="005CB9"/>
          </w:tcPr>
          <w:p>
            <w:pPr>
              <w:spacing w:after="0"/>
              <w:rPr>
                <w:sz w:val="14"/>
                <w:szCs w:val="14"/>
                <w:color w:val="auto"/>
              </w:rPr>
            </w:pPr>
          </w:p>
        </w:tc>
        <w:tc>
          <w:tcPr>
            <w:tcW w:w="1160" w:type="dxa"/>
            <w:vAlign w:val="bottom"/>
            <w:tcBorders>
              <w:right w:val="single" w:sz="8" w:color="005CB9"/>
            </w:tcBorders>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40" w:type="dxa"/>
            <w:vAlign w:val="bottom"/>
            <w:shd w:val="clear" w:color="auto" w:fill="005CB9"/>
          </w:tcPr>
          <w:p>
            <w:pPr>
              <w:spacing w:after="0"/>
              <w:rPr>
                <w:sz w:val="14"/>
                <w:szCs w:val="14"/>
                <w:color w:val="auto"/>
              </w:rPr>
            </w:pPr>
          </w:p>
        </w:tc>
        <w:tc>
          <w:tcPr>
            <w:tcW w:w="40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76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340" w:type="dxa"/>
            <w:vAlign w:val="bottom"/>
            <w:shd w:val="clear" w:color="auto" w:fill="005CB9"/>
          </w:tcPr>
          <w:p>
            <w:pPr>
              <w:spacing w:after="0"/>
              <w:rPr>
                <w:sz w:val="14"/>
                <w:szCs w:val="14"/>
                <w:color w:val="auto"/>
              </w:rPr>
            </w:pPr>
          </w:p>
        </w:tc>
        <w:tc>
          <w:tcPr>
            <w:tcW w:w="1620" w:type="dxa"/>
            <w:vAlign w:val="bottom"/>
            <w:gridSpan w:val="4"/>
            <w:shd w:val="clear" w:color="auto" w:fill="005CB9"/>
          </w:tcPr>
          <w:p>
            <w:pPr>
              <w:jc w:val="center"/>
              <w:ind w:right="600"/>
              <w:spacing w:after="0"/>
              <w:rPr>
                <w:sz w:val="20"/>
                <w:szCs w:val="20"/>
                <w:color w:val="auto"/>
              </w:rPr>
            </w:pPr>
            <w:r>
              <w:rPr>
                <w:rFonts w:ascii="Arial" w:cs="Arial" w:eastAsia="Arial" w:hAnsi="Arial"/>
                <w:sz w:val="14"/>
                <w:szCs w:val="14"/>
                <w:b w:val="1"/>
                <w:bCs w:val="1"/>
                <w:color w:val="FFFFFF"/>
              </w:rPr>
              <w:t>Change in</w:t>
            </w:r>
          </w:p>
        </w:tc>
        <w:tc>
          <w:tcPr>
            <w:tcW w:w="220" w:type="dxa"/>
            <w:vAlign w:val="bottom"/>
            <w:shd w:val="clear" w:color="auto" w:fill="005CB9"/>
          </w:tcPr>
          <w:p>
            <w:pPr>
              <w:spacing w:after="0"/>
              <w:rPr>
                <w:sz w:val="14"/>
                <w:szCs w:val="14"/>
                <w:color w:val="auto"/>
              </w:rPr>
            </w:pPr>
          </w:p>
        </w:tc>
        <w:tc>
          <w:tcPr>
            <w:tcW w:w="820" w:type="dxa"/>
            <w:vAlign w:val="bottom"/>
            <w:shd w:val="clear" w:color="auto" w:fill="005CB9"/>
          </w:tcPr>
          <w:p>
            <w:pPr>
              <w:spacing w:after="0"/>
              <w:rPr>
                <w:sz w:val="14"/>
                <w:szCs w:val="14"/>
                <w:color w:val="auto"/>
              </w:rPr>
            </w:pPr>
          </w:p>
        </w:tc>
        <w:tc>
          <w:tcPr>
            <w:tcW w:w="220" w:type="dxa"/>
            <w:vAlign w:val="bottom"/>
            <w:shd w:val="clear" w:color="auto" w:fill="005CB9"/>
          </w:tcPr>
          <w:p>
            <w:pPr>
              <w:spacing w:after="0"/>
              <w:rPr>
                <w:sz w:val="14"/>
                <w:szCs w:val="14"/>
                <w:color w:val="auto"/>
              </w:rPr>
            </w:pPr>
          </w:p>
        </w:tc>
      </w:tr>
      <w:tr>
        <w:trPr>
          <w:trHeight w:val="162"/>
        </w:trPr>
        <w:tc>
          <w:tcPr>
            <w:tcW w:w="3360" w:type="dxa"/>
            <w:vAlign w:val="bottom"/>
            <w:shd w:val="clear" w:color="auto" w:fill="005CB9"/>
          </w:tcPr>
          <w:p>
            <w:pPr>
              <w:spacing w:after="0"/>
              <w:rPr>
                <w:sz w:val="14"/>
                <w:szCs w:val="14"/>
                <w:color w:val="auto"/>
              </w:rPr>
            </w:pPr>
          </w:p>
        </w:tc>
        <w:tc>
          <w:tcPr>
            <w:tcW w:w="1160" w:type="dxa"/>
            <w:vAlign w:val="bottom"/>
            <w:tcBorders>
              <w:right w:val="single" w:sz="8" w:color="005CB9"/>
            </w:tcBorders>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40" w:type="dxa"/>
            <w:vAlign w:val="bottom"/>
            <w:shd w:val="clear" w:color="auto" w:fill="005CB9"/>
          </w:tcPr>
          <w:p>
            <w:pPr>
              <w:spacing w:after="0"/>
              <w:rPr>
                <w:sz w:val="14"/>
                <w:szCs w:val="14"/>
                <w:color w:val="auto"/>
              </w:rPr>
            </w:pPr>
          </w:p>
        </w:tc>
        <w:tc>
          <w:tcPr>
            <w:tcW w:w="40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76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340" w:type="dxa"/>
            <w:vAlign w:val="bottom"/>
            <w:shd w:val="clear" w:color="auto" w:fill="005CB9"/>
          </w:tcPr>
          <w:p>
            <w:pPr>
              <w:spacing w:after="0"/>
              <w:rPr>
                <w:sz w:val="14"/>
                <w:szCs w:val="14"/>
                <w:color w:val="auto"/>
              </w:rPr>
            </w:pPr>
          </w:p>
        </w:tc>
        <w:tc>
          <w:tcPr>
            <w:tcW w:w="160" w:type="dxa"/>
            <w:vAlign w:val="bottom"/>
            <w:shd w:val="clear" w:color="auto" w:fill="005CB9"/>
          </w:tcPr>
          <w:p>
            <w:pPr>
              <w:spacing w:after="0"/>
              <w:rPr>
                <w:sz w:val="14"/>
                <w:szCs w:val="14"/>
                <w:color w:val="auto"/>
              </w:rPr>
            </w:pPr>
          </w:p>
        </w:tc>
        <w:tc>
          <w:tcPr>
            <w:tcW w:w="1460" w:type="dxa"/>
            <w:vAlign w:val="bottom"/>
            <w:gridSpan w:val="3"/>
            <w:shd w:val="clear" w:color="auto" w:fill="005CB9"/>
          </w:tcPr>
          <w:p>
            <w:pPr>
              <w:jc w:val="center"/>
              <w:ind w:right="760"/>
              <w:spacing w:after="0"/>
              <w:rPr>
                <w:sz w:val="20"/>
                <w:szCs w:val="20"/>
                <w:color w:val="auto"/>
              </w:rPr>
            </w:pPr>
            <w:r>
              <w:rPr>
                <w:rFonts w:ascii="Arial" w:cs="Arial" w:eastAsia="Arial" w:hAnsi="Arial"/>
                <w:sz w:val="14"/>
                <w:szCs w:val="14"/>
                <w:b w:val="1"/>
                <w:bCs w:val="1"/>
                <w:color w:val="FFFFFF"/>
              </w:rPr>
              <w:t>Control</w:t>
            </w:r>
          </w:p>
        </w:tc>
        <w:tc>
          <w:tcPr>
            <w:tcW w:w="220" w:type="dxa"/>
            <w:vAlign w:val="bottom"/>
            <w:shd w:val="clear" w:color="auto" w:fill="005CB9"/>
          </w:tcPr>
          <w:p>
            <w:pPr>
              <w:spacing w:after="0"/>
              <w:rPr>
                <w:sz w:val="14"/>
                <w:szCs w:val="14"/>
                <w:color w:val="auto"/>
              </w:rPr>
            </w:pPr>
          </w:p>
        </w:tc>
        <w:tc>
          <w:tcPr>
            <w:tcW w:w="820" w:type="dxa"/>
            <w:vAlign w:val="bottom"/>
            <w:shd w:val="clear" w:color="auto" w:fill="005CB9"/>
          </w:tcPr>
          <w:p>
            <w:pPr>
              <w:spacing w:after="0"/>
              <w:rPr>
                <w:sz w:val="14"/>
                <w:szCs w:val="14"/>
                <w:color w:val="auto"/>
              </w:rPr>
            </w:pPr>
          </w:p>
        </w:tc>
        <w:tc>
          <w:tcPr>
            <w:tcW w:w="220" w:type="dxa"/>
            <w:vAlign w:val="bottom"/>
            <w:shd w:val="clear" w:color="auto" w:fill="005CB9"/>
          </w:tcPr>
          <w:p>
            <w:pPr>
              <w:spacing w:after="0"/>
              <w:rPr>
                <w:sz w:val="14"/>
                <w:szCs w:val="14"/>
                <w:color w:val="auto"/>
              </w:rPr>
            </w:pPr>
          </w:p>
        </w:tc>
      </w:tr>
      <w:tr>
        <w:trPr>
          <w:trHeight w:val="162"/>
        </w:trPr>
        <w:tc>
          <w:tcPr>
            <w:tcW w:w="3360" w:type="dxa"/>
            <w:vAlign w:val="bottom"/>
            <w:shd w:val="clear" w:color="auto" w:fill="005CB9"/>
          </w:tcPr>
          <w:p>
            <w:pPr>
              <w:spacing w:after="0"/>
              <w:rPr>
                <w:sz w:val="14"/>
                <w:szCs w:val="14"/>
                <w:color w:val="auto"/>
              </w:rPr>
            </w:pPr>
          </w:p>
        </w:tc>
        <w:tc>
          <w:tcPr>
            <w:tcW w:w="1160" w:type="dxa"/>
            <w:vAlign w:val="bottom"/>
            <w:tcBorders>
              <w:right w:val="single" w:sz="8" w:color="005CB9"/>
            </w:tcBorders>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40" w:type="dxa"/>
            <w:vAlign w:val="bottom"/>
            <w:shd w:val="clear" w:color="auto" w:fill="005CB9"/>
          </w:tcPr>
          <w:p>
            <w:pPr>
              <w:spacing w:after="0"/>
              <w:rPr>
                <w:sz w:val="14"/>
                <w:szCs w:val="14"/>
                <w:color w:val="auto"/>
              </w:rPr>
            </w:pPr>
          </w:p>
        </w:tc>
        <w:tc>
          <w:tcPr>
            <w:tcW w:w="40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76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340" w:type="dxa"/>
            <w:vAlign w:val="bottom"/>
            <w:shd w:val="clear" w:color="auto" w:fill="005CB9"/>
          </w:tcPr>
          <w:p>
            <w:pPr>
              <w:spacing w:after="0"/>
              <w:rPr>
                <w:sz w:val="14"/>
                <w:szCs w:val="14"/>
                <w:color w:val="auto"/>
              </w:rPr>
            </w:pPr>
          </w:p>
        </w:tc>
        <w:tc>
          <w:tcPr>
            <w:tcW w:w="1620" w:type="dxa"/>
            <w:vAlign w:val="bottom"/>
            <w:gridSpan w:val="4"/>
            <w:shd w:val="clear" w:color="auto" w:fill="005CB9"/>
          </w:tcPr>
          <w:p>
            <w:pPr>
              <w:jc w:val="center"/>
              <w:ind w:right="600"/>
              <w:spacing w:after="0"/>
              <w:rPr>
                <w:sz w:val="20"/>
                <w:szCs w:val="20"/>
                <w:color w:val="auto"/>
              </w:rPr>
            </w:pPr>
            <w:r>
              <w:rPr>
                <w:rFonts w:ascii="Arial" w:cs="Arial" w:eastAsia="Arial" w:hAnsi="Arial"/>
                <w:sz w:val="14"/>
                <w:szCs w:val="14"/>
                <w:b w:val="1"/>
                <w:bCs w:val="1"/>
                <w:color w:val="FFFFFF"/>
              </w:rPr>
              <w:t>Termination</w:t>
            </w:r>
          </w:p>
        </w:tc>
        <w:tc>
          <w:tcPr>
            <w:tcW w:w="1260" w:type="dxa"/>
            <w:vAlign w:val="bottom"/>
            <w:gridSpan w:val="3"/>
            <w:shd w:val="clear" w:color="auto" w:fill="005CB9"/>
          </w:tcPr>
          <w:p>
            <w:pPr>
              <w:jc w:val="center"/>
              <w:ind w:right="200"/>
              <w:spacing w:after="0"/>
              <w:rPr>
                <w:sz w:val="20"/>
                <w:szCs w:val="20"/>
                <w:color w:val="auto"/>
              </w:rPr>
            </w:pPr>
            <w:r>
              <w:rPr>
                <w:rFonts w:ascii="Arial" w:cs="Arial" w:eastAsia="Arial" w:hAnsi="Arial"/>
                <w:sz w:val="14"/>
                <w:szCs w:val="14"/>
                <w:b w:val="1"/>
                <w:bCs w:val="1"/>
                <w:color w:val="FFFFFF"/>
              </w:rPr>
              <w:t>Change in</w:t>
            </w:r>
          </w:p>
        </w:tc>
      </w:tr>
      <w:tr>
        <w:trPr>
          <w:trHeight w:val="162"/>
        </w:trPr>
        <w:tc>
          <w:tcPr>
            <w:tcW w:w="3360" w:type="dxa"/>
            <w:vAlign w:val="bottom"/>
            <w:shd w:val="clear" w:color="auto" w:fill="005CB9"/>
          </w:tcPr>
          <w:p>
            <w:pPr>
              <w:spacing w:after="0"/>
              <w:rPr>
                <w:sz w:val="14"/>
                <w:szCs w:val="14"/>
                <w:color w:val="auto"/>
              </w:rPr>
            </w:pPr>
          </w:p>
        </w:tc>
        <w:tc>
          <w:tcPr>
            <w:tcW w:w="1160" w:type="dxa"/>
            <w:vAlign w:val="bottom"/>
            <w:tcBorders>
              <w:right w:val="single" w:sz="8" w:color="005CB9"/>
            </w:tcBorders>
            <w:shd w:val="clear" w:color="auto" w:fill="005CB9"/>
          </w:tcPr>
          <w:p>
            <w:pPr>
              <w:spacing w:after="0"/>
              <w:rPr>
                <w:sz w:val="14"/>
                <w:szCs w:val="14"/>
                <w:color w:val="auto"/>
              </w:rPr>
            </w:pPr>
          </w:p>
        </w:tc>
        <w:tc>
          <w:tcPr>
            <w:tcW w:w="1220" w:type="dxa"/>
            <w:vAlign w:val="bottom"/>
            <w:gridSpan w:val="3"/>
            <w:shd w:val="clear" w:color="auto" w:fill="005CB9"/>
          </w:tcPr>
          <w:p>
            <w:pPr>
              <w:jc w:val="center"/>
              <w:ind w:right="440"/>
              <w:spacing w:after="0"/>
              <w:rPr>
                <w:sz w:val="20"/>
                <w:szCs w:val="20"/>
                <w:color w:val="auto"/>
              </w:rPr>
            </w:pPr>
            <w:r>
              <w:rPr>
                <w:rFonts w:ascii="Arial" w:cs="Arial" w:eastAsia="Arial" w:hAnsi="Arial"/>
                <w:sz w:val="14"/>
                <w:szCs w:val="14"/>
                <w:b w:val="1"/>
                <w:bCs w:val="1"/>
                <w:color w:val="FFFFFF"/>
                <w:w w:val="97"/>
              </w:rPr>
              <w:t>Termination</w:t>
            </w:r>
          </w:p>
        </w:tc>
        <w:tc>
          <w:tcPr>
            <w:tcW w:w="100" w:type="dxa"/>
            <w:vAlign w:val="bottom"/>
            <w:shd w:val="clear" w:color="auto" w:fill="005CB9"/>
          </w:tcPr>
          <w:p>
            <w:pPr>
              <w:spacing w:after="0"/>
              <w:rPr>
                <w:sz w:val="14"/>
                <w:szCs w:val="14"/>
                <w:color w:val="auto"/>
              </w:rPr>
            </w:pPr>
          </w:p>
        </w:tc>
        <w:tc>
          <w:tcPr>
            <w:tcW w:w="76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340" w:type="dxa"/>
            <w:vAlign w:val="bottom"/>
            <w:shd w:val="clear" w:color="auto" w:fill="005CB9"/>
          </w:tcPr>
          <w:p>
            <w:pPr>
              <w:spacing w:after="0"/>
              <w:rPr>
                <w:sz w:val="14"/>
                <w:szCs w:val="14"/>
                <w:color w:val="auto"/>
              </w:rPr>
            </w:pPr>
          </w:p>
        </w:tc>
        <w:tc>
          <w:tcPr>
            <w:tcW w:w="1620" w:type="dxa"/>
            <w:vAlign w:val="bottom"/>
            <w:gridSpan w:val="4"/>
            <w:shd w:val="clear" w:color="auto" w:fill="005CB9"/>
          </w:tcPr>
          <w:p>
            <w:pPr>
              <w:jc w:val="center"/>
              <w:ind w:right="600"/>
              <w:spacing w:after="0"/>
              <w:rPr>
                <w:sz w:val="20"/>
                <w:szCs w:val="20"/>
                <w:color w:val="auto"/>
              </w:rPr>
            </w:pPr>
            <w:r>
              <w:rPr>
                <w:rFonts w:ascii="Arial" w:cs="Arial" w:eastAsia="Arial" w:hAnsi="Arial"/>
                <w:sz w:val="14"/>
                <w:szCs w:val="14"/>
                <w:b w:val="1"/>
                <w:bCs w:val="1"/>
                <w:color w:val="FFFFFF"/>
              </w:rPr>
              <w:t>Without Cause</w:t>
            </w:r>
          </w:p>
        </w:tc>
        <w:tc>
          <w:tcPr>
            <w:tcW w:w="220" w:type="dxa"/>
            <w:vAlign w:val="bottom"/>
            <w:shd w:val="clear" w:color="auto" w:fill="005CB9"/>
          </w:tcPr>
          <w:p>
            <w:pPr>
              <w:spacing w:after="0"/>
              <w:rPr>
                <w:sz w:val="14"/>
                <w:szCs w:val="14"/>
                <w:color w:val="auto"/>
              </w:rPr>
            </w:pPr>
          </w:p>
        </w:tc>
        <w:tc>
          <w:tcPr>
            <w:tcW w:w="1040" w:type="dxa"/>
            <w:vAlign w:val="bottom"/>
            <w:gridSpan w:val="2"/>
            <w:shd w:val="clear" w:color="auto" w:fill="005CB9"/>
          </w:tcPr>
          <w:p>
            <w:pPr>
              <w:jc w:val="center"/>
              <w:ind w:right="440"/>
              <w:spacing w:after="0"/>
              <w:rPr>
                <w:sz w:val="20"/>
                <w:szCs w:val="20"/>
                <w:color w:val="auto"/>
              </w:rPr>
            </w:pPr>
            <w:r>
              <w:rPr>
                <w:rFonts w:ascii="Arial" w:cs="Arial" w:eastAsia="Arial" w:hAnsi="Arial"/>
                <w:sz w:val="14"/>
                <w:szCs w:val="14"/>
                <w:b w:val="1"/>
                <w:bCs w:val="1"/>
                <w:color w:val="FFFFFF"/>
              </w:rPr>
              <w:t>Control</w:t>
            </w:r>
          </w:p>
        </w:tc>
      </w:tr>
      <w:tr>
        <w:trPr>
          <w:trHeight w:val="162"/>
        </w:trPr>
        <w:tc>
          <w:tcPr>
            <w:tcW w:w="3360" w:type="dxa"/>
            <w:vAlign w:val="bottom"/>
            <w:shd w:val="clear" w:color="auto" w:fill="005CB9"/>
          </w:tcPr>
          <w:p>
            <w:pPr>
              <w:spacing w:after="0"/>
              <w:rPr>
                <w:sz w:val="14"/>
                <w:szCs w:val="14"/>
                <w:color w:val="auto"/>
              </w:rPr>
            </w:pPr>
          </w:p>
        </w:tc>
        <w:tc>
          <w:tcPr>
            <w:tcW w:w="1160" w:type="dxa"/>
            <w:vAlign w:val="bottom"/>
            <w:tcBorders>
              <w:right w:val="single" w:sz="8" w:color="005CB9"/>
            </w:tcBorders>
            <w:shd w:val="clear" w:color="auto" w:fill="005CB9"/>
          </w:tcPr>
          <w:p>
            <w:pPr>
              <w:spacing w:after="0"/>
              <w:rPr>
                <w:sz w:val="14"/>
                <w:szCs w:val="14"/>
                <w:color w:val="auto"/>
              </w:rPr>
            </w:pPr>
          </w:p>
        </w:tc>
        <w:tc>
          <w:tcPr>
            <w:tcW w:w="1220" w:type="dxa"/>
            <w:vAlign w:val="bottom"/>
            <w:gridSpan w:val="3"/>
            <w:shd w:val="clear" w:color="auto" w:fill="005CB9"/>
          </w:tcPr>
          <w:p>
            <w:pPr>
              <w:jc w:val="center"/>
              <w:ind w:right="480"/>
              <w:spacing w:after="0"/>
              <w:rPr>
                <w:sz w:val="20"/>
                <w:szCs w:val="20"/>
                <w:color w:val="auto"/>
              </w:rPr>
            </w:pPr>
            <w:r>
              <w:rPr>
                <w:rFonts w:ascii="Arial" w:cs="Arial" w:eastAsia="Arial" w:hAnsi="Arial"/>
                <w:sz w:val="14"/>
                <w:szCs w:val="14"/>
                <w:b w:val="1"/>
                <w:bCs w:val="1"/>
                <w:color w:val="FFFFFF"/>
              </w:rPr>
              <w:t>Without</w:t>
            </w:r>
          </w:p>
        </w:tc>
        <w:tc>
          <w:tcPr>
            <w:tcW w:w="100" w:type="dxa"/>
            <w:vAlign w:val="bottom"/>
            <w:shd w:val="clear" w:color="auto" w:fill="005CB9"/>
          </w:tcPr>
          <w:p>
            <w:pPr>
              <w:spacing w:after="0"/>
              <w:rPr>
                <w:sz w:val="14"/>
                <w:szCs w:val="14"/>
                <w:color w:val="auto"/>
              </w:rPr>
            </w:pPr>
          </w:p>
        </w:tc>
        <w:tc>
          <w:tcPr>
            <w:tcW w:w="1200" w:type="dxa"/>
            <w:vAlign w:val="bottom"/>
            <w:gridSpan w:val="3"/>
            <w:shd w:val="clear" w:color="auto" w:fill="005CB9"/>
          </w:tcPr>
          <w:p>
            <w:pPr>
              <w:jc w:val="right"/>
              <w:ind w:right="580"/>
              <w:spacing w:after="0"/>
              <w:rPr>
                <w:sz w:val="20"/>
                <w:szCs w:val="20"/>
                <w:color w:val="auto"/>
              </w:rPr>
            </w:pPr>
            <w:r>
              <w:rPr>
                <w:rFonts w:ascii="Arial" w:cs="Arial" w:eastAsia="Arial" w:hAnsi="Arial"/>
                <w:sz w:val="14"/>
                <w:szCs w:val="14"/>
                <w:b w:val="1"/>
                <w:bCs w:val="1"/>
                <w:color w:val="FFFFFF"/>
              </w:rPr>
              <w:t>Death or</w:t>
            </w:r>
          </w:p>
        </w:tc>
        <w:tc>
          <w:tcPr>
            <w:tcW w:w="1620" w:type="dxa"/>
            <w:vAlign w:val="bottom"/>
            <w:gridSpan w:val="4"/>
            <w:shd w:val="clear" w:color="auto" w:fill="005CB9"/>
          </w:tcPr>
          <w:p>
            <w:pPr>
              <w:jc w:val="center"/>
              <w:ind w:right="600"/>
              <w:spacing w:after="0"/>
              <w:rPr>
                <w:sz w:val="20"/>
                <w:szCs w:val="20"/>
                <w:color w:val="auto"/>
              </w:rPr>
            </w:pPr>
            <w:r>
              <w:rPr>
                <w:rFonts w:ascii="Arial" w:cs="Arial" w:eastAsia="Arial" w:hAnsi="Arial"/>
                <w:sz w:val="14"/>
                <w:szCs w:val="14"/>
                <w:b w:val="1"/>
                <w:bCs w:val="1"/>
                <w:color w:val="FFFFFF"/>
              </w:rPr>
              <w:t>or for Good</w:t>
            </w:r>
          </w:p>
        </w:tc>
        <w:tc>
          <w:tcPr>
            <w:tcW w:w="220" w:type="dxa"/>
            <w:vAlign w:val="bottom"/>
            <w:shd w:val="clear" w:color="auto" w:fill="005CB9"/>
          </w:tcPr>
          <w:p>
            <w:pPr>
              <w:spacing w:after="0"/>
              <w:rPr>
                <w:sz w:val="14"/>
                <w:szCs w:val="14"/>
                <w:color w:val="auto"/>
              </w:rPr>
            </w:pPr>
          </w:p>
        </w:tc>
        <w:tc>
          <w:tcPr>
            <w:tcW w:w="1040" w:type="dxa"/>
            <w:vAlign w:val="bottom"/>
            <w:gridSpan w:val="2"/>
            <w:shd w:val="clear" w:color="auto" w:fill="005CB9"/>
          </w:tcPr>
          <w:p>
            <w:pPr>
              <w:jc w:val="center"/>
              <w:ind w:right="440"/>
              <w:spacing w:after="0"/>
              <w:rPr>
                <w:sz w:val="20"/>
                <w:szCs w:val="20"/>
                <w:color w:val="auto"/>
              </w:rPr>
            </w:pPr>
            <w:r>
              <w:rPr>
                <w:rFonts w:ascii="Arial" w:cs="Arial" w:eastAsia="Arial" w:hAnsi="Arial"/>
                <w:sz w:val="14"/>
                <w:szCs w:val="14"/>
                <w:b w:val="1"/>
                <w:bCs w:val="1"/>
                <w:color w:val="FFFFFF"/>
                <w:w w:val="99"/>
              </w:rPr>
              <w:t>Without</w:t>
            </w:r>
          </w:p>
        </w:tc>
      </w:tr>
      <w:tr>
        <w:trPr>
          <w:trHeight w:val="189"/>
        </w:trPr>
        <w:tc>
          <w:tcPr>
            <w:tcW w:w="336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Lainie Goldstein</w:t>
            </w:r>
          </w:p>
        </w:tc>
        <w:tc>
          <w:tcPr>
            <w:tcW w:w="2380" w:type="dxa"/>
            <w:vAlign w:val="bottom"/>
            <w:gridSpan w:val="4"/>
            <w:shd w:val="clear" w:color="auto" w:fill="005CB9"/>
          </w:tcPr>
          <w:p>
            <w:pPr>
              <w:jc w:val="center"/>
              <w:ind w:left="608"/>
              <w:spacing w:after="0"/>
              <w:rPr>
                <w:sz w:val="20"/>
                <w:szCs w:val="20"/>
                <w:color w:val="auto"/>
              </w:rPr>
            </w:pPr>
            <w:r>
              <w:rPr>
                <w:rFonts w:ascii="Arial" w:cs="Arial" w:eastAsia="Arial" w:hAnsi="Arial"/>
                <w:sz w:val="14"/>
                <w:szCs w:val="14"/>
                <w:b w:val="1"/>
                <w:bCs w:val="1"/>
                <w:color w:val="FFFFFF"/>
              </w:rPr>
              <w:t>Cause ($)(1)</w:t>
            </w:r>
          </w:p>
        </w:tc>
        <w:tc>
          <w:tcPr>
            <w:tcW w:w="1300" w:type="dxa"/>
            <w:vAlign w:val="bottom"/>
            <w:gridSpan w:val="4"/>
            <w:shd w:val="clear" w:color="auto" w:fill="005CB9"/>
          </w:tcPr>
          <w:p>
            <w:pPr>
              <w:jc w:val="right"/>
              <w:ind w:right="440"/>
              <w:spacing w:after="0"/>
              <w:rPr>
                <w:sz w:val="20"/>
                <w:szCs w:val="20"/>
                <w:color w:val="auto"/>
              </w:rPr>
            </w:pPr>
            <w:r>
              <w:rPr>
                <w:rFonts w:ascii="Arial" w:cs="Arial" w:eastAsia="Arial" w:hAnsi="Arial"/>
                <w:sz w:val="14"/>
                <w:szCs w:val="14"/>
                <w:b w:val="1"/>
                <w:bCs w:val="1"/>
                <w:color w:val="FFFFFF"/>
              </w:rPr>
              <w:t>Disability ($)</w:t>
            </w:r>
          </w:p>
        </w:tc>
        <w:tc>
          <w:tcPr>
            <w:tcW w:w="1620" w:type="dxa"/>
            <w:vAlign w:val="bottom"/>
            <w:gridSpan w:val="4"/>
            <w:shd w:val="clear" w:color="auto" w:fill="005CB9"/>
          </w:tcPr>
          <w:p>
            <w:pPr>
              <w:jc w:val="center"/>
              <w:ind w:right="600"/>
              <w:spacing w:after="0"/>
              <w:rPr>
                <w:sz w:val="20"/>
                <w:szCs w:val="20"/>
                <w:color w:val="auto"/>
              </w:rPr>
            </w:pPr>
            <w:r>
              <w:rPr>
                <w:rFonts w:ascii="Arial" w:cs="Arial" w:eastAsia="Arial" w:hAnsi="Arial"/>
                <w:sz w:val="14"/>
                <w:szCs w:val="14"/>
                <w:b w:val="1"/>
                <w:bCs w:val="1"/>
                <w:color w:val="FFFFFF"/>
              </w:rPr>
              <w:t>Reason ($)</w:t>
            </w:r>
          </w:p>
        </w:tc>
        <w:tc>
          <w:tcPr>
            <w:tcW w:w="1260" w:type="dxa"/>
            <w:vAlign w:val="bottom"/>
            <w:gridSpan w:val="3"/>
            <w:shd w:val="clear" w:color="auto" w:fill="005CB9"/>
          </w:tcPr>
          <w:p>
            <w:pPr>
              <w:jc w:val="center"/>
              <w:ind w:right="220"/>
              <w:spacing w:after="0"/>
              <w:rPr>
                <w:sz w:val="20"/>
                <w:szCs w:val="20"/>
                <w:color w:val="auto"/>
              </w:rPr>
            </w:pPr>
            <w:r>
              <w:rPr>
                <w:rFonts w:ascii="Arial" w:cs="Arial" w:eastAsia="Arial" w:hAnsi="Arial"/>
                <w:sz w:val="14"/>
                <w:szCs w:val="14"/>
                <w:b w:val="1"/>
                <w:bCs w:val="1"/>
                <w:color w:val="FFFFFF"/>
              </w:rPr>
              <w:t>Termination ($)</w:t>
            </w:r>
          </w:p>
        </w:tc>
      </w:tr>
      <w:tr>
        <w:trPr>
          <w:trHeight w:val="210"/>
        </w:trPr>
        <w:tc>
          <w:tcPr>
            <w:tcW w:w="33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auto"/>
              </w:rPr>
              <w:t>Salary Payment</w:t>
            </w:r>
          </w:p>
        </w:tc>
        <w:tc>
          <w:tcPr>
            <w:tcW w:w="194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color w:val="auto"/>
              </w:rPr>
              <w:t>1,700,000</w:t>
            </w:r>
          </w:p>
        </w:tc>
        <w:tc>
          <w:tcPr>
            <w:tcW w:w="40" w:type="dxa"/>
            <w:vAlign w:val="bottom"/>
            <w:tcBorders>
              <w:bottom w:val="single" w:sz="8" w:color="EAEAEA"/>
            </w:tcBorders>
            <w:shd w:val="clear" w:color="auto" w:fill="EAEAEA"/>
          </w:tcPr>
          <w:p>
            <w:pPr>
              <w:spacing w:after="0"/>
              <w:rPr>
                <w:sz w:val="18"/>
                <w:szCs w:val="18"/>
                <w:color w:val="auto"/>
              </w:rPr>
            </w:pPr>
          </w:p>
        </w:tc>
        <w:tc>
          <w:tcPr>
            <w:tcW w:w="40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1200" w:type="dxa"/>
            <w:vAlign w:val="bottom"/>
            <w:tcBorders>
              <w:bottom w:val="single" w:sz="8" w:color="EAEAEA"/>
            </w:tcBorders>
            <w:gridSpan w:val="3"/>
            <w:shd w:val="clear" w:color="auto" w:fill="EAEAEA"/>
          </w:tcPr>
          <w:p>
            <w:pPr>
              <w:jc w:val="right"/>
              <w:ind w:right="4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color w:val="auto"/>
              </w:rPr>
              <w:t>1,700,000</w:t>
            </w:r>
          </w:p>
        </w:tc>
        <w:tc>
          <w:tcPr>
            <w:tcW w:w="160" w:type="dxa"/>
            <w:vAlign w:val="bottom"/>
            <w:tcBorders>
              <w:bottom w:val="single" w:sz="8" w:color="EAEAEA"/>
            </w:tcBorders>
            <w:shd w:val="clear" w:color="auto" w:fill="EAEAEA"/>
          </w:tcPr>
          <w:p>
            <w:pPr>
              <w:spacing w:after="0"/>
              <w:rPr>
                <w:sz w:val="18"/>
                <w:szCs w:val="18"/>
                <w:color w:val="auto"/>
              </w:rPr>
            </w:pPr>
          </w:p>
        </w:tc>
        <w:tc>
          <w:tcPr>
            <w:tcW w:w="440" w:type="dxa"/>
            <w:vAlign w:val="bottom"/>
            <w:tcBorders>
              <w:bottom w:val="single" w:sz="8" w:color="EAEAEA"/>
            </w:tcBorders>
            <w:shd w:val="clear" w:color="auto" w:fill="EAEAEA"/>
          </w:tcPr>
          <w:p>
            <w:pPr>
              <w:spacing w:after="0"/>
              <w:rPr>
                <w:sz w:val="18"/>
                <w:szCs w:val="18"/>
                <w:color w:val="auto"/>
              </w:rPr>
            </w:pPr>
          </w:p>
        </w:tc>
        <w:tc>
          <w:tcPr>
            <w:tcW w:w="220" w:type="dxa"/>
            <w:vAlign w:val="bottom"/>
            <w:tcBorders>
              <w:bottom w:val="single" w:sz="8" w:color="EAEAEA"/>
            </w:tcBorders>
            <w:shd w:val="clear" w:color="auto" w:fill="EAEAEA"/>
          </w:tcPr>
          <w:p>
            <w:pPr>
              <w:spacing w:after="0"/>
              <w:rPr>
                <w:sz w:val="18"/>
                <w:szCs w:val="18"/>
                <w:color w:val="auto"/>
              </w:rPr>
            </w:pPr>
          </w:p>
        </w:tc>
        <w:tc>
          <w:tcPr>
            <w:tcW w:w="1040" w:type="dxa"/>
            <w:vAlign w:val="bottom"/>
            <w:tcBorders>
              <w:bottom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4"/>
                <w:szCs w:val="14"/>
                <w:color w:val="auto"/>
              </w:rPr>
              <w:t>—</w:t>
            </w:r>
          </w:p>
        </w:tc>
      </w:tr>
      <w:tr>
        <w:trPr>
          <w:trHeight w:val="204"/>
        </w:trPr>
        <w:tc>
          <w:tcPr>
            <w:tcW w:w="3360" w:type="dxa"/>
            <w:vAlign w:val="bottom"/>
          </w:tcPr>
          <w:p>
            <w:pPr>
              <w:ind w:left="80"/>
              <w:spacing w:after="0"/>
              <w:rPr>
                <w:sz w:val="20"/>
                <w:szCs w:val="20"/>
                <w:color w:val="auto"/>
              </w:rPr>
            </w:pPr>
            <w:r>
              <w:rPr>
                <w:rFonts w:ascii="Arial" w:cs="Arial" w:eastAsia="Arial" w:hAnsi="Arial"/>
                <w:sz w:val="14"/>
                <w:szCs w:val="14"/>
                <w:color w:val="auto"/>
              </w:rPr>
              <w:t>Continuation of Medical Insurance</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17,484</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17,484</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25"/>
        </w:trPr>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9"/>
        </w:trPr>
        <w:tc>
          <w:tcPr>
            <w:tcW w:w="33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auto"/>
              </w:rPr>
              <w:t>Acceleration of Equity Awards(2)</w:t>
            </w:r>
          </w:p>
        </w:tc>
        <w:tc>
          <w:tcPr>
            <w:tcW w:w="194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color w:val="auto"/>
              </w:rPr>
              <w:t>8,138,544</w:t>
            </w:r>
          </w:p>
        </w:tc>
        <w:tc>
          <w:tcPr>
            <w:tcW w:w="40" w:type="dxa"/>
            <w:vAlign w:val="bottom"/>
            <w:tcBorders>
              <w:bottom w:val="single" w:sz="8" w:color="EAEAEA"/>
            </w:tcBorders>
            <w:shd w:val="clear" w:color="auto" w:fill="EAEAEA"/>
          </w:tcPr>
          <w:p>
            <w:pPr>
              <w:spacing w:after="0"/>
              <w:rPr>
                <w:sz w:val="18"/>
                <w:szCs w:val="18"/>
                <w:color w:val="auto"/>
              </w:rPr>
            </w:pPr>
          </w:p>
        </w:tc>
        <w:tc>
          <w:tcPr>
            <w:tcW w:w="400" w:type="dxa"/>
            <w:vAlign w:val="bottom"/>
            <w:tcBorders>
              <w:bottom w:val="single" w:sz="8" w:color="EAEAEA"/>
            </w:tcBorders>
            <w:shd w:val="clear" w:color="auto" w:fill="EAEAEA"/>
          </w:tcPr>
          <w:p>
            <w:pPr>
              <w:spacing w:after="0"/>
              <w:rPr>
                <w:sz w:val="18"/>
                <w:szCs w:val="18"/>
                <w:color w:val="auto"/>
              </w:rPr>
            </w:pPr>
          </w:p>
        </w:tc>
        <w:tc>
          <w:tcPr>
            <w:tcW w:w="86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color w:val="auto"/>
              </w:rPr>
              <w:t>8,138,544</w:t>
            </w:r>
          </w:p>
        </w:tc>
        <w:tc>
          <w:tcPr>
            <w:tcW w:w="100" w:type="dxa"/>
            <w:vAlign w:val="bottom"/>
            <w:tcBorders>
              <w:bottom w:val="single" w:sz="8" w:color="EAEAEA"/>
            </w:tcBorders>
            <w:shd w:val="clear" w:color="auto" w:fill="EAEAEA"/>
          </w:tcPr>
          <w:p>
            <w:pPr>
              <w:spacing w:after="0"/>
              <w:rPr>
                <w:sz w:val="18"/>
                <w:szCs w:val="18"/>
                <w:color w:val="auto"/>
              </w:rPr>
            </w:pPr>
          </w:p>
        </w:tc>
        <w:tc>
          <w:tcPr>
            <w:tcW w:w="340" w:type="dxa"/>
            <w:vAlign w:val="bottom"/>
            <w:tcBorders>
              <w:bottom w:val="single" w:sz="8" w:color="EAEAEA"/>
            </w:tcBorders>
            <w:shd w:val="clear" w:color="auto" w:fill="EAEAEA"/>
          </w:tcPr>
          <w:p>
            <w:pPr>
              <w:spacing w:after="0"/>
              <w:rPr>
                <w:sz w:val="18"/>
                <w:szCs w:val="18"/>
                <w:color w:val="auto"/>
              </w:rPr>
            </w:pPr>
          </w:p>
        </w:tc>
        <w:tc>
          <w:tcPr>
            <w:tcW w:w="102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color w:val="auto"/>
              </w:rPr>
              <w:t>8,138,544</w:t>
            </w:r>
          </w:p>
        </w:tc>
        <w:tc>
          <w:tcPr>
            <w:tcW w:w="160" w:type="dxa"/>
            <w:vAlign w:val="bottom"/>
            <w:tcBorders>
              <w:bottom w:val="single" w:sz="8" w:color="EAEAEA"/>
            </w:tcBorders>
            <w:shd w:val="clear" w:color="auto" w:fill="EAEAEA"/>
          </w:tcPr>
          <w:p>
            <w:pPr>
              <w:spacing w:after="0"/>
              <w:rPr>
                <w:sz w:val="18"/>
                <w:szCs w:val="18"/>
                <w:color w:val="auto"/>
              </w:rPr>
            </w:pPr>
          </w:p>
        </w:tc>
        <w:tc>
          <w:tcPr>
            <w:tcW w:w="440" w:type="dxa"/>
            <w:vAlign w:val="bottom"/>
            <w:tcBorders>
              <w:bottom w:val="single" w:sz="8" w:color="EAEAEA"/>
            </w:tcBorders>
            <w:shd w:val="clear" w:color="auto" w:fill="EAEAEA"/>
          </w:tcPr>
          <w:p>
            <w:pPr>
              <w:spacing w:after="0"/>
              <w:rPr>
                <w:sz w:val="18"/>
                <w:szCs w:val="18"/>
                <w:color w:val="auto"/>
              </w:rPr>
            </w:pPr>
          </w:p>
        </w:tc>
        <w:tc>
          <w:tcPr>
            <w:tcW w:w="220" w:type="dxa"/>
            <w:vAlign w:val="bottom"/>
            <w:tcBorders>
              <w:bottom w:val="single" w:sz="8" w:color="EAEAEA"/>
            </w:tcBorders>
            <w:shd w:val="clear" w:color="auto" w:fill="EAEAEA"/>
          </w:tcPr>
          <w:p>
            <w:pPr>
              <w:spacing w:after="0"/>
              <w:rPr>
                <w:sz w:val="18"/>
                <w:szCs w:val="18"/>
                <w:color w:val="auto"/>
              </w:rPr>
            </w:pPr>
          </w:p>
        </w:tc>
        <w:tc>
          <w:tcPr>
            <w:tcW w:w="1040" w:type="dxa"/>
            <w:vAlign w:val="bottom"/>
            <w:tcBorders>
              <w:bottom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4"/>
                <w:szCs w:val="14"/>
                <w:color w:val="auto"/>
              </w:rPr>
              <w:t>—</w:t>
            </w:r>
          </w:p>
        </w:tc>
      </w:tr>
      <w:tr>
        <w:trPr>
          <w:trHeight w:val="204"/>
        </w:trPr>
        <w:tc>
          <w:tcPr>
            <w:tcW w:w="3360" w:type="dxa"/>
            <w:vAlign w:val="bottom"/>
          </w:tcPr>
          <w:p>
            <w:pPr>
              <w:ind w:left="80"/>
              <w:spacing w:after="0"/>
              <w:rPr>
                <w:sz w:val="20"/>
                <w:szCs w:val="20"/>
                <w:color w:val="auto"/>
              </w:rPr>
            </w:pPr>
            <w:r>
              <w:rPr>
                <w:rFonts w:ascii="Arial" w:cs="Arial" w:eastAsia="Arial" w:hAnsi="Arial"/>
                <w:sz w:val="14"/>
                <w:szCs w:val="14"/>
                <w:color w:val="auto"/>
              </w:rPr>
              <w:t>Bonus Payment</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2,550,000</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850,000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2,550,000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25"/>
        </w:trPr>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0"/>
        </w:trPr>
        <w:tc>
          <w:tcPr>
            <w:tcW w:w="33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auto"/>
              </w:rPr>
              <w:t>Stay Bonus</w:t>
            </w:r>
          </w:p>
        </w:tc>
        <w:tc>
          <w:tcPr>
            <w:tcW w:w="1160" w:type="dxa"/>
            <w:vAlign w:val="bottom"/>
            <w:tcBorders>
              <w:bottom w:val="single" w:sz="8" w:color="EAEAEA"/>
              <w:right w:val="single" w:sz="8" w:color="EAEAEA"/>
            </w:tcBorders>
            <w:shd w:val="clear" w:color="auto" w:fill="EAEAEA"/>
          </w:tcPr>
          <w:p>
            <w:pPr>
              <w:spacing w:after="0"/>
              <w:rPr>
                <w:sz w:val="18"/>
                <w:szCs w:val="18"/>
                <w:color w:val="auto"/>
              </w:rPr>
            </w:pPr>
          </w:p>
        </w:tc>
        <w:tc>
          <w:tcPr>
            <w:tcW w:w="1220" w:type="dxa"/>
            <w:vAlign w:val="bottom"/>
            <w:tcBorders>
              <w:bottom w:val="single" w:sz="8" w:color="EAEAEA"/>
            </w:tcBorders>
            <w:gridSpan w:val="3"/>
            <w:shd w:val="clear" w:color="auto" w:fill="EAEAEA"/>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EAEA"/>
            </w:tcBorders>
            <w:shd w:val="clear" w:color="auto" w:fill="EAEAEA"/>
          </w:tcPr>
          <w:p>
            <w:pPr>
              <w:spacing w:after="0"/>
              <w:rPr>
                <w:sz w:val="18"/>
                <w:szCs w:val="18"/>
                <w:color w:val="auto"/>
              </w:rPr>
            </w:pPr>
          </w:p>
        </w:tc>
        <w:tc>
          <w:tcPr>
            <w:tcW w:w="1200" w:type="dxa"/>
            <w:vAlign w:val="bottom"/>
            <w:tcBorders>
              <w:bottom w:val="single" w:sz="8" w:color="EAEAEA"/>
            </w:tcBorders>
            <w:gridSpan w:val="3"/>
            <w:shd w:val="clear" w:color="auto" w:fill="EAEAEA"/>
          </w:tcPr>
          <w:p>
            <w:pPr>
              <w:jc w:val="right"/>
              <w:ind w:right="4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color w:val="auto"/>
              </w:rPr>
              <w:t>425,000</w:t>
            </w:r>
          </w:p>
        </w:tc>
        <w:tc>
          <w:tcPr>
            <w:tcW w:w="160" w:type="dxa"/>
            <w:vAlign w:val="bottom"/>
            <w:tcBorders>
              <w:bottom w:val="single" w:sz="8" w:color="EAEAEA"/>
            </w:tcBorders>
            <w:shd w:val="clear" w:color="auto" w:fill="EAEAEA"/>
          </w:tcPr>
          <w:p>
            <w:pPr>
              <w:spacing w:after="0"/>
              <w:rPr>
                <w:sz w:val="18"/>
                <w:szCs w:val="18"/>
                <w:color w:val="auto"/>
              </w:rPr>
            </w:pPr>
          </w:p>
        </w:tc>
        <w:tc>
          <w:tcPr>
            <w:tcW w:w="440" w:type="dxa"/>
            <w:vAlign w:val="bottom"/>
            <w:tcBorders>
              <w:bottom w:val="single" w:sz="8" w:color="EAEAEA"/>
            </w:tcBorders>
            <w:shd w:val="clear" w:color="auto" w:fill="EAEAEA"/>
          </w:tcPr>
          <w:p>
            <w:pPr>
              <w:spacing w:after="0"/>
              <w:rPr>
                <w:sz w:val="18"/>
                <w:szCs w:val="18"/>
                <w:color w:val="auto"/>
              </w:rPr>
            </w:pPr>
          </w:p>
        </w:tc>
        <w:tc>
          <w:tcPr>
            <w:tcW w:w="104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color w:val="auto"/>
              </w:rPr>
              <w:t>425,000</w:t>
            </w:r>
          </w:p>
        </w:tc>
        <w:tc>
          <w:tcPr>
            <w:tcW w:w="220" w:type="dxa"/>
            <w:vAlign w:val="bottom"/>
            <w:tcBorders>
              <w:bottom w:val="single" w:sz="8" w:color="EAEAEA"/>
            </w:tcBorders>
            <w:shd w:val="clear" w:color="auto" w:fill="EAEAEA"/>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3360" w:type="dxa"/>
            <w:vAlign w:val="bottom"/>
          </w:tcPr>
          <w:p>
            <w:pPr>
              <w:ind w:left="80"/>
              <w:spacing w:after="0"/>
              <w:rPr>
                <w:sz w:val="20"/>
                <w:szCs w:val="20"/>
                <w:color w:val="auto"/>
              </w:rPr>
            </w:pPr>
            <w:r>
              <w:rPr>
                <w:rFonts w:ascii="Arial" w:cs="Arial" w:eastAsia="Arial" w:hAnsi="Arial"/>
                <w:sz w:val="14"/>
                <w:szCs w:val="14"/>
                <w:color w:val="auto"/>
              </w:rPr>
              <w:t>Total Termination Benefits</w:t>
            </w:r>
          </w:p>
        </w:tc>
        <w:tc>
          <w:tcPr>
            <w:tcW w:w="1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12,406,028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8,988,544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4"/>
          </w:tcPr>
          <w:p>
            <w:pPr>
              <w:jc w:val="right"/>
              <w:ind w:right="420"/>
              <w:spacing w:after="0"/>
              <w:rPr>
                <w:sz w:val="20"/>
                <w:szCs w:val="20"/>
                <w:color w:val="auto"/>
              </w:rPr>
            </w:pPr>
            <w:r>
              <w:rPr>
                <w:rFonts w:ascii="Arial" w:cs="Arial" w:eastAsia="Arial" w:hAnsi="Arial"/>
                <w:sz w:val="14"/>
                <w:szCs w:val="14"/>
                <w:color w:val="auto"/>
              </w:rPr>
              <w:t>12,831,028(3)</w:t>
            </w:r>
          </w:p>
        </w:tc>
        <w:tc>
          <w:tcPr>
            <w:tcW w:w="1260" w:type="dxa"/>
            <w:vAlign w:val="bottom"/>
            <w:gridSpan w:val="3"/>
          </w:tcPr>
          <w:p>
            <w:pPr>
              <w:jc w:val="right"/>
              <w:ind w:right="40"/>
              <w:spacing w:after="0"/>
              <w:rPr>
                <w:sz w:val="20"/>
                <w:szCs w:val="20"/>
                <w:color w:val="auto"/>
              </w:rPr>
            </w:pPr>
            <w:r>
              <w:rPr>
                <w:rFonts w:ascii="Arial" w:cs="Arial" w:eastAsia="Arial" w:hAnsi="Arial"/>
                <w:sz w:val="14"/>
                <w:szCs w:val="14"/>
                <w:color w:val="auto"/>
              </w:rPr>
              <w:t>425,000(3)</w:t>
            </w:r>
          </w:p>
        </w:tc>
      </w:tr>
      <w:tr>
        <w:trPr>
          <w:trHeight w:val="25"/>
        </w:trPr>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3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3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49"/>
        </w:trPr>
        <w:tc>
          <w:tcPr>
            <w:tcW w:w="3360" w:type="dxa"/>
            <w:vAlign w:val="bottom"/>
            <w:shd w:val="clear" w:color="auto" w:fill="005CB9"/>
          </w:tcPr>
          <w:p>
            <w:pPr>
              <w:spacing w:after="0"/>
              <w:rPr>
                <w:sz w:val="12"/>
                <w:szCs w:val="12"/>
                <w:color w:val="auto"/>
              </w:rPr>
            </w:pPr>
          </w:p>
        </w:tc>
        <w:tc>
          <w:tcPr>
            <w:tcW w:w="1160" w:type="dxa"/>
            <w:vAlign w:val="bottom"/>
            <w:tcBorders>
              <w:right w:val="single" w:sz="8" w:color="005CB9"/>
            </w:tcBorders>
            <w:shd w:val="clear" w:color="auto" w:fill="005CB9"/>
          </w:tcPr>
          <w:p>
            <w:pPr>
              <w:spacing w:after="0"/>
              <w:rPr>
                <w:sz w:val="12"/>
                <w:szCs w:val="12"/>
                <w:color w:val="auto"/>
              </w:rPr>
            </w:pPr>
          </w:p>
        </w:tc>
        <w:tc>
          <w:tcPr>
            <w:tcW w:w="780" w:type="dxa"/>
            <w:vAlign w:val="bottom"/>
            <w:shd w:val="clear" w:color="auto" w:fill="005CB9"/>
          </w:tcPr>
          <w:p>
            <w:pPr>
              <w:spacing w:after="0"/>
              <w:rPr>
                <w:sz w:val="12"/>
                <w:szCs w:val="12"/>
                <w:color w:val="auto"/>
              </w:rPr>
            </w:pPr>
          </w:p>
        </w:tc>
        <w:tc>
          <w:tcPr>
            <w:tcW w:w="40" w:type="dxa"/>
            <w:vAlign w:val="bottom"/>
            <w:shd w:val="clear" w:color="auto" w:fill="005CB9"/>
          </w:tcPr>
          <w:p>
            <w:pPr>
              <w:spacing w:after="0"/>
              <w:rPr>
                <w:sz w:val="12"/>
                <w:szCs w:val="12"/>
                <w:color w:val="auto"/>
              </w:rPr>
            </w:pPr>
          </w:p>
        </w:tc>
        <w:tc>
          <w:tcPr>
            <w:tcW w:w="400" w:type="dxa"/>
            <w:vAlign w:val="bottom"/>
            <w:shd w:val="clear" w:color="auto" w:fill="005CB9"/>
          </w:tcPr>
          <w:p>
            <w:pPr>
              <w:spacing w:after="0"/>
              <w:rPr>
                <w:sz w:val="12"/>
                <w:szCs w:val="12"/>
                <w:color w:val="auto"/>
              </w:rPr>
            </w:pPr>
          </w:p>
        </w:tc>
        <w:tc>
          <w:tcPr>
            <w:tcW w:w="100" w:type="dxa"/>
            <w:vAlign w:val="bottom"/>
            <w:shd w:val="clear" w:color="auto" w:fill="005CB9"/>
          </w:tcPr>
          <w:p>
            <w:pPr>
              <w:spacing w:after="0"/>
              <w:rPr>
                <w:sz w:val="12"/>
                <w:szCs w:val="12"/>
                <w:color w:val="auto"/>
              </w:rPr>
            </w:pPr>
          </w:p>
        </w:tc>
        <w:tc>
          <w:tcPr>
            <w:tcW w:w="760" w:type="dxa"/>
            <w:vAlign w:val="bottom"/>
            <w:shd w:val="clear" w:color="auto" w:fill="005CB9"/>
          </w:tcPr>
          <w:p>
            <w:pPr>
              <w:spacing w:after="0"/>
              <w:rPr>
                <w:sz w:val="12"/>
                <w:szCs w:val="12"/>
                <w:color w:val="auto"/>
              </w:rPr>
            </w:pPr>
          </w:p>
        </w:tc>
        <w:tc>
          <w:tcPr>
            <w:tcW w:w="100" w:type="dxa"/>
            <w:vAlign w:val="bottom"/>
            <w:shd w:val="clear" w:color="auto" w:fill="005CB9"/>
          </w:tcPr>
          <w:p>
            <w:pPr>
              <w:spacing w:after="0"/>
              <w:rPr>
                <w:sz w:val="12"/>
                <w:szCs w:val="12"/>
                <w:color w:val="auto"/>
              </w:rPr>
            </w:pPr>
          </w:p>
        </w:tc>
        <w:tc>
          <w:tcPr>
            <w:tcW w:w="340" w:type="dxa"/>
            <w:vAlign w:val="bottom"/>
            <w:shd w:val="clear" w:color="auto" w:fill="005CB9"/>
          </w:tcPr>
          <w:p>
            <w:pPr>
              <w:spacing w:after="0"/>
              <w:rPr>
                <w:sz w:val="12"/>
                <w:szCs w:val="12"/>
                <w:color w:val="auto"/>
              </w:rPr>
            </w:pPr>
          </w:p>
        </w:tc>
        <w:tc>
          <w:tcPr>
            <w:tcW w:w="160" w:type="dxa"/>
            <w:vAlign w:val="bottom"/>
            <w:shd w:val="clear" w:color="auto" w:fill="005CB9"/>
          </w:tcPr>
          <w:p>
            <w:pPr>
              <w:spacing w:after="0"/>
              <w:rPr>
                <w:sz w:val="12"/>
                <w:szCs w:val="12"/>
                <w:color w:val="auto"/>
              </w:rPr>
            </w:pPr>
          </w:p>
        </w:tc>
        <w:tc>
          <w:tcPr>
            <w:tcW w:w="1460" w:type="dxa"/>
            <w:vAlign w:val="bottom"/>
            <w:gridSpan w:val="3"/>
            <w:shd w:val="clear" w:color="auto" w:fill="005CB9"/>
          </w:tcPr>
          <w:p>
            <w:pPr>
              <w:jc w:val="center"/>
              <w:ind w:right="440"/>
              <w:spacing w:after="0" w:line="149" w:lineRule="exact"/>
              <w:rPr>
                <w:sz w:val="20"/>
                <w:szCs w:val="20"/>
                <w:color w:val="auto"/>
              </w:rPr>
            </w:pPr>
            <w:r>
              <w:rPr>
                <w:rFonts w:ascii="Arial" w:cs="Arial" w:eastAsia="Arial" w:hAnsi="Arial"/>
                <w:sz w:val="14"/>
                <w:szCs w:val="14"/>
                <w:b w:val="1"/>
                <w:bCs w:val="1"/>
                <w:color w:val="FFFFFF"/>
              </w:rPr>
              <w:t>Change in</w:t>
            </w:r>
          </w:p>
        </w:tc>
        <w:tc>
          <w:tcPr>
            <w:tcW w:w="22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220" w:type="dxa"/>
            <w:vAlign w:val="bottom"/>
            <w:shd w:val="clear" w:color="auto" w:fill="005CB9"/>
          </w:tcPr>
          <w:p>
            <w:pPr>
              <w:spacing w:after="0"/>
              <w:rPr>
                <w:sz w:val="12"/>
                <w:szCs w:val="12"/>
                <w:color w:val="auto"/>
              </w:rPr>
            </w:pPr>
          </w:p>
        </w:tc>
      </w:tr>
      <w:tr>
        <w:trPr>
          <w:trHeight w:val="162"/>
        </w:trPr>
        <w:tc>
          <w:tcPr>
            <w:tcW w:w="3360" w:type="dxa"/>
            <w:vAlign w:val="bottom"/>
            <w:shd w:val="clear" w:color="auto" w:fill="005CB9"/>
          </w:tcPr>
          <w:p>
            <w:pPr>
              <w:spacing w:after="0"/>
              <w:rPr>
                <w:sz w:val="14"/>
                <w:szCs w:val="14"/>
                <w:color w:val="auto"/>
              </w:rPr>
            </w:pPr>
          </w:p>
        </w:tc>
        <w:tc>
          <w:tcPr>
            <w:tcW w:w="1160" w:type="dxa"/>
            <w:vAlign w:val="bottom"/>
            <w:tcBorders>
              <w:right w:val="single" w:sz="8" w:color="005CB9"/>
            </w:tcBorders>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40" w:type="dxa"/>
            <w:vAlign w:val="bottom"/>
            <w:shd w:val="clear" w:color="auto" w:fill="005CB9"/>
          </w:tcPr>
          <w:p>
            <w:pPr>
              <w:spacing w:after="0"/>
              <w:rPr>
                <w:sz w:val="14"/>
                <w:szCs w:val="14"/>
                <w:color w:val="auto"/>
              </w:rPr>
            </w:pPr>
          </w:p>
        </w:tc>
        <w:tc>
          <w:tcPr>
            <w:tcW w:w="40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76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340" w:type="dxa"/>
            <w:vAlign w:val="bottom"/>
            <w:shd w:val="clear" w:color="auto" w:fill="005CB9"/>
          </w:tcPr>
          <w:p>
            <w:pPr>
              <w:spacing w:after="0"/>
              <w:rPr>
                <w:sz w:val="14"/>
                <w:szCs w:val="14"/>
                <w:color w:val="auto"/>
              </w:rPr>
            </w:pPr>
          </w:p>
        </w:tc>
        <w:tc>
          <w:tcPr>
            <w:tcW w:w="160" w:type="dxa"/>
            <w:vAlign w:val="bottom"/>
            <w:shd w:val="clear" w:color="auto" w:fill="005CB9"/>
          </w:tcPr>
          <w:p>
            <w:pPr>
              <w:spacing w:after="0"/>
              <w:rPr>
                <w:sz w:val="14"/>
                <w:szCs w:val="14"/>
                <w:color w:val="auto"/>
              </w:rPr>
            </w:pPr>
          </w:p>
        </w:tc>
        <w:tc>
          <w:tcPr>
            <w:tcW w:w="1460" w:type="dxa"/>
            <w:vAlign w:val="bottom"/>
            <w:gridSpan w:val="3"/>
            <w:shd w:val="clear" w:color="auto" w:fill="005CB9"/>
          </w:tcPr>
          <w:p>
            <w:pPr>
              <w:jc w:val="center"/>
              <w:ind w:right="440"/>
              <w:spacing w:after="0"/>
              <w:rPr>
                <w:sz w:val="20"/>
                <w:szCs w:val="20"/>
                <w:color w:val="auto"/>
              </w:rPr>
            </w:pPr>
            <w:r>
              <w:rPr>
                <w:rFonts w:ascii="Arial" w:cs="Arial" w:eastAsia="Arial" w:hAnsi="Arial"/>
                <w:sz w:val="14"/>
                <w:szCs w:val="14"/>
                <w:b w:val="1"/>
                <w:bCs w:val="1"/>
                <w:color w:val="FFFFFF"/>
              </w:rPr>
              <w:t>Control</w:t>
            </w:r>
          </w:p>
        </w:tc>
        <w:tc>
          <w:tcPr>
            <w:tcW w:w="220" w:type="dxa"/>
            <w:vAlign w:val="bottom"/>
            <w:shd w:val="clear" w:color="auto" w:fill="005CB9"/>
          </w:tcPr>
          <w:p>
            <w:pPr>
              <w:spacing w:after="0"/>
              <w:rPr>
                <w:sz w:val="14"/>
                <w:szCs w:val="14"/>
                <w:color w:val="auto"/>
              </w:rPr>
            </w:pPr>
          </w:p>
        </w:tc>
        <w:tc>
          <w:tcPr>
            <w:tcW w:w="820" w:type="dxa"/>
            <w:vAlign w:val="bottom"/>
            <w:shd w:val="clear" w:color="auto" w:fill="005CB9"/>
          </w:tcPr>
          <w:p>
            <w:pPr>
              <w:spacing w:after="0"/>
              <w:rPr>
                <w:sz w:val="14"/>
                <w:szCs w:val="14"/>
                <w:color w:val="auto"/>
              </w:rPr>
            </w:pPr>
          </w:p>
        </w:tc>
        <w:tc>
          <w:tcPr>
            <w:tcW w:w="220" w:type="dxa"/>
            <w:vAlign w:val="bottom"/>
            <w:shd w:val="clear" w:color="auto" w:fill="005CB9"/>
          </w:tcPr>
          <w:p>
            <w:pPr>
              <w:spacing w:after="0"/>
              <w:rPr>
                <w:sz w:val="14"/>
                <w:szCs w:val="14"/>
                <w:color w:val="auto"/>
              </w:rPr>
            </w:pPr>
          </w:p>
        </w:tc>
      </w:tr>
      <w:tr>
        <w:trPr>
          <w:trHeight w:val="162"/>
        </w:trPr>
        <w:tc>
          <w:tcPr>
            <w:tcW w:w="3360" w:type="dxa"/>
            <w:vAlign w:val="bottom"/>
            <w:shd w:val="clear" w:color="auto" w:fill="005CB9"/>
          </w:tcPr>
          <w:p>
            <w:pPr>
              <w:spacing w:after="0"/>
              <w:rPr>
                <w:sz w:val="14"/>
                <w:szCs w:val="14"/>
                <w:color w:val="auto"/>
              </w:rPr>
            </w:pPr>
          </w:p>
        </w:tc>
        <w:tc>
          <w:tcPr>
            <w:tcW w:w="1160" w:type="dxa"/>
            <w:vAlign w:val="bottom"/>
            <w:tcBorders>
              <w:right w:val="single" w:sz="8" w:color="005CB9"/>
            </w:tcBorders>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40" w:type="dxa"/>
            <w:vAlign w:val="bottom"/>
            <w:shd w:val="clear" w:color="auto" w:fill="005CB9"/>
          </w:tcPr>
          <w:p>
            <w:pPr>
              <w:spacing w:after="0"/>
              <w:rPr>
                <w:sz w:val="14"/>
                <w:szCs w:val="14"/>
                <w:color w:val="auto"/>
              </w:rPr>
            </w:pPr>
          </w:p>
        </w:tc>
        <w:tc>
          <w:tcPr>
            <w:tcW w:w="40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76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340" w:type="dxa"/>
            <w:vAlign w:val="bottom"/>
            <w:shd w:val="clear" w:color="auto" w:fill="005CB9"/>
          </w:tcPr>
          <w:p>
            <w:pPr>
              <w:spacing w:after="0"/>
              <w:rPr>
                <w:sz w:val="14"/>
                <w:szCs w:val="14"/>
                <w:color w:val="auto"/>
              </w:rPr>
            </w:pPr>
          </w:p>
        </w:tc>
        <w:tc>
          <w:tcPr>
            <w:tcW w:w="160" w:type="dxa"/>
            <w:vAlign w:val="bottom"/>
            <w:shd w:val="clear" w:color="auto" w:fill="005CB9"/>
          </w:tcPr>
          <w:p>
            <w:pPr>
              <w:spacing w:after="0"/>
              <w:rPr>
                <w:sz w:val="14"/>
                <w:szCs w:val="14"/>
                <w:color w:val="auto"/>
              </w:rPr>
            </w:pPr>
          </w:p>
        </w:tc>
        <w:tc>
          <w:tcPr>
            <w:tcW w:w="1460" w:type="dxa"/>
            <w:vAlign w:val="bottom"/>
            <w:gridSpan w:val="3"/>
            <w:shd w:val="clear" w:color="auto" w:fill="005CB9"/>
          </w:tcPr>
          <w:p>
            <w:pPr>
              <w:jc w:val="center"/>
              <w:ind w:right="440"/>
              <w:spacing w:after="0"/>
              <w:rPr>
                <w:sz w:val="20"/>
                <w:szCs w:val="20"/>
                <w:color w:val="auto"/>
              </w:rPr>
            </w:pPr>
            <w:r>
              <w:rPr>
                <w:rFonts w:ascii="Arial" w:cs="Arial" w:eastAsia="Arial" w:hAnsi="Arial"/>
                <w:sz w:val="14"/>
                <w:szCs w:val="14"/>
                <w:b w:val="1"/>
                <w:bCs w:val="1"/>
                <w:color w:val="FFFFFF"/>
              </w:rPr>
              <w:t>Termination</w:t>
            </w:r>
          </w:p>
        </w:tc>
        <w:tc>
          <w:tcPr>
            <w:tcW w:w="220" w:type="dxa"/>
            <w:vAlign w:val="bottom"/>
            <w:shd w:val="clear" w:color="auto" w:fill="005CB9"/>
          </w:tcPr>
          <w:p>
            <w:pPr>
              <w:spacing w:after="0"/>
              <w:rPr>
                <w:sz w:val="14"/>
                <w:szCs w:val="14"/>
                <w:color w:val="auto"/>
              </w:rPr>
            </w:pPr>
          </w:p>
        </w:tc>
        <w:tc>
          <w:tcPr>
            <w:tcW w:w="1040" w:type="dxa"/>
            <w:vAlign w:val="bottom"/>
            <w:gridSpan w:val="2"/>
            <w:shd w:val="clear" w:color="auto" w:fill="005CB9"/>
          </w:tcPr>
          <w:p>
            <w:pPr>
              <w:jc w:val="center"/>
              <w:spacing w:after="0"/>
              <w:rPr>
                <w:sz w:val="20"/>
                <w:szCs w:val="20"/>
                <w:color w:val="auto"/>
              </w:rPr>
            </w:pPr>
            <w:r>
              <w:rPr>
                <w:rFonts w:ascii="Arial" w:cs="Arial" w:eastAsia="Arial" w:hAnsi="Arial"/>
                <w:sz w:val="14"/>
                <w:szCs w:val="14"/>
                <w:b w:val="1"/>
                <w:bCs w:val="1"/>
                <w:color w:val="FFFFFF"/>
              </w:rPr>
              <w:t>Change in</w:t>
            </w:r>
          </w:p>
        </w:tc>
      </w:tr>
      <w:tr>
        <w:trPr>
          <w:trHeight w:val="162"/>
        </w:trPr>
        <w:tc>
          <w:tcPr>
            <w:tcW w:w="3360" w:type="dxa"/>
            <w:vAlign w:val="bottom"/>
            <w:shd w:val="clear" w:color="auto" w:fill="005CB9"/>
          </w:tcPr>
          <w:p>
            <w:pPr>
              <w:spacing w:after="0"/>
              <w:rPr>
                <w:sz w:val="14"/>
                <w:szCs w:val="14"/>
                <w:color w:val="auto"/>
              </w:rPr>
            </w:pPr>
          </w:p>
        </w:tc>
        <w:tc>
          <w:tcPr>
            <w:tcW w:w="1160" w:type="dxa"/>
            <w:vAlign w:val="bottom"/>
            <w:tcBorders>
              <w:right w:val="single" w:sz="8" w:color="005CB9"/>
            </w:tcBorders>
            <w:shd w:val="clear" w:color="auto" w:fill="005CB9"/>
          </w:tcPr>
          <w:p>
            <w:pPr>
              <w:spacing w:after="0"/>
              <w:rPr>
                <w:sz w:val="14"/>
                <w:szCs w:val="14"/>
                <w:color w:val="auto"/>
              </w:rPr>
            </w:pPr>
          </w:p>
        </w:tc>
        <w:tc>
          <w:tcPr>
            <w:tcW w:w="1220" w:type="dxa"/>
            <w:vAlign w:val="bottom"/>
            <w:gridSpan w:val="3"/>
            <w:shd w:val="clear" w:color="auto" w:fill="005CB9"/>
          </w:tcPr>
          <w:p>
            <w:pPr>
              <w:jc w:val="center"/>
              <w:ind w:right="400"/>
              <w:spacing w:after="0"/>
              <w:rPr>
                <w:sz w:val="20"/>
                <w:szCs w:val="20"/>
                <w:color w:val="auto"/>
              </w:rPr>
            </w:pPr>
            <w:r>
              <w:rPr>
                <w:rFonts w:ascii="Arial" w:cs="Arial" w:eastAsia="Arial" w:hAnsi="Arial"/>
                <w:sz w:val="14"/>
                <w:szCs w:val="14"/>
                <w:b w:val="1"/>
                <w:bCs w:val="1"/>
                <w:color w:val="FFFFFF"/>
              </w:rPr>
              <w:t>Termination</w:t>
            </w:r>
          </w:p>
        </w:tc>
        <w:tc>
          <w:tcPr>
            <w:tcW w:w="100" w:type="dxa"/>
            <w:vAlign w:val="bottom"/>
            <w:shd w:val="clear" w:color="auto" w:fill="005CB9"/>
          </w:tcPr>
          <w:p>
            <w:pPr>
              <w:spacing w:after="0"/>
              <w:rPr>
                <w:sz w:val="14"/>
                <w:szCs w:val="14"/>
                <w:color w:val="auto"/>
              </w:rPr>
            </w:pPr>
          </w:p>
        </w:tc>
        <w:tc>
          <w:tcPr>
            <w:tcW w:w="76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340" w:type="dxa"/>
            <w:vAlign w:val="bottom"/>
            <w:shd w:val="clear" w:color="auto" w:fill="005CB9"/>
          </w:tcPr>
          <w:p>
            <w:pPr>
              <w:spacing w:after="0"/>
              <w:rPr>
                <w:sz w:val="14"/>
                <w:szCs w:val="14"/>
                <w:color w:val="auto"/>
              </w:rPr>
            </w:pPr>
          </w:p>
        </w:tc>
        <w:tc>
          <w:tcPr>
            <w:tcW w:w="160" w:type="dxa"/>
            <w:vAlign w:val="bottom"/>
            <w:shd w:val="clear" w:color="auto" w:fill="005CB9"/>
          </w:tcPr>
          <w:p>
            <w:pPr>
              <w:spacing w:after="0"/>
              <w:rPr>
                <w:sz w:val="14"/>
                <w:szCs w:val="14"/>
                <w:color w:val="auto"/>
              </w:rPr>
            </w:pPr>
          </w:p>
        </w:tc>
        <w:tc>
          <w:tcPr>
            <w:tcW w:w="1460" w:type="dxa"/>
            <w:vAlign w:val="bottom"/>
            <w:gridSpan w:val="3"/>
            <w:shd w:val="clear" w:color="auto" w:fill="005CB9"/>
          </w:tcPr>
          <w:p>
            <w:pPr>
              <w:jc w:val="center"/>
              <w:ind w:right="440"/>
              <w:spacing w:after="0"/>
              <w:rPr>
                <w:sz w:val="20"/>
                <w:szCs w:val="20"/>
                <w:color w:val="auto"/>
              </w:rPr>
            </w:pPr>
            <w:r>
              <w:rPr>
                <w:rFonts w:ascii="Arial" w:cs="Arial" w:eastAsia="Arial" w:hAnsi="Arial"/>
                <w:sz w:val="14"/>
                <w:szCs w:val="14"/>
                <w:b w:val="1"/>
                <w:bCs w:val="1"/>
                <w:color w:val="FFFFFF"/>
              </w:rPr>
              <w:t>Without Cause</w:t>
            </w:r>
          </w:p>
        </w:tc>
        <w:tc>
          <w:tcPr>
            <w:tcW w:w="220" w:type="dxa"/>
            <w:vAlign w:val="bottom"/>
            <w:shd w:val="clear" w:color="auto" w:fill="005CB9"/>
          </w:tcPr>
          <w:p>
            <w:pPr>
              <w:spacing w:after="0"/>
              <w:rPr>
                <w:sz w:val="14"/>
                <w:szCs w:val="14"/>
                <w:color w:val="auto"/>
              </w:rPr>
            </w:pPr>
          </w:p>
        </w:tc>
        <w:tc>
          <w:tcPr>
            <w:tcW w:w="1040" w:type="dxa"/>
            <w:vAlign w:val="bottom"/>
            <w:gridSpan w:val="2"/>
            <w:shd w:val="clear" w:color="auto" w:fill="005CB9"/>
          </w:tcPr>
          <w:p>
            <w:pPr>
              <w:jc w:val="center"/>
              <w:spacing w:after="0"/>
              <w:rPr>
                <w:sz w:val="20"/>
                <w:szCs w:val="20"/>
                <w:color w:val="auto"/>
              </w:rPr>
            </w:pPr>
            <w:r>
              <w:rPr>
                <w:rFonts w:ascii="Arial" w:cs="Arial" w:eastAsia="Arial" w:hAnsi="Arial"/>
                <w:sz w:val="14"/>
                <w:szCs w:val="14"/>
                <w:b w:val="1"/>
                <w:bCs w:val="1"/>
                <w:color w:val="FFFFFF"/>
              </w:rPr>
              <w:t>Control</w:t>
            </w:r>
          </w:p>
        </w:tc>
      </w:tr>
      <w:tr>
        <w:trPr>
          <w:trHeight w:val="162"/>
        </w:trPr>
        <w:tc>
          <w:tcPr>
            <w:tcW w:w="3360" w:type="dxa"/>
            <w:vAlign w:val="bottom"/>
            <w:shd w:val="clear" w:color="auto" w:fill="005CB9"/>
          </w:tcPr>
          <w:p>
            <w:pPr>
              <w:spacing w:after="0"/>
              <w:rPr>
                <w:sz w:val="14"/>
                <w:szCs w:val="14"/>
                <w:color w:val="auto"/>
              </w:rPr>
            </w:pPr>
          </w:p>
        </w:tc>
        <w:tc>
          <w:tcPr>
            <w:tcW w:w="1160" w:type="dxa"/>
            <w:vAlign w:val="bottom"/>
            <w:tcBorders>
              <w:right w:val="single" w:sz="8" w:color="005CB9"/>
            </w:tcBorders>
            <w:shd w:val="clear" w:color="auto" w:fill="005CB9"/>
          </w:tcPr>
          <w:p>
            <w:pPr>
              <w:spacing w:after="0"/>
              <w:rPr>
                <w:sz w:val="14"/>
                <w:szCs w:val="14"/>
                <w:color w:val="auto"/>
              </w:rPr>
            </w:pPr>
          </w:p>
        </w:tc>
        <w:tc>
          <w:tcPr>
            <w:tcW w:w="1220" w:type="dxa"/>
            <w:vAlign w:val="bottom"/>
            <w:gridSpan w:val="3"/>
            <w:shd w:val="clear" w:color="auto" w:fill="005CB9"/>
          </w:tcPr>
          <w:p>
            <w:pPr>
              <w:jc w:val="center"/>
              <w:ind w:right="400"/>
              <w:spacing w:after="0"/>
              <w:rPr>
                <w:sz w:val="20"/>
                <w:szCs w:val="20"/>
                <w:color w:val="auto"/>
              </w:rPr>
            </w:pPr>
            <w:r>
              <w:rPr>
                <w:rFonts w:ascii="Arial" w:cs="Arial" w:eastAsia="Arial" w:hAnsi="Arial"/>
                <w:sz w:val="14"/>
                <w:szCs w:val="14"/>
                <w:b w:val="1"/>
                <w:bCs w:val="1"/>
                <w:color w:val="FFFFFF"/>
              </w:rPr>
              <w:t>Without</w:t>
            </w:r>
          </w:p>
        </w:tc>
        <w:tc>
          <w:tcPr>
            <w:tcW w:w="100" w:type="dxa"/>
            <w:vAlign w:val="bottom"/>
            <w:shd w:val="clear" w:color="auto" w:fill="005CB9"/>
          </w:tcPr>
          <w:p>
            <w:pPr>
              <w:spacing w:after="0"/>
              <w:rPr>
                <w:sz w:val="14"/>
                <w:szCs w:val="14"/>
                <w:color w:val="auto"/>
              </w:rPr>
            </w:pPr>
          </w:p>
        </w:tc>
        <w:tc>
          <w:tcPr>
            <w:tcW w:w="1200" w:type="dxa"/>
            <w:vAlign w:val="bottom"/>
            <w:gridSpan w:val="3"/>
            <w:shd w:val="clear" w:color="auto" w:fill="005CB9"/>
          </w:tcPr>
          <w:p>
            <w:pPr>
              <w:jc w:val="right"/>
              <w:ind w:right="480"/>
              <w:spacing w:after="0"/>
              <w:rPr>
                <w:sz w:val="20"/>
                <w:szCs w:val="20"/>
                <w:color w:val="auto"/>
              </w:rPr>
            </w:pPr>
            <w:r>
              <w:rPr>
                <w:rFonts w:ascii="Arial" w:cs="Arial" w:eastAsia="Arial" w:hAnsi="Arial"/>
                <w:sz w:val="14"/>
                <w:szCs w:val="14"/>
                <w:b w:val="1"/>
                <w:bCs w:val="1"/>
                <w:color w:val="FFFFFF"/>
              </w:rPr>
              <w:t>Death or</w:t>
            </w:r>
          </w:p>
        </w:tc>
        <w:tc>
          <w:tcPr>
            <w:tcW w:w="160" w:type="dxa"/>
            <w:vAlign w:val="bottom"/>
            <w:shd w:val="clear" w:color="auto" w:fill="005CB9"/>
          </w:tcPr>
          <w:p>
            <w:pPr>
              <w:spacing w:after="0"/>
              <w:rPr>
                <w:sz w:val="14"/>
                <w:szCs w:val="14"/>
                <w:color w:val="auto"/>
              </w:rPr>
            </w:pPr>
          </w:p>
        </w:tc>
        <w:tc>
          <w:tcPr>
            <w:tcW w:w="1460" w:type="dxa"/>
            <w:vAlign w:val="bottom"/>
            <w:gridSpan w:val="3"/>
            <w:shd w:val="clear" w:color="auto" w:fill="005CB9"/>
          </w:tcPr>
          <w:p>
            <w:pPr>
              <w:jc w:val="center"/>
              <w:ind w:right="440"/>
              <w:spacing w:after="0"/>
              <w:rPr>
                <w:sz w:val="20"/>
                <w:szCs w:val="20"/>
                <w:color w:val="auto"/>
              </w:rPr>
            </w:pPr>
            <w:r>
              <w:rPr>
                <w:rFonts w:ascii="Arial" w:cs="Arial" w:eastAsia="Arial" w:hAnsi="Arial"/>
                <w:sz w:val="14"/>
                <w:szCs w:val="14"/>
                <w:b w:val="1"/>
                <w:bCs w:val="1"/>
                <w:color w:val="FFFFFF"/>
              </w:rPr>
              <w:t>or for Good</w:t>
            </w:r>
          </w:p>
        </w:tc>
        <w:tc>
          <w:tcPr>
            <w:tcW w:w="220" w:type="dxa"/>
            <w:vAlign w:val="bottom"/>
            <w:shd w:val="clear" w:color="auto" w:fill="005CB9"/>
          </w:tcPr>
          <w:p>
            <w:pPr>
              <w:spacing w:after="0"/>
              <w:rPr>
                <w:sz w:val="14"/>
                <w:szCs w:val="14"/>
                <w:color w:val="auto"/>
              </w:rPr>
            </w:pPr>
          </w:p>
        </w:tc>
        <w:tc>
          <w:tcPr>
            <w:tcW w:w="1040" w:type="dxa"/>
            <w:vAlign w:val="bottom"/>
            <w:gridSpan w:val="2"/>
            <w:shd w:val="clear" w:color="auto" w:fill="005CB9"/>
          </w:tcPr>
          <w:p>
            <w:pPr>
              <w:jc w:val="center"/>
              <w:spacing w:after="0"/>
              <w:rPr>
                <w:sz w:val="20"/>
                <w:szCs w:val="20"/>
                <w:color w:val="auto"/>
              </w:rPr>
            </w:pPr>
            <w:r>
              <w:rPr>
                <w:rFonts w:ascii="Arial" w:cs="Arial" w:eastAsia="Arial" w:hAnsi="Arial"/>
                <w:sz w:val="14"/>
                <w:szCs w:val="14"/>
                <w:b w:val="1"/>
                <w:bCs w:val="1"/>
                <w:color w:val="FFFFFF"/>
                <w:w w:val="99"/>
              </w:rPr>
              <w:t>Without</w:t>
            </w:r>
          </w:p>
        </w:tc>
      </w:tr>
      <w:tr>
        <w:trPr>
          <w:trHeight w:val="189"/>
        </w:trPr>
        <w:tc>
          <w:tcPr>
            <w:tcW w:w="336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Daniel Emerson</w:t>
            </w:r>
          </w:p>
        </w:tc>
        <w:tc>
          <w:tcPr>
            <w:tcW w:w="1160" w:type="dxa"/>
            <w:vAlign w:val="bottom"/>
            <w:tcBorders>
              <w:right w:val="single" w:sz="8" w:color="005CB9"/>
            </w:tcBorders>
            <w:shd w:val="clear" w:color="auto" w:fill="005CB9"/>
          </w:tcPr>
          <w:p>
            <w:pPr>
              <w:spacing w:after="0"/>
              <w:rPr>
                <w:sz w:val="16"/>
                <w:szCs w:val="16"/>
                <w:color w:val="auto"/>
              </w:rPr>
            </w:pPr>
          </w:p>
        </w:tc>
        <w:tc>
          <w:tcPr>
            <w:tcW w:w="1220" w:type="dxa"/>
            <w:vAlign w:val="bottom"/>
            <w:gridSpan w:val="3"/>
            <w:shd w:val="clear" w:color="auto" w:fill="005CB9"/>
          </w:tcPr>
          <w:p>
            <w:pPr>
              <w:jc w:val="center"/>
              <w:ind w:right="400"/>
              <w:spacing w:after="0"/>
              <w:rPr>
                <w:sz w:val="20"/>
                <w:szCs w:val="20"/>
                <w:color w:val="auto"/>
              </w:rPr>
            </w:pPr>
            <w:r>
              <w:rPr>
                <w:rFonts w:ascii="Arial" w:cs="Arial" w:eastAsia="Arial" w:hAnsi="Arial"/>
                <w:sz w:val="14"/>
                <w:szCs w:val="14"/>
                <w:b w:val="1"/>
                <w:bCs w:val="1"/>
                <w:color w:val="FFFFFF"/>
              </w:rPr>
              <w:t>Cause ($)(1)</w:t>
            </w:r>
          </w:p>
        </w:tc>
        <w:tc>
          <w:tcPr>
            <w:tcW w:w="100" w:type="dxa"/>
            <w:vAlign w:val="bottom"/>
            <w:shd w:val="clear" w:color="auto" w:fill="005CB9"/>
          </w:tcPr>
          <w:p>
            <w:pPr>
              <w:spacing w:after="0"/>
              <w:rPr>
                <w:sz w:val="16"/>
                <w:szCs w:val="16"/>
                <w:color w:val="auto"/>
              </w:rPr>
            </w:pPr>
          </w:p>
        </w:tc>
        <w:tc>
          <w:tcPr>
            <w:tcW w:w="1200" w:type="dxa"/>
            <w:vAlign w:val="bottom"/>
            <w:gridSpan w:val="3"/>
            <w:shd w:val="clear" w:color="auto" w:fill="005CB9"/>
          </w:tcPr>
          <w:p>
            <w:pPr>
              <w:jc w:val="right"/>
              <w:ind w:right="340"/>
              <w:spacing w:after="0"/>
              <w:rPr>
                <w:sz w:val="20"/>
                <w:szCs w:val="20"/>
                <w:color w:val="auto"/>
              </w:rPr>
            </w:pPr>
            <w:r>
              <w:rPr>
                <w:rFonts w:ascii="Arial" w:cs="Arial" w:eastAsia="Arial" w:hAnsi="Arial"/>
                <w:sz w:val="14"/>
                <w:szCs w:val="14"/>
                <w:b w:val="1"/>
                <w:bCs w:val="1"/>
                <w:color w:val="FFFFFF"/>
              </w:rPr>
              <w:t>Disability ($)</w:t>
            </w:r>
          </w:p>
        </w:tc>
        <w:tc>
          <w:tcPr>
            <w:tcW w:w="160" w:type="dxa"/>
            <w:vAlign w:val="bottom"/>
            <w:shd w:val="clear" w:color="auto" w:fill="005CB9"/>
          </w:tcPr>
          <w:p>
            <w:pPr>
              <w:spacing w:after="0"/>
              <w:rPr>
                <w:sz w:val="16"/>
                <w:szCs w:val="16"/>
                <w:color w:val="auto"/>
              </w:rPr>
            </w:pPr>
          </w:p>
        </w:tc>
        <w:tc>
          <w:tcPr>
            <w:tcW w:w="1460" w:type="dxa"/>
            <w:vAlign w:val="bottom"/>
            <w:gridSpan w:val="3"/>
            <w:shd w:val="clear" w:color="auto" w:fill="005CB9"/>
          </w:tcPr>
          <w:p>
            <w:pPr>
              <w:jc w:val="center"/>
              <w:ind w:right="440"/>
              <w:spacing w:after="0"/>
              <w:rPr>
                <w:sz w:val="20"/>
                <w:szCs w:val="20"/>
                <w:color w:val="auto"/>
              </w:rPr>
            </w:pPr>
            <w:r>
              <w:rPr>
                <w:rFonts w:ascii="Arial" w:cs="Arial" w:eastAsia="Arial" w:hAnsi="Arial"/>
                <w:sz w:val="14"/>
                <w:szCs w:val="14"/>
                <w:b w:val="1"/>
                <w:bCs w:val="1"/>
                <w:color w:val="FFFFFF"/>
              </w:rPr>
              <w:t>Reason ($)</w:t>
            </w:r>
          </w:p>
        </w:tc>
        <w:tc>
          <w:tcPr>
            <w:tcW w:w="220" w:type="dxa"/>
            <w:vAlign w:val="bottom"/>
            <w:shd w:val="clear" w:color="auto" w:fill="005CB9"/>
          </w:tcPr>
          <w:p>
            <w:pPr>
              <w:spacing w:after="0"/>
              <w:rPr>
                <w:sz w:val="16"/>
                <w:szCs w:val="16"/>
                <w:color w:val="auto"/>
              </w:rPr>
            </w:pPr>
          </w:p>
        </w:tc>
        <w:tc>
          <w:tcPr>
            <w:tcW w:w="1040" w:type="dxa"/>
            <w:vAlign w:val="bottom"/>
            <w:gridSpan w:val="2"/>
            <w:shd w:val="clear" w:color="auto" w:fill="005CB9"/>
          </w:tcPr>
          <w:p>
            <w:pPr>
              <w:jc w:val="center"/>
              <w:spacing w:after="0"/>
              <w:rPr>
                <w:sz w:val="20"/>
                <w:szCs w:val="20"/>
                <w:color w:val="auto"/>
              </w:rPr>
            </w:pPr>
            <w:r>
              <w:rPr>
                <w:rFonts w:ascii="Arial" w:cs="Arial" w:eastAsia="Arial" w:hAnsi="Arial"/>
                <w:sz w:val="14"/>
                <w:szCs w:val="14"/>
                <w:b w:val="1"/>
                <w:bCs w:val="1"/>
                <w:color w:val="FFFFFF"/>
              </w:rPr>
              <w:t>Termination ($)</w:t>
            </w:r>
          </w:p>
        </w:tc>
      </w:tr>
      <w:tr>
        <w:trPr>
          <w:trHeight w:val="210"/>
        </w:trPr>
        <w:tc>
          <w:tcPr>
            <w:tcW w:w="33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auto"/>
              </w:rPr>
              <w:t>Salary Payment</w:t>
            </w:r>
          </w:p>
        </w:tc>
        <w:tc>
          <w:tcPr>
            <w:tcW w:w="1980" w:type="dxa"/>
            <w:vAlign w:val="bottom"/>
            <w:tcBorders>
              <w:bottom w:val="single" w:sz="8" w:color="EAEAEA"/>
            </w:tcBorders>
            <w:gridSpan w:val="3"/>
            <w:shd w:val="clear" w:color="auto" w:fill="EAEAEA"/>
          </w:tcPr>
          <w:p>
            <w:pPr>
              <w:jc w:val="right"/>
              <w:spacing w:after="0"/>
              <w:rPr>
                <w:sz w:val="20"/>
                <w:szCs w:val="20"/>
                <w:color w:val="auto"/>
              </w:rPr>
            </w:pPr>
            <w:r>
              <w:rPr>
                <w:rFonts w:ascii="Arial" w:cs="Arial" w:eastAsia="Arial" w:hAnsi="Arial"/>
                <w:sz w:val="14"/>
                <w:szCs w:val="14"/>
                <w:color w:val="auto"/>
              </w:rPr>
              <w:t>540,000</w:t>
            </w:r>
          </w:p>
        </w:tc>
        <w:tc>
          <w:tcPr>
            <w:tcW w:w="40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1200" w:type="dxa"/>
            <w:vAlign w:val="bottom"/>
            <w:tcBorders>
              <w:bottom w:val="single" w:sz="8" w:color="EAEAEA"/>
            </w:tcBorders>
            <w:gridSpan w:val="3"/>
            <w:shd w:val="clear" w:color="auto" w:fill="EAEAEA"/>
          </w:tcPr>
          <w:p>
            <w:pPr>
              <w:jc w:val="right"/>
              <w:ind w:right="3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EAEAEA"/>
            </w:tcBorders>
            <w:gridSpan w:val="3"/>
            <w:shd w:val="clear" w:color="auto" w:fill="EAEAEA"/>
          </w:tcPr>
          <w:p>
            <w:pPr>
              <w:jc w:val="right"/>
              <w:spacing w:after="0"/>
              <w:rPr>
                <w:sz w:val="20"/>
                <w:szCs w:val="20"/>
                <w:color w:val="auto"/>
              </w:rPr>
            </w:pPr>
            <w:r>
              <w:rPr>
                <w:rFonts w:ascii="Arial" w:cs="Arial" w:eastAsia="Arial" w:hAnsi="Arial"/>
                <w:sz w:val="14"/>
                <w:szCs w:val="14"/>
                <w:color w:val="auto"/>
              </w:rPr>
              <w:t>810,000</w:t>
            </w:r>
          </w:p>
        </w:tc>
        <w:tc>
          <w:tcPr>
            <w:tcW w:w="440" w:type="dxa"/>
            <w:vAlign w:val="bottom"/>
            <w:tcBorders>
              <w:bottom w:val="single" w:sz="8" w:color="EAEAEA"/>
            </w:tcBorders>
            <w:shd w:val="clear" w:color="auto" w:fill="EAEAEA"/>
          </w:tcPr>
          <w:p>
            <w:pPr>
              <w:spacing w:after="0"/>
              <w:rPr>
                <w:sz w:val="18"/>
                <w:szCs w:val="18"/>
                <w:color w:val="auto"/>
              </w:rPr>
            </w:pPr>
          </w:p>
        </w:tc>
        <w:tc>
          <w:tcPr>
            <w:tcW w:w="220" w:type="dxa"/>
            <w:vAlign w:val="bottom"/>
            <w:tcBorders>
              <w:bottom w:val="single" w:sz="8" w:color="EAEAEA"/>
            </w:tcBorders>
            <w:shd w:val="clear" w:color="auto" w:fill="EAEAEA"/>
          </w:tcPr>
          <w:p>
            <w:pPr>
              <w:spacing w:after="0"/>
              <w:rPr>
                <w:sz w:val="18"/>
                <w:szCs w:val="18"/>
                <w:color w:val="auto"/>
              </w:rPr>
            </w:pPr>
          </w:p>
        </w:tc>
        <w:tc>
          <w:tcPr>
            <w:tcW w:w="1040" w:type="dxa"/>
            <w:vAlign w:val="bottom"/>
            <w:tcBorders>
              <w:bottom w:val="single" w:sz="8" w:color="EAEAEA"/>
            </w:tcBorders>
            <w:gridSpan w:val="2"/>
            <w:shd w:val="clear" w:color="auto" w:fill="EAEAEA"/>
          </w:tcPr>
          <w:p>
            <w:pPr>
              <w:jc w:val="center"/>
              <w:spacing w:after="0"/>
              <w:rPr>
                <w:sz w:val="20"/>
                <w:szCs w:val="20"/>
                <w:color w:val="auto"/>
              </w:rPr>
            </w:pPr>
            <w:r>
              <w:rPr>
                <w:rFonts w:ascii="Arial" w:cs="Arial" w:eastAsia="Arial" w:hAnsi="Arial"/>
                <w:sz w:val="14"/>
                <w:szCs w:val="14"/>
                <w:color w:val="auto"/>
              </w:rPr>
              <w:t>—</w:t>
            </w:r>
          </w:p>
        </w:tc>
      </w:tr>
      <w:tr>
        <w:trPr>
          <w:trHeight w:val="204"/>
        </w:trPr>
        <w:tc>
          <w:tcPr>
            <w:tcW w:w="3360" w:type="dxa"/>
            <w:vAlign w:val="bottom"/>
          </w:tcPr>
          <w:p>
            <w:pPr>
              <w:ind w:left="80"/>
              <w:spacing w:after="0"/>
              <w:rPr>
                <w:sz w:val="20"/>
                <w:szCs w:val="20"/>
                <w:color w:val="auto"/>
              </w:rPr>
            </w:pPr>
            <w:r>
              <w:rPr>
                <w:rFonts w:ascii="Arial" w:cs="Arial" w:eastAsia="Arial" w:hAnsi="Arial"/>
                <w:sz w:val="14"/>
                <w:szCs w:val="14"/>
                <w:color w:val="auto"/>
              </w:rPr>
              <w:t>Continuation of Welfare Benefits</w:t>
            </w:r>
          </w:p>
        </w:tc>
        <w:tc>
          <w:tcPr>
            <w:tcW w:w="1980" w:type="dxa"/>
            <w:vAlign w:val="bottom"/>
            <w:gridSpan w:val="3"/>
          </w:tcPr>
          <w:p>
            <w:pPr>
              <w:jc w:val="right"/>
              <w:spacing w:after="0"/>
              <w:rPr>
                <w:sz w:val="20"/>
                <w:szCs w:val="20"/>
                <w:color w:val="auto"/>
              </w:rPr>
            </w:pPr>
            <w:r>
              <w:rPr>
                <w:rFonts w:ascii="Arial" w:cs="Arial" w:eastAsia="Arial" w:hAnsi="Arial"/>
                <w:sz w:val="14"/>
                <w:szCs w:val="14"/>
                <w:color w:val="auto"/>
              </w:rPr>
              <w:t>33,656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50,484</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w:t>
            </w:r>
          </w:p>
        </w:tc>
      </w:tr>
      <w:tr>
        <w:trPr>
          <w:trHeight w:val="25"/>
        </w:trPr>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10"/>
        </w:trPr>
        <w:tc>
          <w:tcPr>
            <w:tcW w:w="33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auto"/>
              </w:rPr>
              <w:t>Acceleration of Equity Awards(2)</w:t>
            </w:r>
          </w:p>
        </w:tc>
        <w:tc>
          <w:tcPr>
            <w:tcW w:w="1980" w:type="dxa"/>
            <w:vAlign w:val="bottom"/>
            <w:tcBorders>
              <w:bottom w:val="single" w:sz="8" w:color="EAEAEA"/>
            </w:tcBorders>
            <w:gridSpan w:val="3"/>
            <w:shd w:val="clear" w:color="auto" w:fill="EAEAEA"/>
          </w:tcPr>
          <w:p>
            <w:pPr>
              <w:jc w:val="right"/>
              <w:spacing w:after="0"/>
              <w:rPr>
                <w:sz w:val="20"/>
                <w:szCs w:val="20"/>
                <w:color w:val="auto"/>
              </w:rPr>
            </w:pPr>
            <w:r>
              <w:rPr>
                <w:rFonts w:ascii="Arial" w:cs="Arial" w:eastAsia="Arial" w:hAnsi="Arial"/>
                <w:sz w:val="14"/>
                <w:szCs w:val="14"/>
                <w:color w:val="auto"/>
              </w:rPr>
              <w:t>3,710,239</w:t>
            </w:r>
          </w:p>
        </w:tc>
        <w:tc>
          <w:tcPr>
            <w:tcW w:w="400" w:type="dxa"/>
            <w:vAlign w:val="bottom"/>
            <w:tcBorders>
              <w:bottom w:val="single" w:sz="8" w:color="EAEAEA"/>
            </w:tcBorders>
            <w:shd w:val="clear" w:color="auto" w:fill="EAEAEA"/>
          </w:tcPr>
          <w:p>
            <w:pPr>
              <w:spacing w:after="0"/>
              <w:rPr>
                <w:sz w:val="18"/>
                <w:szCs w:val="18"/>
                <w:color w:val="auto"/>
              </w:rPr>
            </w:pPr>
          </w:p>
        </w:tc>
        <w:tc>
          <w:tcPr>
            <w:tcW w:w="960" w:type="dxa"/>
            <w:vAlign w:val="bottom"/>
            <w:tcBorders>
              <w:bottom w:val="single" w:sz="8" w:color="EAEAEA"/>
            </w:tcBorders>
            <w:gridSpan w:val="3"/>
            <w:shd w:val="clear" w:color="auto" w:fill="EAEAEA"/>
          </w:tcPr>
          <w:p>
            <w:pPr>
              <w:jc w:val="right"/>
              <w:spacing w:after="0"/>
              <w:rPr>
                <w:sz w:val="20"/>
                <w:szCs w:val="20"/>
                <w:color w:val="auto"/>
              </w:rPr>
            </w:pPr>
            <w:r>
              <w:rPr>
                <w:rFonts w:ascii="Arial" w:cs="Arial" w:eastAsia="Arial" w:hAnsi="Arial"/>
                <w:sz w:val="14"/>
                <w:szCs w:val="14"/>
                <w:color w:val="auto"/>
              </w:rPr>
              <w:t>2,384,298</w:t>
            </w:r>
          </w:p>
        </w:tc>
        <w:tc>
          <w:tcPr>
            <w:tcW w:w="340" w:type="dxa"/>
            <w:vAlign w:val="bottom"/>
            <w:tcBorders>
              <w:bottom w:val="single" w:sz="8" w:color="EAEAEA"/>
            </w:tcBorders>
            <w:shd w:val="clear" w:color="auto" w:fill="EAEAEA"/>
          </w:tcPr>
          <w:p>
            <w:pPr>
              <w:spacing w:after="0"/>
              <w:rPr>
                <w:sz w:val="18"/>
                <w:szCs w:val="18"/>
                <w:color w:val="auto"/>
              </w:rPr>
            </w:pPr>
          </w:p>
        </w:tc>
        <w:tc>
          <w:tcPr>
            <w:tcW w:w="1180" w:type="dxa"/>
            <w:vAlign w:val="bottom"/>
            <w:tcBorders>
              <w:bottom w:val="single" w:sz="8" w:color="EAEAEA"/>
            </w:tcBorders>
            <w:gridSpan w:val="3"/>
            <w:shd w:val="clear" w:color="auto" w:fill="EAEAEA"/>
          </w:tcPr>
          <w:p>
            <w:pPr>
              <w:jc w:val="right"/>
              <w:spacing w:after="0"/>
              <w:rPr>
                <w:sz w:val="20"/>
                <w:szCs w:val="20"/>
                <w:color w:val="auto"/>
              </w:rPr>
            </w:pPr>
            <w:r>
              <w:rPr>
                <w:rFonts w:ascii="Arial" w:cs="Arial" w:eastAsia="Arial" w:hAnsi="Arial"/>
                <w:sz w:val="14"/>
                <w:szCs w:val="14"/>
                <w:color w:val="auto"/>
              </w:rPr>
              <w:t>3,710,239</w:t>
            </w:r>
          </w:p>
        </w:tc>
        <w:tc>
          <w:tcPr>
            <w:tcW w:w="440" w:type="dxa"/>
            <w:vAlign w:val="bottom"/>
            <w:tcBorders>
              <w:bottom w:val="single" w:sz="8" w:color="EAEAEA"/>
            </w:tcBorders>
            <w:shd w:val="clear" w:color="auto" w:fill="EAEAEA"/>
          </w:tcPr>
          <w:p>
            <w:pPr>
              <w:spacing w:after="0"/>
              <w:rPr>
                <w:sz w:val="18"/>
                <w:szCs w:val="18"/>
                <w:color w:val="auto"/>
              </w:rPr>
            </w:pPr>
          </w:p>
        </w:tc>
        <w:tc>
          <w:tcPr>
            <w:tcW w:w="220" w:type="dxa"/>
            <w:vAlign w:val="bottom"/>
            <w:tcBorders>
              <w:bottom w:val="single" w:sz="8" w:color="EAEAEA"/>
            </w:tcBorders>
            <w:shd w:val="clear" w:color="auto" w:fill="EAEAEA"/>
          </w:tcPr>
          <w:p>
            <w:pPr>
              <w:spacing w:after="0"/>
              <w:rPr>
                <w:sz w:val="18"/>
                <w:szCs w:val="18"/>
                <w:color w:val="auto"/>
              </w:rPr>
            </w:pPr>
          </w:p>
        </w:tc>
        <w:tc>
          <w:tcPr>
            <w:tcW w:w="1040" w:type="dxa"/>
            <w:vAlign w:val="bottom"/>
            <w:tcBorders>
              <w:bottom w:val="single" w:sz="8" w:color="EAEAEA"/>
            </w:tcBorders>
            <w:gridSpan w:val="2"/>
            <w:shd w:val="clear" w:color="auto" w:fill="EAEAEA"/>
          </w:tcPr>
          <w:p>
            <w:pPr>
              <w:jc w:val="center"/>
              <w:spacing w:after="0"/>
              <w:rPr>
                <w:sz w:val="20"/>
                <w:szCs w:val="20"/>
                <w:color w:val="auto"/>
              </w:rPr>
            </w:pPr>
            <w:r>
              <w:rPr>
                <w:rFonts w:ascii="Arial" w:cs="Arial" w:eastAsia="Arial" w:hAnsi="Arial"/>
                <w:sz w:val="14"/>
                <w:szCs w:val="14"/>
                <w:color w:val="auto"/>
              </w:rPr>
              <w:t>—</w:t>
            </w:r>
          </w:p>
        </w:tc>
      </w:tr>
      <w:tr>
        <w:trPr>
          <w:trHeight w:val="204"/>
        </w:trPr>
        <w:tc>
          <w:tcPr>
            <w:tcW w:w="3360" w:type="dxa"/>
            <w:vAlign w:val="bottom"/>
          </w:tcPr>
          <w:p>
            <w:pPr>
              <w:ind w:left="80"/>
              <w:spacing w:after="0"/>
              <w:rPr>
                <w:sz w:val="20"/>
                <w:szCs w:val="20"/>
                <w:color w:val="auto"/>
              </w:rPr>
            </w:pPr>
            <w:r>
              <w:rPr>
                <w:rFonts w:ascii="Arial" w:cs="Arial" w:eastAsia="Arial" w:hAnsi="Arial"/>
                <w:sz w:val="14"/>
                <w:szCs w:val="14"/>
                <w:color w:val="auto"/>
              </w:rPr>
              <w:t>Bonus Payment</w:t>
            </w:r>
          </w:p>
        </w:tc>
        <w:tc>
          <w:tcPr>
            <w:tcW w:w="1980" w:type="dxa"/>
            <w:vAlign w:val="bottom"/>
            <w:gridSpan w:val="3"/>
          </w:tcPr>
          <w:p>
            <w:pPr>
              <w:jc w:val="right"/>
              <w:spacing w:after="0"/>
              <w:rPr>
                <w:sz w:val="20"/>
                <w:szCs w:val="20"/>
                <w:color w:val="auto"/>
              </w:rPr>
            </w:pPr>
            <w:r>
              <w:rPr>
                <w:rFonts w:ascii="Arial" w:cs="Arial" w:eastAsia="Arial" w:hAnsi="Arial"/>
                <w:sz w:val="14"/>
                <w:szCs w:val="14"/>
                <w:color w:val="auto"/>
              </w:rPr>
              <w:t>378,000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567,000</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w:t>
            </w:r>
          </w:p>
        </w:tc>
      </w:tr>
      <w:tr>
        <w:trPr>
          <w:trHeight w:val="33"/>
        </w:trPr>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230"/>
        </w:trPr>
        <w:tc>
          <w:tcPr>
            <w:tcW w:w="33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auto"/>
              </w:rPr>
              <w:t>Total Termination Benefits</w:t>
            </w:r>
          </w:p>
        </w:tc>
        <w:tc>
          <w:tcPr>
            <w:tcW w:w="1980" w:type="dxa"/>
            <w:vAlign w:val="bottom"/>
            <w:tcBorders>
              <w:bottom w:val="single" w:sz="8" w:color="EAEAEA"/>
            </w:tcBorders>
            <w:gridSpan w:val="3"/>
            <w:shd w:val="clear" w:color="auto" w:fill="EAEAEA"/>
          </w:tcPr>
          <w:p>
            <w:pPr>
              <w:jc w:val="right"/>
              <w:spacing w:after="0"/>
              <w:rPr>
                <w:sz w:val="20"/>
                <w:szCs w:val="20"/>
                <w:color w:val="auto"/>
              </w:rPr>
            </w:pPr>
            <w:r>
              <w:rPr>
                <w:rFonts w:ascii="Arial" w:cs="Arial" w:eastAsia="Arial" w:hAnsi="Arial"/>
                <w:sz w:val="14"/>
                <w:szCs w:val="14"/>
                <w:color w:val="auto"/>
              </w:rPr>
              <w:t>4,661,895</w:t>
            </w:r>
          </w:p>
        </w:tc>
        <w:tc>
          <w:tcPr>
            <w:tcW w:w="400" w:type="dxa"/>
            <w:vAlign w:val="bottom"/>
            <w:tcBorders>
              <w:bottom w:val="single" w:sz="8" w:color="EAEAEA"/>
            </w:tcBorders>
            <w:shd w:val="clear" w:color="auto" w:fill="EAEAEA"/>
          </w:tcPr>
          <w:p>
            <w:pPr>
              <w:spacing w:after="0"/>
              <w:rPr>
                <w:sz w:val="19"/>
                <w:szCs w:val="19"/>
                <w:color w:val="auto"/>
              </w:rPr>
            </w:pPr>
          </w:p>
        </w:tc>
        <w:tc>
          <w:tcPr>
            <w:tcW w:w="960" w:type="dxa"/>
            <w:vAlign w:val="bottom"/>
            <w:tcBorders>
              <w:bottom w:val="single" w:sz="8" w:color="EAEAEA"/>
            </w:tcBorders>
            <w:gridSpan w:val="3"/>
            <w:shd w:val="clear" w:color="auto" w:fill="EAEAEA"/>
          </w:tcPr>
          <w:p>
            <w:pPr>
              <w:jc w:val="right"/>
              <w:spacing w:after="0"/>
              <w:rPr>
                <w:sz w:val="20"/>
                <w:szCs w:val="20"/>
                <w:color w:val="auto"/>
              </w:rPr>
            </w:pPr>
            <w:r>
              <w:rPr>
                <w:rFonts w:ascii="Arial" w:cs="Arial" w:eastAsia="Arial" w:hAnsi="Arial"/>
                <w:sz w:val="14"/>
                <w:szCs w:val="14"/>
                <w:color w:val="auto"/>
              </w:rPr>
              <w:t>2,384,298</w:t>
            </w:r>
          </w:p>
        </w:tc>
        <w:tc>
          <w:tcPr>
            <w:tcW w:w="340" w:type="dxa"/>
            <w:vAlign w:val="bottom"/>
            <w:tcBorders>
              <w:bottom w:val="single" w:sz="8" w:color="EAEAEA"/>
            </w:tcBorders>
            <w:shd w:val="clear" w:color="auto" w:fill="EAEAEA"/>
          </w:tcPr>
          <w:p>
            <w:pPr>
              <w:spacing w:after="0"/>
              <w:rPr>
                <w:sz w:val="19"/>
                <w:szCs w:val="19"/>
                <w:color w:val="auto"/>
              </w:rPr>
            </w:pPr>
          </w:p>
        </w:tc>
        <w:tc>
          <w:tcPr>
            <w:tcW w:w="1620" w:type="dxa"/>
            <w:vAlign w:val="bottom"/>
            <w:tcBorders>
              <w:bottom w:val="single" w:sz="8" w:color="EAEAEA"/>
            </w:tcBorders>
            <w:gridSpan w:val="4"/>
            <w:shd w:val="clear" w:color="auto" w:fill="EAEAEA"/>
          </w:tcPr>
          <w:p>
            <w:pPr>
              <w:jc w:val="right"/>
              <w:ind w:right="260"/>
              <w:spacing w:after="0"/>
              <w:rPr>
                <w:sz w:val="20"/>
                <w:szCs w:val="20"/>
                <w:color w:val="auto"/>
              </w:rPr>
            </w:pPr>
            <w:r>
              <w:rPr>
                <w:rFonts w:ascii="Arial" w:cs="Arial" w:eastAsia="Arial" w:hAnsi="Arial"/>
                <w:sz w:val="14"/>
                <w:szCs w:val="14"/>
                <w:color w:val="auto"/>
              </w:rPr>
              <w:t>5,137,723(3)</w:t>
            </w:r>
          </w:p>
        </w:tc>
        <w:tc>
          <w:tcPr>
            <w:tcW w:w="220" w:type="dxa"/>
            <w:vAlign w:val="bottom"/>
            <w:tcBorders>
              <w:bottom w:val="single" w:sz="8" w:color="EAEAEA"/>
            </w:tcBorders>
            <w:shd w:val="clear" w:color="auto" w:fill="EAEAEA"/>
          </w:tcPr>
          <w:p>
            <w:pPr>
              <w:spacing w:after="0"/>
              <w:rPr>
                <w:sz w:val="19"/>
                <w:szCs w:val="19"/>
                <w:color w:val="auto"/>
              </w:rPr>
            </w:pPr>
          </w:p>
        </w:tc>
        <w:tc>
          <w:tcPr>
            <w:tcW w:w="1040" w:type="dxa"/>
            <w:vAlign w:val="bottom"/>
            <w:tcBorders>
              <w:bottom w:val="single" w:sz="8" w:color="EAEAEA"/>
            </w:tcBorders>
            <w:gridSpan w:val="2"/>
            <w:shd w:val="clear" w:color="auto" w:fill="EAEAEA"/>
          </w:tcPr>
          <w:p>
            <w:pPr>
              <w:jc w:val="center"/>
              <w:spacing w:after="0"/>
              <w:rPr>
                <w:sz w:val="20"/>
                <w:szCs w:val="20"/>
                <w:color w:val="auto"/>
              </w:rPr>
            </w:pPr>
            <w:r>
              <w:rPr>
                <w:rFonts w:ascii="Arial" w:cs="Arial" w:eastAsia="Arial" w:hAnsi="Arial"/>
                <w:sz w:val="14"/>
                <w:szCs w:val="14"/>
                <w:color w:val="auto"/>
              </w:rPr>
              <w:t>—</w:t>
            </w:r>
          </w:p>
        </w:tc>
      </w:tr>
      <w:tr>
        <w:trPr>
          <w:trHeight w:val="20"/>
        </w:trPr>
        <w:tc>
          <w:tcPr>
            <w:tcW w:w="3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960" w:right="20" w:hanging="291"/>
        <w:spacing w:after="0" w:line="244" w:lineRule="auto"/>
        <w:tabs>
          <w:tab w:leader="none" w:pos="9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Under Ms. Goldstein’s and Mr. Emerson’s employment agreements, a termination without cause includes a resignation following certain events so as to be deemed a termination by the Company without cause and for Ms. Goldstein, the Company’s non-renewal of the employment agreement. For purposes of Ms. Goldstein’s and Mr. Emerson’s employment agreements, “cause” generally means such person’s continued failure to substantially perform duties under the employment agreement after receipt of notice from the Company, such person’s criminal conviction which is demonstrably injurious to the Company, such person’s felony conviction, such person’s gross negligence which significantly affects the Company or such person’s material failure to adhere to the Company’s material written policies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273685</wp:posOffset>
            </wp:positionV>
            <wp:extent cx="291465" cy="2743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205740</wp:posOffset>
            </wp:positionV>
            <wp:extent cx="202311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23110" cy="137160"/>
                    </a:xfrm>
                    <a:prstGeom prst="rect">
                      <a:avLst/>
                    </a:prstGeom>
                    <a:noFill/>
                  </pic:spPr>
                </pic:pic>
              </a:graphicData>
            </a:graphic>
          </wp:anchor>
        </w:drawing>
      </w:r>
    </w:p>
    <w:p>
      <w:pPr>
        <w:spacing w:after="0" w:line="331"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XECUTIVE</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C</w:t>
      </w:r>
      <w:r>
        <w:rPr>
          <w:rFonts w:ascii="Arial" w:cs="Arial" w:eastAsia="Arial" w:hAnsi="Arial"/>
          <w:sz w:val="11"/>
          <w:szCs w:val="11"/>
          <w:b w:val="1"/>
          <w:bCs w:val="1"/>
          <w:color w:val="000000"/>
        </w:rPr>
        <w:t>OMPENSATION</w:t>
      </w:r>
    </w:p>
    <w:p>
      <w:pPr>
        <w:spacing w:after="0" w:line="200" w:lineRule="exact"/>
        <w:rPr>
          <w:sz w:val="20"/>
          <w:szCs w:val="20"/>
          <w:color w:val="auto"/>
        </w:rPr>
      </w:pPr>
    </w:p>
    <w:p>
      <w:pPr>
        <w:spacing w:after="0" w:line="251" w:lineRule="exact"/>
        <w:rPr>
          <w:sz w:val="20"/>
          <w:szCs w:val="20"/>
          <w:color w:val="auto"/>
        </w:rPr>
      </w:pPr>
    </w:p>
    <w:p>
      <w:pPr>
        <w:ind w:left="960" w:right="20"/>
        <w:spacing w:after="0" w:line="241" w:lineRule="auto"/>
        <w:rPr>
          <w:sz w:val="20"/>
          <w:szCs w:val="20"/>
          <w:color w:val="auto"/>
        </w:rPr>
      </w:pPr>
      <w:r>
        <w:rPr>
          <w:rFonts w:ascii="Arial" w:cs="Arial" w:eastAsia="Arial" w:hAnsi="Arial"/>
          <w:sz w:val="14"/>
          <w:szCs w:val="14"/>
          <w:color w:val="auto"/>
        </w:rPr>
        <w:t>to cooperate in any investigation or inquiry involving the Company. For purposes of Ms. Goldstein’s and Mr. Emerson’s employment agreements, Ms. Goldstein’s or Mr. Emerson’s resignation in connection with the following events will be tantamount to a termination without cause: a material breach of the employment agreement by the Company, a material diminution in such person’s title, status, position or responsibilities, the Company’s failure to timely pay compensation due under the employment agreement, a material reduction in such person’s salary or any reduction in target bonus, assignment of duties to such person which are materially inconsistent with the duties set forth in the employment agreement, relocation of such person’s principal place of employment beyond 10 miles from its then-current location or the failure of any successor to assume the Company’s obligations under the employment agreement.</w:t>
      </w:r>
    </w:p>
    <w:p>
      <w:pPr>
        <w:spacing w:after="0" w:line="2" w:lineRule="exact"/>
        <w:rPr>
          <w:sz w:val="20"/>
          <w:szCs w:val="20"/>
          <w:color w:val="auto"/>
        </w:rPr>
      </w:pPr>
    </w:p>
    <w:p>
      <w:pPr>
        <w:ind w:left="960" w:right="120" w:hanging="291"/>
        <w:spacing w:after="0" w:line="241" w:lineRule="auto"/>
        <w:tabs>
          <w:tab w:leader="none" w:pos="9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value of the equity awards is calculated by multiplying the number of shares of restricted stock and RSUs that accelerate by the per share closing price of the Company’s common stock of $118.61 on March 31, 2020.</w:t>
      </w:r>
    </w:p>
    <w:p>
      <w:pPr>
        <w:ind w:left="960" w:right="280" w:hanging="291"/>
        <w:spacing w:after="0" w:line="249" w:lineRule="auto"/>
        <w:tabs>
          <w:tab w:leader="none" w:pos="9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 the event that the total amounts payable in connection with a change in control to Ms. Goldstein or Mr. Emerson would trigger an excise tax on “parachute payments” under Section 280G of the Code, then the total amounts payable in the scenarios illustrated in this table would be reduced in order to avoid triggering the excise tax if they would benefit from such reduction as opposed to paying the excise tax.</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right="80"/>
        <w:spacing w:after="0" w:line="248" w:lineRule="auto"/>
        <w:rPr>
          <w:sz w:val="20"/>
          <w:szCs w:val="20"/>
          <w:color w:val="auto"/>
        </w:rPr>
      </w:pPr>
      <w:r>
        <w:rPr>
          <w:rFonts w:ascii="Arial" w:cs="Arial" w:eastAsia="Arial" w:hAnsi="Arial"/>
          <w:sz w:val="16"/>
          <w:szCs w:val="16"/>
          <w:color w:val="auto"/>
        </w:rPr>
        <w:t>Under SEC rules, we are required to provide information regarding the relationship between the annual total compensation of Mr. Strauss Zelnick, the Company’s Chairman and Chief Executive Officer, and the annual total compensation of the Company’s median employee (excluding Mr. Zelnick) for fiscal 2020. With respect to the annual total compensation of Mr. Zelnick, we used both the amount reported in the Summary Compensation Table, as required by Item 402(u) or Regulation S-K, and, because such amount does not reflect the amount Mr. Zelnick receives from our payments to ZelnickMedia, the maximum amount Mr. Zelnick was eligible to receive from ZelnickMedia in connection with the fees paid by us to ZelnickMedia under the 2017 Management Agreement for fiscal 2020. We believe this provides a better understanding than the ratio based solely on the amount of Mr. Zelnick’s compensation reported in the “Total” column in the “Summary Compensation Table”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61595</wp:posOffset>
            </wp:positionV>
            <wp:extent cx="6292215" cy="25025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02535"/>
                    </a:xfrm>
                    <a:prstGeom prst="rect">
                      <a:avLst/>
                    </a:prstGeom>
                    <a:noFill/>
                  </pic:spPr>
                </pic:pic>
              </a:graphicData>
            </a:graphic>
          </wp:anchor>
        </w:drawing>
      </w:r>
    </w:p>
    <w:p>
      <w:pPr>
        <w:spacing w:after="0" w:line="228" w:lineRule="exact"/>
        <w:rPr>
          <w:sz w:val="20"/>
          <w:szCs w:val="20"/>
          <w:color w:val="auto"/>
        </w:rPr>
      </w:pPr>
    </w:p>
    <w:p>
      <w:pPr>
        <w:ind w:left="1160" w:right="200" w:hanging="253"/>
        <w:spacing w:after="0" w:line="260" w:lineRule="auto"/>
        <w:tabs>
          <w:tab w:leader="none" w:pos="1136" w:val="left"/>
        </w:tabs>
        <w:numPr>
          <w:ilvl w:val="0"/>
          <w:numId w:val="71"/>
        </w:numPr>
        <w:rPr>
          <w:rFonts w:ascii="Arial" w:cs="Arial" w:eastAsia="Arial" w:hAnsi="Arial"/>
          <w:sz w:val="16"/>
          <w:szCs w:val="16"/>
          <w:color w:val="005CB9"/>
        </w:rPr>
      </w:pPr>
      <w:r>
        <w:rPr>
          <w:rFonts w:ascii="Arial" w:cs="Arial" w:eastAsia="Arial" w:hAnsi="Arial"/>
          <w:sz w:val="16"/>
          <w:szCs w:val="16"/>
          <w:color w:val="auto"/>
        </w:rPr>
        <w:t>Mr. Zelnick’s annual total compensation, as reported in the “Summary Compensation Table” included in this proxy statement, was $87,761.</w:t>
      </w:r>
    </w:p>
    <w:p>
      <w:pPr>
        <w:spacing w:after="0" w:line="100" w:lineRule="exact"/>
        <w:rPr>
          <w:rFonts w:ascii="Arial" w:cs="Arial" w:eastAsia="Arial" w:hAnsi="Arial"/>
          <w:sz w:val="16"/>
          <w:szCs w:val="16"/>
          <w:color w:val="005CB9"/>
        </w:rPr>
      </w:pPr>
    </w:p>
    <w:p>
      <w:pPr>
        <w:ind w:left="1160" w:right="80" w:hanging="253"/>
        <w:spacing w:after="0" w:line="249" w:lineRule="auto"/>
        <w:tabs>
          <w:tab w:leader="none" w:pos="1133" w:val="left"/>
        </w:tabs>
        <w:numPr>
          <w:ilvl w:val="0"/>
          <w:numId w:val="71"/>
        </w:numPr>
        <w:rPr>
          <w:rFonts w:ascii="Arial" w:cs="Arial" w:eastAsia="Arial" w:hAnsi="Arial"/>
          <w:sz w:val="16"/>
          <w:szCs w:val="16"/>
          <w:color w:val="005CB9"/>
        </w:rPr>
      </w:pPr>
      <w:r>
        <w:rPr>
          <w:rFonts w:ascii="Arial" w:cs="Arial" w:eastAsia="Arial" w:hAnsi="Arial"/>
          <w:sz w:val="16"/>
          <w:szCs w:val="16"/>
          <w:color w:val="auto"/>
        </w:rPr>
        <w:t>The total compensation paid to ZelnickMedia in fiscal 2020, as set forth in the “Compensation Discussion and Analysis-Detailed Discussion and Analysis-Compensation to Executive Chairman and CEO and President-Fiscal 2020 Fees and Incentives to ZelnickMedia” section of this Proxy Statement on page 32, was $30,040,000, and the maximum portion that Mr. Zelnick could have received was $18,024,000. When combined with the compensation received by Mr. Zelnick from the Company as reported in the “Summary Compensation Table” included in this proxy statement, the total maximum amount of compensation Mr. Zelnick was eligible to receive was $18,111,761.</w:t>
      </w:r>
    </w:p>
    <w:p>
      <w:pPr>
        <w:spacing w:after="0" w:line="110" w:lineRule="exact"/>
        <w:rPr>
          <w:rFonts w:ascii="Arial" w:cs="Arial" w:eastAsia="Arial" w:hAnsi="Arial"/>
          <w:sz w:val="16"/>
          <w:szCs w:val="16"/>
          <w:color w:val="005CB9"/>
        </w:rPr>
      </w:pPr>
    </w:p>
    <w:p>
      <w:pPr>
        <w:ind w:left="1160" w:right="640" w:hanging="253"/>
        <w:spacing w:after="0" w:line="260" w:lineRule="auto"/>
        <w:tabs>
          <w:tab w:leader="none" w:pos="1133" w:val="left"/>
        </w:tabs>
        <w:numPr>
          <w:ilvl w:val="0"/>
          <w:numId w:val="71"/>
        </w:numPr>
        <w:rPr>
          <w:rFonts w:ascii="Arial" w:cs="Arial" w:eastAsia="Arial" w:hAnsi="Arial"/>
          <w:sz w:val="16"/>
          <w:szCs w:val="16"/>
          <w:color w:val="005CB9"/>
        </w:rPr>
      </w:pPr>
      <w:r>
        <w:rPr>
          <w:rFonts w:ascii="Arial" w:cs="Arial" w:eastAsia="Arial" w:hAnsi="Arial"/>
          <w:sz w:val="16"/>
          <w:szCs w:val="16"/>
          <w:color w:val="auto"/>
        </w:rPr>
        <w:t>The annual total compensation of the median employee (excluding Mr. Zelnick) of the Company (including our consolidated subsidiaries) was $62,816.</w:t>
      </w:r>
    </w:p>
    <w:p>
      <w:pPr>
        <w:spacing w:after="0" w:line="100" w:lineRule="exact"/>
        <w:rPr>
          <w:rFonts w:ascii="Arial" w:cs="Arial" w:eastAsia="Arial" w:hAnsi="Arial"/>
          <w:sz w:val="16"/>
          <w:szCs w:val="16"/>
          <w:color w:val="005CB9"/>
        </w:rPr>
      </w:pPr>
    </w:p>
    <w:p>
      <w:pPr>
        <w:ind w:left="1160" w:right="340" w:hanging="253"/>
        <w:spacing w:after="0" w:line="260" w:lineRule="auto"/>
        <w:tabs>
          <w:tab w:leader="none" w:pos="1136" w:val="left"/>
        </w:tabs>
        <w:numPr>
          <w:ilvl w:val="0"/>
          <w:numId w:val="71"/>
        </w:numPr>
        <w:rPr>
          <w:rFonts w:ascii="Arial" w:cs="Arial" w:eastAsia="Arial" w:hAnsi="Arial"/>
          <w:sz w:val="16"/>
          <w:szCs w:val="16"/>
          <w:color w:val="005CB9"/>
        </w:rPr>
      </w:pPr>
      <w:r>
        <w:rPr>
          <w:rFonts w:ascii="Arial" w:cs="Arial" w:eastAsia="Arial" w:hAnsi="Arial"/>
          <w:sz w:val="16"/>
          <w:szCs w:val="16"/>
          <w:color w:val="auto"/>
        </w:rPr>
        <w:t>Based on the above, for fiscal 2020, the ratio of Mr. Zelnick’s annual total compensation to the annual total compensation of the median employee was:</w:t>
      </w:r>
    </w:p>
    <w:p>
      <w:pPr>
        <w:spacing w:after="0" w:line="100" w:lineRule="exact"/>
        <w:rPr>
          <w:rFonts w:ascii="Arial" w:cs="Arial" w:eastAsia="Arial" w:hAnsi="Arial"/>
          <w:sz w:val="16"/>
          <w:szCs w:val="16"/>
          <w:color w:val="005CB9"/>
        </w:rPr>
      </w:pPr>
    </w:p>
    <w:p>
      <w:pPr>
        <w:ind w:left="1480" w:right="160" w:hanging="249"/>
        <w:spacing w:after="0" w:line="260" w:lineRule="auto"/>
        <w:tabs>
          <w:tab w:leader="none" w:pos="1456" w:val="left"/>
        </w:tabs>
        <w:numPr>
          <w:ilvl w:val="1"/>
          <w:numId w:val="71"/>
        </w:numPr>
        <w:rPr>
          <w:rFonts w:ascii="Arial" w:cs="Arial" w:eastAsia="Arial" w:hAnsi="Arial"/>
          <w:sz w:val="16"/>
          <w:szCs w:val="16"/>
          <w:color w:val="005CB9"/>
        </w:rPr>
      </w:pPr>
      <w:r>
        <w:rPr>
          <w:rFonts w:ascii="Arial" w:cs="Arial" w:eastAsia="Arial" w:hAnsi="Arial"/>
          <w:sz w:val="16"/>
          <w:szCs w:val="16"/>
          <w:color w:val="auto"/>
        </w:rPr>
        <w:t>1.4 to 1 based on Mr. Zelnick’s annual total compensation, as reported in the “Summary Compensation Table” included in this Proxy Statement, or</w:t>
      </w:r>
    </w:p>
    <w:p>
      <w:pPr>
        <w:spacing w:after="0" w:line="100" w:lineRule="exact"/>
        <w:rPr>
          <w:rFonts w:ascii="Arial" w:cs="Arial" w:eastAsia="Arial" w:hAnsi="Arial"/>
          <w:sz w:val="16"/>
          <w:szCs w:val="16"/>
          <w:color w:val="005CB9"/>
        </w:rPr>
      </w:pPr>
    </w:p>
    <w:p>
      <w:pPr>
        <w:ind w:left="1480" w:right="100" w:hanging="249"/>
        <w:spacing w:after="0" w:line="260" w:lineRule="auto"/>
        <w:tabs>
          <w:tab w:leader="none" w:pos="1456" w:val="left"/>
        </w:tabs>
        <w:numPr>
          <w:ilvl w:val="1"/>
          <w:numId w:val="71"/>
        </w:numPr>
        <w:rPr>
          <w:rFonts w:ascii="Arial" w:cs="Arial" w:eastAsia="Arial" w:hAnsi="Arial"/>
          <w:sz w:val="16"/>
          <w:szCs w:val="16"/>
          <w:color w:val="005CB9"/>
        </w:rPr>
      </w:pPr>
      <w:r>
        <w:rPr>
          <w:rFonts w:ascii="Arial" w:cs="Arial" w:eastAsia="Arial" w:hAnsi="Arial"/>
          <w:sz w:val="16"/>
          <w:szCs w:val="16"/>
          <w:color w:val="auto"/>
        </w:rPr>
        <w:t>288.3 to 1 based on the total maximum amount of compensation Mr. Zelnick was eligible to receive from ZelnickMedia and the Company in fiscal 2020.</w:t>
      </w:r>
    </w:p>
    <w:p>
      <w:pPr>
        <w:spacing w:after="0" w:line="344" w:lineRule="exact"/>
        <w:rPr>
          <w:sz w:val="20"/>
          <w:szCs w:val="20"/>
          <w:color w:val="auto"/>
        </w:rPr>
      </w:pPr>
    </w:p>
    <w:p>
      <w:pPr>
        <w:ind w:left="660" w:right="80"/>
        <w:spacing w:after="0" w:line="249" w:lineRule="auto"/>
        <w:rPr>
          <w:sz w:val="20"/>
          <w:szCs w:val="20"/>
          <w:color w:val="auto"/>
        </w:rPr>
      </w:pPr>
      <w:r>
        <w:rPr>
          <w:rFonts w:ascii="Arial" w:cs="Arial" w:eastAsia="Arial" w:hAnsi="Arial"/>
          <w:sz w:val="16"/>
          <w:szCs w:val="16"/>
          <w:color w:val="auto"/>
        </w:rPr>
        <w:t>This pay ratio is a reasonable estimate calculated in a manner consistent with Item 402(u) of Regulation S-K under the Securities Act of 1933, as amended. We determined the median of the annual total cash compensation of our employees as of January 1, 2020, at which time we had approximately 5,753 regular, temporary, and seasonal individuals employed on a full or part-time basis, globally, approximately 2,551 of whom are U.S. employees, and approximately 3,202 (or approximately 55.7% of our total employee population) of whom are located outside of the United States. We did not exclude any of the employees who are located outside of the United States from the pool used to identify the median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274320</wp:posOffset>
            </wp:positionV>
            <wp:extent cx="291465" cy="274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55</w:t>
            </w:r>
          </w:p>
        </w:tc>
      </w:tr>
    </w:tbl>
    <w:p>
      <w:pPr>
        <w:sectPr>
          <w:pgSz w:w="11900" w:h="16838" w:orient="portrait"/>
          <w:cols w:equalWidth="0" w:num="1">
            <w:col w:w="10580"/>
          </w:cols>
          <w:pgMar w:left="320" w:top="459" w:right="9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962785"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62785" cy="137160"/>
                    </a:xfrm>
                    <a:prstGeom prst="rect">
                      <a:avLst/>
                    </a:prstGeom>
                    <a:noFill/>
                  </pic:spPr>
                </pic:pic>
              </a:graphicData>
            </a:graphic>
          </wp:anchor>
        </w:drawing>
      </w:r>
    </w:p>
    <w:p>
      <w:pPr>
        <w:spacing w:after="0" w:line="33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XECUTIVE</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C</w:t>
      </w:r>
      <w:r>
        <w:rPr>
          <w:rFonts w:ascii="Arial" w:cs="Arial" w:eastAsia="Arial" w:hAnsi="Arial"/>
          <w:sz w:val="11"/>
          <w:szCs w:val="11"/>
          <w:b w:val="1"/>
          <w:bCs w:val="1"/>
          <w:color w:val="000000"/>
        </w:rPr>
        <w:t>OMPENSATION</w:t>
      </w:r>
    </w:p>
    <w:p>
      <w:pPr>
        <w:spacing w:after="0" w:line="200" w:lineRule="exact"/>
        <w:rPr>
          <w:sz w:val="20"/>
          <w:szCs w:val="20"/>
          <w:color w:val="auto"/>
        </w:rPr>
      </w:pPr>
    </w:p>
    <w:p>
      <w:pPr>
        <w:spacing w:after="0" w:line="248" w:lineRule="exact"/>
        <w:rPr>
          <w:sz w:val="20"/>
          <w:szCs w:val="20"/>
          <w:color w:val="auto"/>
        </w:rPr>
      </w:pPr>
    </w:p>
    <w:p>
      <w:pPr>
        <w:ind w:left="660" w:right="60"/>
        <w:spacing w:after="0" w:line="249" w:lineRule="auto"/>
        <w:rPr>
          <w:sz w:val="20"/>
          <w:szCs w:val="20"/>
          <w:color w:val="auto"/>
        </w:rPr>
      </w:pPr>
      <w:r>
        <w:rPr>
          <w:rFonts w:ascii="Arial" w:cs="Arial" w:eastAsia="Arial" w:hAnsi="Arial"/>
          <w:sz w:val="16"/>
          <w:szCs w:val="16"/>
          <w:color w:val="auto"/>
        </w:rPr>
        <w:t>We then compared the annualized base salaries, bonuses and commissions earned by our employees (other than Mr. Zelnick) to determine the median employee. Once we identified our median employee, we estimated such employee’s annual total compensation in accordance with the requirements of Item 402(c)(2)(x) of Regulation S-K, yielding the median annual total compensation disclosed above. There are a wide variety of job functions within our company, across numerous global jurisdictions. Accordingly, the compensation paid to our employees differs greatly between departments, experience levels, and locations. We believe that our employees are fairly compensated and appropriately incentivized.</w:t>
      </w:r>
    </w:p>
    <w:p>
      <w:pPr>
        <w:spacing w:after="0" w:line="205" w:lineRule="exact"/>
        <w:rPr>
          <w:sz w:val="20"/>
          <w:szCs w:val="20"/>
          <w:color w:val="auto"/>
        </w:rPr>
      </w:pPr>
    </w:p>
    <w:p>
      <w:pPr>
        <w:ind w:left="660" w:right="160"/>
        <w:spacing w:after="0" w:line="250" w:lineRule="auto"/>
        <w:rPr>
          <w:sz w:val="20"/>
          <w:szCs w:val="20"/>
          <w:color w:val="auto"/>
        </w:rPr>
      </w:pPr>
      <w:r>
        <w:rPr>
          <w:rFonts w:ascii="Arial" w:cs="Arial" w:eastAsia="Arial" w:hAnsi="Arial"/>
          <w:sz w:val="16"/>
          <w:szCs w:val="16"/>
          <w:color w:val="auto"/>
        </w:rPr>
        <w:t>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Compensation of Directors During 2020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right="60"/>
        <w:spacing w:after="0" w:line="250" w:lineRule="auto"/>
        <w:rPr>
          <w:sz w:val="20"/>
          <w:szCs w:val="20"/>
          <w:color w:val="auto"/>
        </w:rPr>
      </w:pPr>
      <w:r>
        <w:rPr>
          <w:rFonts w:ascii="Arial" w:cs="Arial" w:eastAsia="Arial" w:hAnsi="Arial"/>
          <w:sz w:val="16"/>
          <w:szCs w:val="16"/>
          <w:color w:val="auto"/>
        </w:rPr>
        <w:t>The Compensation Committee reviews and makes recommendations to the Board regarding the form and amount of compensation for non-employee directors. Typically, on an annual basis, the Committee considers a board compensation study by its independent compensation consultant to support the Committee in its deliberations. Such compensation may include, but is not limited to, the following elements: board or committee retainer, board or committee meeting fees, committee chair retainer or fees, equity compensation, benefits and perquisites. All directors, other than Mr. Zelnick, are regarded as non-employee directors.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key elements of the compensation payable to our non-employee directors are as follows:</w:t>
      </w:r>
    </w:p>
    <w:p>
      <w:pPr>
        <w:spacing w:after="0" w:line="246" w:lineRule="exact"/>
        <w:rPr>
          <w:sz w:val="20"/>
          <w:szCs w:val="20"/>
          <w:color w:val="auto"/>
        </w:rPr>
      </w:pPr>
    </w:p>
    <w:tbl>
      <w:tblPr>
        <w:tblLayout w:type="fixed"/>
        <w:tblInd w:w="670" w:type="dxa"/>
        <w:tblCellMar>
          <w:top w:w="0" w:type="dxa"/>
          <w:left w:w="0" w:type="dxa"/>
          <w:bottom w:w="0" w:type="dxa"/>
          <w:right w:w="0" w:type="dxa"/>
        </w:tblCellMar>
      </w:tblPr>
      <w:tr>
        <w:trPr>
          <w:trHeight w:val="162"/>
        </w:trPr>
        <w:tc>
          <w:tcPr>
            <w:tcW w:w="2100" w:type="dxa"/>
            <w:vAlign w:val="bottom"/>
            <w:tcBorders>
              <w:left w:val="single" w:sz="8" w:color="7F7F7F"/>
              <w:right w:val="single" w:sz="8" w:color="005CB9"/>
            </w:tcBorders>
            <w:shd w:val="clear" w:color="auto" w:fill="005CB9"/>
          </w:tcPr>
          <w:p>
            <w:pPr>
              <w:spacing w:after="0"/>
              <w:rPr>
                <w:sz w:val="14"/>
                <w:szCs w:val="14"/>
                <w:color w:val="auto"/>
              </w:rPr>
            </w:pPr>
          </w:p>
        </w:tc>
        <w:tc>
          <w:tcPr>
            <w:tcW w:w="1580" w:type="dxa"/>
            <w:vAlign w:val="bottom"/>
            <w:tcBorders>
              <w:right w:val="single" w:sz="8" w:color="005CB9"/>
            </w:tcBorders>
            <w:shd w:val="clear" w:color="auto" w:fill="005CB9"/>
          </w:tcPr>
          <w:p>
            <w:pPr>
              <w:spacing w:after="0"/>
              <w:rPr>
                <w:sz w:val="14"/>
                <w:szCs w:val="14"/>
                <w:color w:val="auto"/>
              </w:rPr>
            </w:pPr>
          </w:p>
        </w:tc>
        <w:tc>
          <w:tcPr>
            <w:tcW w:w="1300" w:type="dxa"/>
            <w:vAlign w:val="bottom"/>
            <w:tcBorders>
              <w:right w:val="single" w:sz="8" w:color="005CB9"/>
            </w:tcBorders>
            <w:shd w:val="clear" w:color="auto" w:fill="005CB9"/>
          </w:tcPr>
          <w:p>
            <w:pPr>
              <w:spacing w:after="0"/>
              <w:rPr>
                <w:sz w:val="14"/>
                <w:szCs w:val="14"/>
                <w:color w:val="auto"/>
              </w:rPr>
            </w:pPr>
          </w:p>
        </w:tc>
        <w:tc>
          <w:tcPr>
            <w:tcW w:w="1200" w:type="dxa"/>
            <w:vAlign w:val="bottom"/>
            <w:tcBorders>
              <w:right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Value of Award</w:t>
            </w:r>
          </w:p>
        </w:tc>
        <w:tc>
          <w:tcPr>
            <w:tcW w:w="3740" w:type="dxa"/>
            <w:vAlign w:val="bottom"/>
            <w:shd w:val="clear" w:color="auto" w:fill="005CB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7F7F7F"/>
              <w:right w:val="single" w:sz="8" w:color="005CB9"/>
            </w:tcBorders>
            <w:shd w:val="clear" w:color="auto" w:fill="005CB9"/>
          </w:tcPr>
          <w:p>
            <w:pPr>
              <w:spacing w:after="0"/>
              <w:rPr>
                <w:sz w:val="14"/>
                <w:szCs w:val="14"/>
                <w:color w:val="auto"/>
              </w:rPr>
            </w:pPr>
          </w:p>
        </w:tc>
        <w:tc>
          <w:tcPr>
            <w:tcW w:w="1580" w:type="dxa"/>
            <w:vAlign w:val="bottom"/>
            <w:tcBorders>
              <w:right w:val="single" w:sz="8" w:color="005CB9"/>
            </w:tcBorders>
            <w:shd w:val="clear" w:color="auto" w:fill="005CB9"/>
          </w:tcPr>
          <w:p>
            <w:pPr>
              <w:spacing w:after="0"/>
              <w:rPr>
                <w:sz w:val="14"/>
                <w:szCs w:val="14"/>
                <w:color w:val="auto"/>
              </w:rPr>
            </w:pPr>
          </w:p>
        </w:tc>
        <w:tc>
          <w:tcPr>
            <w:tcW w:w="1300" w:type="dxa"/>
            <w:vAlign w:val="bottom"/>
            <w:tcBorders>
              <w:right w:val="single" w:sz="8" w:color="005CB9"/>
            </w:tcBorders>
            <w:shd w:val="clear" w:color="auto" w:fill="005CB9"/>
          </w:tcPr>
          <w:p>
            <w:pPr>
              <w:spacing w:after="0"/>
              <w:rPr>
                <w:sz w:val="14"/>
                <w:szCs w:val="14"/>
                <w:color w:val="auto"/>
              </w:rPr>
            </w:pPr>
          </w:p>
        </w:tc>
        <w:tc>
          <w:tcPr>
            <w:tcW w:w="1200" w:type="dxa"/>
            <w:vAlign w:val="bottom"/>
            <w:tcBorders>
              <w:right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Under Current</w:t>
            </w:r>
          </w:p>
        </w:tc>
        <w:tc>
          <w:tcPr>
            <w:tcW w:w="3740" w:type="dxa"/>
            <w:vAlign w:val="bottom"/>
            <w:shd w:val="clear" w:color="auto" w:fill="005CB9"/>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00" w:type="dxa"/>
            <w:vAlign w:val="bottom"/>
            <w:tcBorders>
              <w:left w:val="single" w:sz="8" w:color="7F7F7F"/>
              <w:right w:val="single" w:sz="8" w:color="005CB9"/>
            </w:tcBorders>
            <w:shd w:val="clear" w:color="auto" w:fill="005CB9"/>
          </w:tcPr>
          <w:p>
            <w:pPr>
              <w:ind w:left="240"/>
              <w:spacing w:after="0"/>
              <w:rPr>
                <w:sz w:val="20"/>
                <w:szCs w:val="20"/>
                <w:color w:val="auto"/>
              </w:rPr>
            </w:pPr>
            <w:r>
              <w:rPr>
                <w:rFonts w:ascii="Arial" w:cs="Arial" w:eastAsia="Arial" w:hAnsi="Arial"/>
                <w:sz w:val="14"/>
                <w:szCs w:val="14"/>
                <w:b w:val="1"/>
                <w:bCs w:val="1"/>
                <w:color w:val="FFFFFF"/>
              </w:rPr>
              <w:t>Component</w:t>
            </w:r>
          </w:p>
        </w:tc>
        <w:tc>
          <w:tcPr>
            <w:tcW w:w="1580" w:type="dxa"/>
            <w:vAlign w:val="bottom"/>
            <w:tcBorders>
              <w:right w:val="single" w:sz="8" w:color="005CB9"/>
            </w:tcBorders>
            <w:shd w:val="clear" w:color="auto" w:fill="005CB9"/>
          </w:tcPr>
          <w:p>
            <w:pPr>
              <w:spacing w:after="0"/>
              <w:rPr>
                <w:sz w:val="17"/>
                <w:szCs w:val="17"/>
                <w:color w:val="auto"/>
              </w:rPr>
            </w:pPr>
          </w:p>
        </w:tc>
        <w:tc>
          <w:tcPr>
            <w:tcW w:w="1300" w:type="dxa"/>
            <w:vAlign w:val="bottom"/>
            <w:tcBorders>
              <w:right w:val="single" w:sz="8" w:color="005CB9"/>
            </w:tcBorders>
            <w:shd w:val="clear" w:color="auto" w:fill="005CB9"/>
          </w:tcPr>
          <w:p>
            <w:pPr>
              <w:spacing w:after="0"/>
              <w:rPr>
                <w:sz w:val="17"/>
                <w:szCs w:val="17"/>
                <w:color w:val="auto"/>
              </w:rPr>
            </w:pPr>
          </w:p>
        </w:tc>
        <w:tc>
          <w:tcPr>
            <w:tcW w:w="1200" w:type="dxa"/>
            <w:vAlign w:val="bottom"/>
            <w:tcBorders>
              <w:right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Policy</w:t>
            </w:r>
          </w:p>
        </w:tc>
        <w:tc>
          <w:tcPr>
            <w:tcW w:w="37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Notes</w:t>
            </w:r>
          </w:p>
        </w:tc>
        <w:tc>
          <w:tcPr>
            <w:tcW w:w="0" w:type="dxa"/>
            <w:vAlign w:val="bottom"/>
          </w:tcPr>
          <w:p>
            <w:pPr>
              <w:spacing w:after="0"/>
              <w:rPr>
                <w:sz w:val="1"/>
                <w:szCs w:val="1"/>
                <w:color w:val="auto"/>
              </w:rPr>
            </w:pPr>
          </w:p>
        </w:tc>
      </w:tr>
      <w:tr>
        <w:trPr>
          <w:trHeight w:val="231"/>
        </w:trPr>
        <w:tc>
          <w:tcPr>
            <w:tcW w:w="2100" w:type="dxa"/>
            <w:vAlign w:val="bottom"/>
            <w:tcBorders>
              <w:left w:val="single" w:sz="8" w:color="7F7F7F"/>
              <w:right w:val="single" w:sz="8" w:color="7F7F7F"/>
            </w:tcBorders>
            <w:vMerge w:val="restart"/>
          </w:tcPr>
          <w:p>
            <w:pPr>
              <w:ind w:left="240"/>
              <w:spacing w:after="0"/>
              <w:rPr>
                <w:sz w:val="20"/>
                <w:szCs w:val="20"/>
                <w:color w:val="auto"/>
              </w:rPr>
            </w:pPr>
            <w:r>
              <w:rPr>
                <w:rFonts w:ascii="Arial" w:cs="Arial" w:eastAsia="Arial" w:hAnsi="Arial"/>
                <w:sz w:val="16"/>
                <w:szCs w:val="16"/>
                <w:b w:val="1"/>
                <w:bCs w:val="1"/>
                <w:color w:val="auto"/>
              </w:rPr>
              <w:t>Annual Retainer</w:t>
            </w:r>
          </w:p>
        </w:tc>
        <w:tc>
          <w:tcPr>
            <w:tcW w:w="2880" w:type="dxa"/>
            <w:vAlign w:val="bottom"/>
            <w:tcBorders>
              <w:right w:val="single" w:sz="8" w:color="7F7F7F"/>
            </w:tcBorders>
            <w:gridSpan w:val="2"/>
            <w:vMerge w:val="restart"/>
          </w:tcPr>
          <w:p>
            <w:pPr>
              <w:ind w:left="80"/>
              <w:spacing w:after="0"/>
              <w:rPr>
                <w:sz w:val="20"/>
                <w:szCs w:val="20"/>
                <w:color w:val="auto"/>
              </w:rPr>
            </w:pPr>
            <w:r>
              <w:rPr>
                <w:rFonts w:ascii="Arial" w:cs="Arial" w:eastAsia="Arial" w:hAnsi="Arial"/>
                <w:sz w:val="16"/>
                <w:szCs w:val="16"/>
                <w:color w:val="auto"/>
              </w:rPr>
              <w:t>For Each Non-Employee Director</w:t>
            </w:r>
          </w:p>
        </w:tc>
        <w:tc>
          <w:tcPr>
            <w:tcW w:w="120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6"/>
                <w:szCs w:val="16"/>
                <w:color w:val="auto"/>
              </w:rPr>
              <w:t>$275,000</w:t>
            </w:r>
          </w:p>
        </w:tc>
        <w:tc>
          <w:tcPr>
            <w:tcW w:w="3740" w:type="dxa"/>
            <w:vAlign w:val="bottom"/>
          </w:tcPr>
          <w:p>
            <w:pPr>
              <w:jc w:val="center"/>
              <w:spacing w:after="0"/>
              <w:rPr>
                <w:sz w:val="20"/>
                <w:szCs w:val="20"/>
                <w:color w:val="auto"/>
              </w:rPr>
            </w:pPr>
            <w:r>
              <w:rPr>
                <w:rFonts w:ascii="Arial" w:cs="Arial" w:eastAsia="Arial" w:hAnsi="Arial"/>
                <w:sz w:val="16"/>
                <w:szCs w:val="16"/>
                <w:color w:val="auto"/>
              </w:rPr>
              <w:t>$215,000 restricted stock /</w:t>
            </w:r>
          </w:p>
        </w:tc>
        <w:tc>
          <w:tcPr>
            <w:tcW w:w="0" w:type="dxa"/>
            <w:vAlign w:val="bottom"/>
          </w:tcPr>
          <w:p>
            <w:pPr>
              <w:spacing w:after="0"/>
              <w:rPr>
                <w:sz w:val="1"/>
                <w:szCs w:val="1"/>
                <w:color w:val="auto"/>
              </w:rPr>
            </w:pPr>
          </w:p>
        </w:tc>
      </w:tr>
      <w:tr>
        <w:trPr>
          <w:trHeight w:val="87"/>
        </w:trPr>
        <w:tc>
          <w:tcPr>
            <w:tcW w:w="2100" w:type="dxa"/>
            <w:vAlign w:val="bottom"/>
            <w:tcBorders>
              <w:left w:val="single" w:sz="8" w:color="7F7F7F"/>
              <w:right w:val="single" w:sz="8" w:color="7F7F7F"/>
            </w:tcBorders>
            <w:vMerge w:val="continue"/>
          </w:tcPr>
          <w:p>
            <w:pPr>
              <w:spacing w:after="0"/>
              <w:rPr>
                <w:sz w:val="7"/>
                <w:szCs w:val="7"/>
                <w:color w:val="auto"/>
              </w:rPr>
            </w:pPr>
          </w:p>
        </w:tc>
        <w:tc>
          <w:tcPr>
            <w:tcW w:w="2880" w:type="dxa"/>
            <w:vAlign w:val="bottom"/>
            <w:tcBorders>
              <w:right w:val="single" w:sz="8" w:color="7F7F7F"/>
            </w:tcBorders>
            <w:gridSpan w:val="2"/>
            <w:vMerge w:val="continue"/>
          </w:tcPr>
          <w:p>
            <w:pPr>
              <w:spacing w:after="0"/>
              <w:rPr>
                <w:sz w:val="7"/>
                <w:szCs w:val="7"/>
                <w:color w:val="auto"/>
              </w:rPr>
            </w:pPr>
          </w:p>
        </w:tc>
        <w:tc>
          <w:tcPr>
            <w:tcW w:w="1200" w:type="dxa"/>
            <w:vAlign w:val="bottom"/>
            <w:tcBorders>
              <w:right w:val="single" w:sz="8" w:color="7F7F7F"/>
            </w:tcBorders>
            <w:vMerge w:val="continue"/>
          </w:tcPr>
          <w:p>
            <w:pPr>
              <w:spacing w:after="0"/>
              <w:rPr>
                <w:sz w:val="7"/>
                <w:szCs w:val="7"/>
                <w:color w:val="auto"/>
              </w:rPr>
            </w:pPr>
          </w:p>
        </w:tc>
        <w:tc>
          <w:tcPr>
            <w:tcW w:w="3740" w:type="dxa"/>
            <w:vAlign w:val="bottom"/>
            <w:vMerge w:val="restart"/>
          </w:tcPr>
          <w:p>
            <w:pPr>
              <w:jc w:val="center"/>
              <w:spacing w:after="0"/>
              <w:rPr>
                <w:sz w:val="20"/>
                <w:szCs w:val="20"/>
                <w:color w:val="auto"/>
              </w:rPr>
            </w:pPr>
            <w:r>
              <w:rPr>
                <w:rFonts w:ascii="Arial" w:cs="Arial" w:eastAsia="Arial" w:hAnsi="Arial"/>
                <w:sz w:val="16"/>
                <w:szCs w:val="16"/>
                <w:color w:val="auto"/>
              </w:rPr>
              <w:t>$60,000 cash(1)</w:t>
            </w:r>
          </w:p>
        </w:tc>
        <w:tc>
          <w:tcPr>
            <w:tcW w:w="0" w:type="dxa"/>
            <w:vAlign w:val="bottom"/>
          </w:tcPr>
          <w:p>
            <w:pPr>
              <w:spacing w:after="0"/>
              <w:rPr>
                <w:sz w:val="1"/>
                <w:szCs w:val="1"/>
                <w:color w:val="auto"/>
              </w:rPr>
            </w:pPr>
          </w:p>
        </w:tc>
      </w:tr>
      <w:tr>
        <w:trPr>
          <w:trHeight w:val="111"/>
        </w:trPr>
        <w:tc>
          <w:tcPr>
            <w:tcW w:w="2100" w:type="dxa"/>
            <w:vAlign w:val="bottom"/>
            <w:tcBorders>
              <w:left w:val="single" w:sz="8" w:color="7F7F7F"/>
              <w:bottom w:val="single" w:sz="8" w:color="7F7F7F"/>
              <w:right w:val="single" w:sz="8" w:color="7F7F7F"/>
            </w:tcBorders>
          </w:tcPr>
          <w:p>
            <w:pPr>
              <w:spacing w:after="0"/>
              <w:rPr>
                <w:sz w:val="9"/>
                <w:szCs w:val="9"/>
                <w:color w:val="auto"/>
              </w:rPr>
            </w:pPr>
          </w:p>
        </w:tc>
        <w:tc>
          <w:tcPr>
            <w:tcW w:w="1580" w:type="dxa"/>
            <w:vAlign w:val="bottom"/>
            <w:tcBorders>
              <w:bottom w:val="single" w:sz="8" w:color="7F7F7F"/>
            </w:tcBorders>
          </w:tcPr>
          <w:p>
            <w:pPr>
              <w:spacing w:after="0"/>
              <w:rPr>
                <w:sz w:val="9"/>
                <w:szCs w:val="9"/>
                <w:color w:val="auto"/>
              </w:rPr>
            </w:pPr>
          </w:p>
        </w:tc>
        <w:tc>
          <w:tcPr>
            <w:tcW w:w="1300" w:type="dxa"/>
            <w:vAlign w:val="bottom"/>
            <w:tcBorders>
              <w:bottom w:val="single" w:sz="8" w:color="7F7F7F"/>
              <w:right w:val="single" w:sz="8" w:color="7F7F7F"/>
            </w:tcBorders>
          </w:tcPr>
          <w:p>
            <w:pPr>
              <w:spacing w:after="0"/>
              <w:rPr>
                <w:sz w:val="9"/>
                <w:szCs w:val="9"/>
                <w:color w:val="auto"/>
              </w:rPr>
            </w:pPr>
          </w:p>
        </w:tc>
        <w:tc>
          <w:tcPr>
            <w:tcW w:w="1200" w:type="dxa"/>
            <w:vAlign w:val="bottom"/>
            <w:tcBorders>
              <w:bottom w:val="single" w:sz="8" w:color="7F7F7F"/>
              <w:right w:val="single" w:sz="8" w:color="7F7F7F"/>
            </w:tcBorders>
          </w:tcPr>
          <w:p>
            <w:pPr>
              <w:spacing w:after="0"/>
              <w:rPr>
                <w:sz w:val="9"/>
                <w:szCs w:val="9"/>
                <w:color w:val="auto"/>
              </w:rPr>
            </w:pPr>
          </w:p>
        </w:tc>
        <w:tc>
          <w:tcPr>
            <w:tcW w:w="3740" w:type="dxa"/>
            <w:vAlign w:val="bottom"/>
            <w:tcBorders>
              <w:bottom w:val="single" w:sz="8" w:color="7F7F7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100" w:type="dxa"/>
            <w:vAlign w:val="bottom"/>
            <w:tcBorders>
              <w:left w:val="single" w:sz="8" w:color="7F7F7F"/>
              <w:right w:val="single" w:sz="8" w:color="7F7F7F"/>
            </w:tcBorders>
          </w:tcPr>
          <w:p>
            <w:pPr>
              <w:ind w:left="240"/>
              <w:spacing w:after="0" w:line="168" w:lineRule="exact"/>
              <w:rPr>
                <w:sz w:val="20"/>
                <w:szCs w:val="20"/>
                <w:color w:val="auto"/>
              </w:rPr>
            </w:pPr>
            <w:r>
              <w:rPr>
                <w:rFonts w:ascii="Arial" w:cs="Arial" w:eastAsia="Arial" w:hAnsi="Arial"/>
                <w:sz w:val="16"/>
                <w:szCs w:val="16"/>
                <w:b w:val="1"/>
                <w:bCs w:val="1"/>
                <w:color w:val="auto"/>
              </w:rPr>
              <w:t>Lead</w:t>
            </w:r>
          </w:p>
        </w:tc>
        <w:tc>
          <w:tcPr>
            <w:tcW w:w="1580" w:type="dxa"/>
            <w:vAlign w:val="bottom"/>
          </w:tcPr>
          <w:p>
            <w:pPr>
              <w:spacing w:after="0"/>
              <w:rPr>
                <w:sz w:val="14"/>
                <w:szCs w:val="14"/>
                <w:color w:val="auto"/>
              </w:rPr>
            </w:pPr>
          </w:p>
        </w:tc>
        <w:tc>
          <w:tcPr>
            <w:tcW w:w="1300" w:type="dxa"/>
            <w:vAlign w:val="bottom"/>
            <w:tcBorders>
              <w:right w:val="single" w:sz="8" w:color="7F7F7F"/>
            </w:tcBorders>
          </w:tcPr>
          <w:p>
            <w:pPr>
              <w:spacing w:after="0"/>
              <w:rPr>
                <w:sz w:val="14"/>
                <w:szCs w:val="14"/>
                <w:color w:val="auto"/>
              </w:rPr>
            </w:pPr>
          </w:p>
        </w:tc>
        <w:tc>
          <w:tcPr>
            <w:tcW w:w="1200" w:type="dxa"/>
            <w:vAlign w:val="bottom"/>
            <w:tcBorders>
              <w:right w:val="single" w:sz="8" w:color="7F7F7F"/>
            </w:tcBorders>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tcBorders>
              <w:left w:val="single" w:sz="8" w:color="7F7F7F"/>
              <w:right w:val="single" w:sz="8" w:color="7F7F7F"/>
            </w:tcBorders>
          </w:tcPr>
          <w:p>
            <w:pPr>
              <w:ind w:left="240"/>
              <w:spacing w:after="0"/>
              <w:rPr>
                <w:sz w:val="20"/>
                <w:szCs w:val="20"/>
                <w:color w:val="auto"/>
              </w:rPr>
            </w:pPr>
            <w:r>
              <w:rPr>
                <w:rFonts w:ascii="Arial" w:cs="Arial" w:eastAsia="Arial" w:hAnsi="Arial"/>
                <w:sz w:val="16"/>
                <w:szCs w:val="16"/>
                <w:b w:val="1"/>
                <w:bCs w:val="1"/>
                <w:color w:val="auto"/>
              </w:rPr>
              <w:t>Independent</w:t>
            </w:r>
          </w:p>
        </w:tc>
        <w:tc>
          <w:tcPr>
            <w:tcW w:w="2880" w:type="dxa"/>
            <w:vAlign w:val="bottom"/>
            <w:tcBorders>
              <w:right w:val="single" w:sz="8" w:color="7F7F7F"/>
            </w:tcBorders>
            <w:gridSpan w:val="2"/>
            <w:vMerge w:val="restart"/>
          </w:tcPr>
          <w:p>
            <w:pPr>
              <w:ind w:left="80"/>
              <w:spacing w:after="0"/>
              <w:rPr>
                <w:sz w:val="20"/>
                <w:szCs w:val="20"/>
                <w:color w:val="auto"/>
              </w:rPr>
            </w:pPr>
            <w:r>
              <w:rPr>
                <w:rFonts w:ascii="Arial" w:cs="Arial" w:eastAsia="Arial" w:hAnsi="Arial"/>
                <w:sz w:val="16"/>
                <w:szCs w:val="16"/>
                <w:color w:val="auto"/>
              </w:rPr>
              <w:t>For Lead Independent Director</w:t>
            </w:r>
          </w:p>
        </w:tc>
        <w:tc>
          <w:tcPr>
            <w:tcW w:w="120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6"/>
                <w:szCs w:val="16"/>
                <w:color w:val="auto"/>
              </w:rPr>
              <w:t>$200,000</w:t>
            </w:r>
          </w:p>
        </w:tc>
        <w:tc>
          <w:tcPr>
            <w:tcW w:w="3740" w:type="dxa"/>
            <w:vAlign w:val="bottom"/>
            <w:vMerge w:val="restart"/>
          </w:tcPr>
          <w:p>
            <w:pPr>
              <w:jc w:val="center"/>
              <w:spacing w:after="0"/>
              <w:rPr>
                <w:sz w:val="20"/>
                <w:szCs w:val="20"/>
                <w:color w:val="auto"/>
              </w:rPr>
            </w:pPr>
            <w:r>
              <w:rPr>
                <w:rFonts w:ascii="Arial" w:cs="Arial" w:eastAsia="Arial" w:hAnsi="Arial"/>
                <w:sz w:val="16"/>
                <w:szCs w:val="16"/>
                <w:color w:val="auto"/>
              </w:rPr>
              <w:t>$100,000 restricted stock / $100,000 cash</w:t>
            </w:r>
          </w:p>
        </w:tc>
        <w:tc>
          <w:tcPr>
            <w:tcW w:w="0" w:type="dxa"/>
            <w:vAlign w:val="bottom"/>
          </w:tcPr>
          <w:p>
            <w:pPr>
              <w:spacing w:after="0"/>
              <w:rPr>
                <w:sz w:val="1"/>
                <w:szCs w:val="1"/>
                <w:color w:val="auto"/>
              </w:rPr>
            </w:pPr>
          </w:p>
        </w:tc>
      </w:tr>
      <w:tr>
        <w:trPr>
          <w:trHeight w:val="120"/>
        </w:trPr>
        <w:tc>
          <w:tcPr>
            <w:tcW w:w="2100" w:type="dxa"/>
            <w:vAlign w:val="bottom"/>
            <w:tcBorders>
              <w:left w:val="single" w:sz="8" w:color="7F7F7F"/>
              <w:right w:val="single" w:sz="8" w:color="7F7F7F"/>
            </w:tcBorders>
            <w:vMerge w:val="restart"/>
          </w:tcPr>
          <w:p>
            <w:pPr>
              <w:ind w:left="240"/>
              <w:spacing w:after="0"/>
              <w:rPr>
                <w:sz w:val="20"/>
                <w:szCs w:val="20"/>
                <w:color w:val="auto"/>
              </w:rPr>
            </w:pPr>
            <w:r>
              <w:rPr>
                <w:rFonts w:ascii="Arial" w:cs="Arial" w:eastAsia="Arial" w:hAnsi="Arial"/>
                <w:sz w:val="16"/>
                <w:szCs w:val="16"/>
                <w:b w:val="1"/>
                <w:bCs w:val="1"/>
                <w:color w:val="auto"/>
              </w:rPr>
              <w:t>Director Additional</w:t>
            </w:r>
          </w:p>
        </w:tc>
        <w:tc>
          <w:tcPr>
            <w:tcW w:w="2880" w:type="dxa"/>
            <w:vAlign w:val="bottom"/>
            <w:tcBorders>
              <w:right w:val="single" w:sz="8" w:color="7F7F7F"/>
            </w:tcBorders>
            <w:gridSpan w:val="2"/>
            <w:vMerge w:val="continue"/>
          </w:tcPr>
          <w:p>
            <w:pPr>
              <w:spacing w:after="0"/>
              <w:rPr>
                <w:sz w:val="10"/>
                <w:szCs w:val="10"/>
                <w:color w:val="auto"/>
              </w:rPr>
            </w:pPr>
          </w:p>
        </w:tc>
        <w:tc>
          <w:tcPr>
            <w:tcW w:w="1200" w:type="dxa"/>
            <w:vAlign w:val="bottom"/>
            <w:tcBorders>
              <w:right w:val="single" w:sz="8" w:color="7F7F7F"/>
            </w:tcBorders>
            <w:vMerge w:val="continue"/>
          </w:tcPr>
          <w:p>
            <w:pPr>
              <w:spacing w:after="0"/>
              <w:rPr>
                <w:sz w:val="10"/>
                <w:szCs w:val="10"/>
                <w:color w:val="auto"/>
              </w:rPr>
            </w:pP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100" w:type="dxa"/>
            <w:vAlign w:val="bottom"/>
            <w:tcBorders>
              <w:left w:val="single" w:sz="8" w:color="7F7F7F"/>
              <w:right w:val="single" w:sz="8" w:color="7F7F7F"/>
            </w:tcBorders>
            <w:vMerge w:val="continue"/>
          </w:tcPr>
          <w:p>
            <w:pPr>
              <w:spacing w:after="0"/>
              <w:rPr>
                <w:sz w:val="5"/>
                <w:szCs w:val="5"/>
                <w:color w:val="auto"/>
              </w:rPr>
            </w:pPr>
          </w:p>
        </w:tc>
        <w:tc>
          <w:tcPr>
            <w:tcW w:w="1580" w:type="dxa"/>
            <w:vAlign w:val="bottom"/>
          </w:tcPr>
          <w:p>
            <w:pPr>
              <w:spacing w:after="0"/>
              <w:rPr>
                <w:sz w:val="5"/>
                <w:szCs w:val="5"/>
                <w:color w:val="auto"/>
              </w:rPr>
            </w:pPr>
          </w:p>
        </w:tc>
        <w:tc>
          <w:tcPr>
            <w:tcW w:w="1300" w:type="dxa"/>
            <w:vAlign w:val="bottom"/>
            <w:tcBorders>
              <w:right w:val="single" w:sz="8" w:color="7F7F7F"/>
            </w:tcBorders>
          </w:tcPr>
          <w:p>
            <w:pPr>
              <w:spacing w:after="0"/>
              <w:rPr>
                <w:sz w:val="5"/>
                <w:szCs w:val="5"/>
                <w:color w:val="auto"/>
              </w:rPr>
            </w:pPr>
          </w:p>
        </w:tc>
        <w:tc>
          <w:tcPr>
            <w:tcW w:w="1200" w:type="dxa"/>
            <w:vAlign w:val="bottom"/>
            <w:tcBorders>
              <w:right w:val="single" w:sz="8" w:color="7F7F7F"/>
            </w:tcBorders>
          </w:tcPr>
          <w:p>
            <w:pPr>
              <w:spacing w:after="0"/>
              <w:rPr>
                <w:sz w:val="5"/>
                <w:szCs w:val="5"/>
                <w:color w:val="auto"/>
              </w:rPr>
            </w:pPr>
          </w:p>
        </w:tc>
        <w:tc>
          <w:tcPr>
            <w:tcW w:w="3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100" w:type="dxa"/>
            <w:vAlign w:val="bottom"/>
            <w:tcBorders>
              <w:left w:val="single" w:sz="8" w:color="7F7F7F"/>
              <w:bottom w:val="single" w:sz="8" w:color="7F7F7F"/>
              <w:right w:val="single" w:sz="8" w:color="7F7F7F"/>
            </w:tcBorders>
          </w:tcPr>
          <w:p>
            <w:pPr>
              <w:ind w:left="240"/>
              <w:spacing w:after="0"/>
              <w:rPr>
                <w:sz w:val="20"/>
                <w:szCs w:val="20"/>
                <w:color w:val="auto"/>
              </w:rPr>
            </w:pPr>
            <w:r>
              <w:rPr>
                <w:rFonts w:ascii="Arial" w:cs="Arial" w:eastAsia="Arial" w:hAnsi="Arial"/>
                <w:sz w:val="16"/>
                <w:szCs w:val="16"/>
                <w:b w:val="1"/>
                <w:bCs w:val="1"/>
                <w:color w:val="auto"/>
              </w:rPr>
              <w:t>Fees</w:t>
            </w:r>
          </w:p>
        </w:tc>
        <w:tc>
          <w:tcPr>
            <w:tcW w:w="1580" w:type="dxa"/>
            <w:vAlign w:val="bottom"/>
            <w:tcBorders>
              <w:bottom w:val="single" w:sz="8" w:color="7F7F7F"/>
            </w:tcBorders>
          </w:tcPr>
          <w:p>
            <w:pPr>
              <w:spacing w:after="0"/>
              <w:rPr>
                <w:sz w:val="18"/>
                <w:szCs w:val="18"/>
                <w:color w:val="auto"/>
              </w:rPr>
            </w:pPr>
          </w:p>
        </w:tc>
        <w:tc>
          <w:tcPr>
            <w:tcW w:w="1300" w:type="dxa"/>
            <w:vAlign w:val="bottom"/>
            <w:tcBorders>
              <w:bottom w:val="single" w:sz="8" w:color="7F7F7F"/>
              <w:right w:val="single" w:sz="8" w:color="7F7F7F"/>
            </w:tcBorders>
          </w:tcPr>
          <w:p>
            <w:pPr>
              <w:spacing w:after="0"/>
              <w:rPr>
                <w:sz w:val="18"/>
                <w:szCs w:val="18"/>
                <w:color w:val="auto"/>
              </w:rPr>
            </w:pPr>
          </w:p>
        </w:tc>
        <w:tc>
          <w:tcPr>
            <w:tcW w:w="1200" w:type="dxa"/>
            <w:vAlign w:val="bottom"/>
            <w:tcBorders>
              <w:bottom w:val="single" w:sz="8" w:color="7F7F7F"/>
              <w:right w:val="single" w:sz="8" w:color="7F7F7F"/>
            </w:tcBorders>
          </w:tcPr>
          <w:p>
            <w:pPr>
              <w:spacing w:after="0"/>
              <w:rPr>
                <w:sz w:val="18"/>
                <w:szCs w:val="18"/>
                <w:color w:val="auto"/>
              </w:rPr>
            </w:pPr>
          </w:p>
        </w:tc>
        <w:tc>
          <w:tcPr>
            <w:tcW w:w="374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00" w:type="dxa"/>
            <w:vAlign w:val="bottom"/>
            <w:tcBorders>
              <w:left w:val="single" w:sz="8" w:color="7F7F7F"/>
              <w:right w:val="single" w:sz="8" w:color="7F7F7F"/>
            </w:tcBorders>
          </w:tcPr>
          <w:p>
            <w:pPr>
              <w:spacing w:after="0"/>
              <w:rPr>
                <w:sz w:val="19"/>
                <w:szCs w:val="19"/>
                <w:color w:val="auto"/>
              </w:rPr>
            </w:pPr>
          </w:p>
        </w:tc>
        <w:tc>
          <w:tcPr>
            <w:tcW w:w="1580" w:type="dxa"/>
            <w:vAlign w:val="bottom"/>
            <w:tcBorders>
              <w:right w:val="single" w:sz="8" w:color="7F7F7F"/>
            </w:tcBorders>
            <w:vMerge w:val="restart"/>
          </w:tcPr>
          <w:p>
            <w:pPr>
              <w:ind w:left="80"/>
              <w:spacing w:after="0"/>
              <w:rPr>
                <w:sz w:val="20"/>
                <w:szCs w:val="20"/>
                <w:color w:val="auto"/>
              </w:rPr>
            </w:pPr>
            <w:r>
              <w:rPr>
                <w:rFonts w:ascii="Arial" w:cs="Arial" w:eastAsia="Arial" w:hAnsi="Arial"/>
                <w:sz w:val="16"/>
                <w:szCs w:val="16"/>
                <w:color w:val="auto"/>
              </w:rPr>
              <w:t>Audit</w:t>
            </w:r>
          </w:p>
        </w:tc>
        <w:tc>
          <w:tcPr>
            <w:tcW w:w="130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Chair</w:t>
            </w:r>
          </w:p>
        </w:tc>
        <w:tc>
          <w:tcPr>
            <w:tcW w:w="120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6"/>
                <w:szCs w:val="16"/>
                <w:color w:val="auto"/>
              </w:rPr>
              <w:t>$40,000</w:t>
            </w:r>
          </w:p>
        </w:tc>
        <w:tc>
          <w:tcPr>
            <w:tcW w:w="37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2100" w:type="dxa"/>
            <w:vAlign w:val="bottom"/>
            <w:tcBorders>
              <w:left w:val="single" w:sz="8" w:color="7F7F7F"/>
              <w:right w:val="single" w:sz="8" w:color="7F7F7F"/>
            </w:tcBorders>
          </w:tcPr>
          <w:p>
            <w:pPr>
              <w:spacing w:after="0"/>
              <w:rPr>
                <w:sz w:val="5"/>
                <w:szCs w:val="5"/>
                <w:color w:val="auto"/>
              </w:rPr>
            </w:pPr>
          </w:p>
        </w:tc>
        <w:tc>
          <w:tcPr>
            <w:tcW w:w="1580" w:type="dxa"/>
            <w:vAlign w:val="bottom"/>
            <w:tcBorders>
              <w:right w:val="single" w:sz="8" w:color="7F7F7F"/>
            </w:tcBorders>
            <w:vMerge w:val="continue"/>
          </w:tcPr>
          <w:p>
            <w:pPr>
              <w:spacing w:after="0"/>
              <w:rPr>
                <w:sz w:val="5"/>
                <w:szCs w:val="5"/>
                <w:color w:val="auto"/>
              </w:rPr>
            </w:pPr>
          </w:p>
        </w:tc>
        <w:tc>
          <w:tcPr>
            <w:tcW w:w="1300" w:type="dxa"/>
            <w:vAlign w:val="bottom"/>
            <w:tcBorders>
              <w:bottom w:val="single" w:sz="8" w:color="7F7F7F"/>
              <w:right w:val="single" w:sz="8" w:color="7F7F7F"/>
            </w:tcBorders>
          </w:tcPr>
          <w:p>
            <w:pPr>
              <w:spacing w:after="0"/>
              <w:rPr>
                <w:sz w:val="5"/>
                <w:szCs w:val="5"/>
                <w:color w:val="auto"/>
              </w:rPr>
            </w:pPr>
          </w:p>
        </w:tc>
        <w:tc>
          <w:tcPr>
            <w:tcW w:w="1200" w:type="dxa"/>
            <w:vAlign w:val="bottom"/>
            <w:tcBorders>
              <w:bottom w:val="single" w:sz="8" w:color="7F7F7F"/>
              <w:right w:val="single" w:sz="8" w:color="7F7F7F"/>
            </w:tcBorders>
            <w:vMerge w:val="continue"/>
          </w:tcPr>
          <w:p>
            <w:pPr>
              <w:spacing w:after="0"/>
              <w:rPr>
                <w:sz w:val="5"/>
                <w:szCs w:val="5"/>
                <w:color w:val="auto"/>
              </w:rPr>
            </w:pPr>
          </w:p>
        </w:tc>
        <w:tc>
          <w:tcPr>
            <w:tcW w:w="3740" w:type="dxa"/>
            <w:vAlign w:val="bottom"/>
            <w:tcBorders>
              <w:bottom w:val="single" w:sz="8" w:color="7F7F7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100" w:type="dxa"/>
            <w:vAlign w:val="bottom"/>
            <w:tcBorders>
              <w:left w:val="single" w:sz="8" w:color="7F7F7F"/>
              <w:right w:val="single" w:sz="8" w:color="7F7F7F"/>
            </w:tcBorders>
          </w:tcPr>
          <w:p>
            <w:pPr>
              <w:spacing w:after="0"/>
              <w:rPr>
                <w:sz w:val="17"/>
                <w:szCs w:val="17"/>
                <w:color w:val="auto"/>
              </w:rPr>
            </w:pPr>
          </w:p>
        </w:tc>
        <w:tc>
          <w:tcPr>
            <w:tcW w:w="158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Committee</w:t>
            </w:r>
          </w:p>
        </w:tc>
        <w:tc>
          <w:tcPr>
            <w:tcW w:w="1300" w:type="dxa"/>
            <w:vAlign w:val="bottom"/>
            <w:tcBorders>
              <w:right w:val="single" w:sz="8" w:color="7F7F7F"/>
            </w:tcBorders>
          </w:tcPr>
          <w:p>
            <w:pPr>
              <w:ind w:left="80"/>
              <w:spacing w:after="0" w:line="204" w:lineRule="exact"/>
              <w:rPr>
                <w:sz w:val="20"/>
                <w:szCs w:val="20"/>
                <w:color w:val="auto"/>
              </w:rPr>
            </w:pPr>
            <w:r>
              <w:rPr>
                <w:rFonts w:ascii="Arial" w:cs="Arial" w:eastAsia="Arial" w:hAnsi="Arial"/>
                <w:sz w:val="18"/>
                <w:szCs w:val="18"/>
                <w:color w:val="auto"/>
              </w:rPr>
              <w:t>Other</w:t>
            </w:r>
          </w:p>
        </w:tc>
        <w:tc>
          <w:tcPr>
            <w:tcW w:w="1200" w:type="dxa"/>
            <w:vAlign w:val="bottom"/>
            <w:tcBorders>
              <w:right w:val="single" w:sz="8" w:color="7F7F7F"/>
            </w:tcBorders>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Borders>
              <w:left w:val="single" w:sz="8" w:color="7F7F7F"/>
              <w:right w:val="single" w:sz="8" w:color="7F7F7F"/>
            </w:tcBorders>
          </w:tcPr>
          <w:p>
            <w:pPr>
              <w:spacing w:after="0"/>
              <w:rPr>
                <w:sz w:val="17"/>
                <w:szCs w:val="17"/>
                <w:color w:val="auto"/>
              </w:rPr>
            </w:pPr>
          </w:p>
        </w:tc>
        <w:tc>
          <w:tcPr>
            <w:tcW w:w="1580" w:type="dxa"/>
            <w:vAlign w:val="bottom"/>
            <w:tcBorders>
              <w:bottom w:val="single" w:sz="8" w:color="7F7F7F"/>
              <w:right w:val="single" w:sz="8" w:color="7F7F7F"/>
            </w:tcBorders>
          </w:tcPr>
          <w:p>
            <w:pPr>
              <w:spacing w:after="0"/>
              <w:rPr>
                <w:sz w:val="17"/>
                <w:szCs w:val="17"/>
                <w:color w:val="auto"/>
              </w:rPr>
            </w:pPr>
          </w:p>
        </w:tc>
        <w:tc>
          <w:tcPr>
            <w:tcW w:w="1300" w:type="dxa"/>
            <w:vAlign w:val="bottom"/>
            <w:tcBorders>
              <w:bottom w:val="single" w:sz="8" w:color="7F7F7F"/>
              <w:right w:val="single" w:sz="8" w:color="7F7F7F"/>
            </w:tcBorders>
          </w:tcPr>
          <w:p>
            <w:pPr>
              <w:ind w:left="80"/>
              <w:spacing w:after="0"/>
              <w:rPr>
                <w:sz w:val="20"/>
                <w:szCs w:val="20"/>
                <w:color w:val="auto"/>
              </w:rPr>
            </w:pPr>
            <w:r>
              <w:rPr>
                <w:rFonts w:ascii="Arial" w:cs="Arial" w:eastAsia="Arial" w:hAnsi="Arial"/>
                <w:sz w:val="16"/>
                <w:szCs w:val="16"/>
                <w:color w:val="auto"/>
              </w:rPr>
              <w:t>Members</w:t>
            </w:r>
          </w:p>
        </w:tc>
        <w:tc>
          <w:tcPr>
            <w:tcW w:w="1200" w:type="dxa"/>
            <w:vAlign w:val="bottom"/>
            <w:tcBorders>
              <w:bottom w:val="single" w:sz="8" w:color="7F7F7F"/>
              <w:right w:val="single" w:sz="8" w:color="7F7F7F"/>
            </w:tcBorders>
          </w:tcPr>
          <w:p>
            <w:pPr>
              <w:jc w:val="center"/>
              <w:spacing w:after="0"/>
              <w:rPr>
                <w:sz w:val="20"/>
                <w:szCs w:val="20"/>
                <w:color w:val="auto"/>
              </w:rPr>
            </w:pPr>
            <w:r>
              <w:rPr>
                <w:rFonts w:ascii="Arial" w:cs="Arial" w:eastAsia="Arial" w:hAnsi="Arial"/>
                <w:sz w:val="16"/>
                <w:szCs w:val="16"/>
                <w:color w:val="auto"/>
              </w:rPr>
              <w:t>$20,000</w:t>
            </w:r>
          </w:p>
        </w:tc>
        <w:tc>
          <w:tcPr>
            <w:tcW w:w="37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100" w:type="dxa"/>
            <w:vAlign w:val="bottom"/>
            <w:tcBorders>
              <w:left w:val="single" w:sz="8" w:color="7F7F7F"/>
              <w:right w:val="single" w:sz="8" w:color="7F7F7F"/>
            </w:tcBorders>
          </w:tcPr>
          <w:p>
            <w:pPr>
              <w:spacing w:after="0"/>
              <w:rPr>
                <w:sz w:val="18"/>
                <w:szCs w:val="18"/>
                <w:color w:val="auto"/>
              </w:rPr>
            </w:pPr>
          </w:p>
        </w:tc>
        <w:tc>
          <w:tcPr>
            <w:tcW w:w="1580" w:type="dxa"/>
            <w:vAlign w:val="bottom"/>
            <w:tcBorders>
              <w:right w:val="single" w:sz="8" w:color="7F7F7F"/>
            </w:tcBorders>
            <w:vMerge w:val="restart"/>
          </w:tcPr>
          <w:p>
            <w:pPr>
              <w:ind w:left="80"/>
              <w:spacing w:after="0"/>
              <w:rPr>
                <w:sz w:val="20"/>
                <w:szCs w:val="20"/>
                <w:color w:val="auto"/>
              </w:rPr>
            </w:pPr>
            <w:r>
              <w:rPr>
                <w:rFonts w:ascii="Arial" w:cs="Arial" w:eastAsia="Arial" w:hAnsi="Arial"/>
                <w:sz w:val="16"/>
                <w:szCs w:val="16"/>
                <w:color w:val="auto"/>
              </w:rPr>
              <w:t>Compensation</w:t>
            </w:r>
          </w:p>
        </w:tc>
        <w:tc>
          <w:tcPr>
            <w:tcW w:w="130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Chair</w:t>
            </w:r>
          </w:p>
        </w:tc>
        <w:tc>
          <w:tcPr>
            <w:tcW w:w="120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6"/>
                <w:szCs w:val="16"/>
                <w:color w:val="auto"/>
              </w:rPr>
              <w:t>$30,000</w:t>
            </w:r>
          </w:p>
        </w:tc>
        <w:tc>
          <w:tcPr>
            <w:tcW w:w="37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2100" w:type="dxa"/>
            <w:vAlign w:val="bottom"/>
            <w:tcBorders>
              <w:left w:val="single" w:sz="8" w:color="7F7F7F"/>
              <w:right w:val="single" w:sz="8" w:color="7F7F7F"/>
            </w:tcBorders>
          </w:tcPr>
          <w:p>
            <w:pPr>
              <w:spacing w:after="0"/>
              <w:rPr>
                <w:sz w:val="5"/>
                <w:szCs w:val="5"/>
                <w:color w:val="auto"/>
              </w:rPr>
            </w:pPr>
          </w:p>
        </w:tc>
        <w:tc>
          <w:tcPr>
            <w:tcW w:w="1580" w:type="dxa"/>
            <w:vAlign w:val="bottom"/>
            <w:tcBorders>
              <w:right w:val="single" w:sz="8" w:color="7F7F7F"/>
            </w:tcBorders>
            <w:vMerge w:val="continue"/>
          </w:tcPr>
          <w:p>
            <w:pPr>
              <w:spacing w:after="0"/>
              <w:rPr>
                <w:sz w:val="5"/>
                <w:szCs w:val="5"/>
                <w:color w:val="auto"/>
              </w:rPr>
            </w:pPr>
          </w:p>
        </w:tc>
        <w:tc>
          <w:tcPr>
            <w:tcW w:w="1300" w:type="dxa"/>
            <w:vAlign w:val="bottom"/>
            <w:tcBorders>
              <w:bottom w:val="single" w:sz="8" w:color="7F7F7F"/>
              <w:right w:val="single" w:sz="8" w:color="7F7F7F"/>
            </w:tcBorders>
          </w:tcPr>
          <w:p>
            <w:pPr>
              <w:spacing w:after="0"/>
              <w:rPr>
                <w:sz w:val="5"/>
                <w:szCs w:val="5"/>
                <w:color w:val="auto"/>
              </w:rPr>
            </w:pPr>
          </w:p>
        </w:tc>
        <w:tc>
          <w:tcPr>
            <w:tcW w:w="1200" w:type="dxa"/>
            <w:vAlign w:val="bottom"/>
            <w:tcBorders>
              <w:bottom w:val="single" w:sz="8" w:color="7F7F7F"/>
              <w:right w:val="single" w:sz="8" w:color="7F7F7F"/>
            </w:tcBorders>
            <w:vMerge w:val="continue"/>
          </w:tcPr>
          <w:p>
            <w:pPr>
              <w:spacing w:after="0"/>
              <w:rPr>
                <w:sz w:val="5"/>
                <w:szCs w:val="5"/>
                <w:color w:val="auto"/>
              </w:rPr>
            </w:pPr>
          </w:p>
        </w:tc>
        <w:tc>
          <w:tcPr>
            <w:tcW w:w="3740" w:type="dxa"/>
            <w:vAlign w:val="bottom"/>
            <w:tcBorders>
              <w:bottom w:val="single" w:sz="8" w:color="7F7F7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100" w:type="dxa"/>
            <w:vAlign w:val="bottom"/>
            <w:tcBorders>
              <w:left w:val="single" w:sz="8" w:color="7F7F7F"/>
              <w:right w:val="single" w:sz="8" w:color="7F7F7F"/>
            </w:tcBorders>
          </w:tcPr>
          <w:p>
            <w:pPr>
              <w:spacing w:after="0"/>
              <w:rPr>
                <w:sz w:val="17"/>
                <w:szCs w:val="17"/>
                <w:color w:val="auto"/>
              </w:rPr>
            </w:pPr>
          </w:p>
        </w:tc>
        <w:tc>
          <w:tcPr>
            <w:tcW w:w="158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Committee</w:t>
            </w:r>
          </w:p>
        </w:tc>
        <w:tc>
          <w:tcPr>
            <w:tcW w:w="1300" w:type="dxa"/>
            <w:vAlign w:val="bottom"/>
            <w:tcBorders>
              <w:right w:val="single" w:sz="8" w:color="7F7F7F"/>
            </w:tcBorders>
          </w:tcPr>
          <w:p>
            <w:pPr>
              <w:ind w:left="80"/>
              <w:spacing w:after="0" w:line="204" w:lineRule="exact"/>
              <w:rPr>
                <w:sz w:val="20"/>
                <w:szCs w:val="20"/>
                <w:color w:val="auto"/>
              </w:rPr>
            </w:pPr>
            <w:r>
              <w:rPr>
                <w:rFonts w:ascii="Arial" w:cs="Arial" w:eastAsia="Arial" w:hAnsi="Arial"/>
                <w:sz w:val="18"/>
                <w:szCs w:val="18"/>
                <w:color w:val="auto"/>
              </w:rPr>
              <w:t>Other</w:t>
            </w:r>
          </w:p>
        </w:tc>
        <w:tc>
          <w:tcPr>
            <w:tcW w:w="1200" w:type="dxa"/>
            <w:vAlign w:val="bottom"/>
            <w:tcBorders>
              <w:right w:val="single" w:sz="8" w:color="7F7F7F"/>
            </w:tcBorders>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Borders>
              <w:left w:val="single" w:sz="8" w:color="7F7F7F"/>
              <w:right w:val="single" w:sz="8" w:color="7F7F7F"/>
            </w:tcBorders>
          </w:tcPr>
          <w:p>
            <w:pPr>
              <w:spacing w:after="0"/>
              <w:rPr>
                <w:sz w:val="17"/>
                <w:szCs w:val="17"/>
                <w:color w:val="auto"/>
              </w:rPr>
            </w:pPr>
          </w:p>
        </w:tc>
        <w:tc>
          <w:tcPr>
            <w:tcW w:w="1580" w:type="dxa"/>
            <w:vAlign w:val="bottom"/>
            <w:tcBorders>
              <w:bottom w:val="single" w:sz="8" w:color="7F7F7F"/>
              <w:right w:val="single" w:sz="8" w:color="7F7F7F"/>
            </w:tcBorders>
          </w:tcPr>
          <w:p>
            <w:pPr>
              <w:spacing w:after="0"/>
              <w:rPr>
                <w:sz w:val="17"/>
                <w:szCs w:val="17"/>
                <w:color w:val="auto"/>
              </w:rPr>
            </w:pPr>
          </w:p>
        </w:tc>
        <w:tc>
          <w:tcPr>
            <w:tcW w:w="1300" w:type="dxa"/>
            <w:vAlign w:val="bottom"/>
            <w:tcBorders>
              <w:bottom w:val="single" w:sz="8" w:color="7F7F7F"/>
              <w:right w:val="single" w:sz="8" w:color="7F7F7F"/>
            </w:tcBorders>
          </w:tcPr>
          <w:p>
            <w:pPr>
              <w:ind w:left="80"/>
              <w:spacing w:after="0"/>
              <w:rPr>
                <w:sz w:val="20"/>
                <w:szCs w:val="20"/>
                <w:color w:val="auto"/>
              </w:rPr>
            </w:pPr>
            <w:r>
              <w:rPr>
                <w:rFonts w:ascii="Arial" w:cs="Arial" w:eastAsia="Arial" w:hAnsi="Arial"/>
                <w:sz w:val="16"/>
                <w:szCs w:val="16"/>
                <w:color w:val="auto"/>
              </w:rPr>
              <w:t>Members</w:t>
            </w:r>
          </w:p>
        </w:tc>
        <w:tc>
          <w:tcPr>
            <w:tcW w:w="1200" w:type="dxa"/>
            <w:vAlign w:val="bottom"/>
            <w:tcBorders>
              <w:bottom w:val="single" w:sz="8" w:color="7F7F7F"/>
              <w:right w:val="single" w:sz="8" w:color="7F7F7F"/>
            </w:tcBorders>
          </w:tcPr>
          <w:p>
            <w:pPr>
              <w:jc w:val="center"/>
              <w:spacing w:after="0"/>
              <w:rPr>
                <w:sz w:val="20"/>
                <w:szCs w:val="20"/>
                <w:color w:val="auto"/>
              </w:rPr>
            </w:pPr>
            <w:r>
              <w:rPr>
                <w:rFonts w:ascii="Arial" w:cs="Arial" w:eastAsia="Arial" w:hAnsi="Arial"/>
                <w:sz w:val="16"/>
                <w:szCs w:val="16"/>
                <w:color w:val="auto"/>
              </w:rPr>
              <w:t>$15,000</w:t>
            </w:r>
          </w:p>
        </w:tc>
        <w:tc>
          <w:tcPr>
            <w:tcW w:w="37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100" w:type="dxa"/>
            <w:vAlign w:val="bottom"/>
            <w:tcBorders>
              <w:left w:val="single" w:sz="8" w:color="7F7F7F"/>
              <w:right w:val="single" w:sz="8" w:color="7F7F7F"/>
            </w:tcBorders>
          </w:tcPr>
          <w:p>
            <w:pPr>
              <w:ind w:left="240"/>
              <w:spacing w:after="0"/>
              <w:rPr>
                <w:sz w:val="20"/>
                <w:szCs w:val="20"/>
                <w:color w:val="auto"/>
              </w:rPr>
            </w:pPr>
            <w:r>
              <w:rPr>
                <w:rFonts w:ascii="Arial" w:cs="Arial" w:eastAsia="Arial" w:hAnsi="Arial"/>
                <w:sz w:val="16"/>
                <w:szCs w:val="16"/>
                <w:b w:val="1"/>
                <w:bCs w:val="1"/>
                <w:color w:val="auto"/>
              </w:rPr>
              <w:t>Committee Fees</w:t>
            </w:r>
          </w:p>
        </w:tc>
        <w:tc>
          <w:tcPr>
            <w:tcW w:w="158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Corporate</w:t>
            </w:r>
          </w:p>
        </w:tc>
        <w:tc>
          <w:tcPr>
            <w:tcW w:w="130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Chair</w:t>
            </w:r>
          </w:p>
        </w:tc>
        <w:tc>
          <w:tcPr>
            <w:tcW w:w="1200" w:type="dxa"/>
            <w:vAlign w:val="bottom"/>
            <w:tcBorders>
              <w:right w:val="single" w:sz="8" w:color="7F7F7F"/>
            </w:tcBorders>
          </w:tcPr>
          <w:p>
            <w:pPr>
              <w:jc w:val="center"/>
              <w:spacing w:after="0"/>
              <w:rPr>
                <w:sz w:val="20"/>
                <w:szCs w:val="20"/>
                <w:color w:val="auto"/>
              </w:rPr>
            </w:pPr>
            <w:r>
              <w:rPr>
                <w:rFonts w:ascii="Arial" w:cs="Arial" w:eastAsia="Arial" w:hAnsi="Arial"/>
                <w:sz w:val="16"/>
                <w:szCs w:val="16"/>
                <w:color w:val="auto"/>
              </w:rPr>
              <w:t>$20,000</w:t>
            </w:r>
          </w:p>
        </w:tc>
        <w:tc>
          <w:tcPr>
            <w:tcW w:w="374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100" w:type="dxa"/>
            <w:vAlign w:val="bottom"/>
            <w:tcBorders>
              <w:left w:val="single" w:sz="8" w:color="7F7F7F"/>
              <w:right w:val="single" w:sz="8" w:color="7F7F7F"/>
            </w:tcBorders>
          </w:tcPr>
          <w:p>
            <w:pPr>
              <w:spacing w:after="0"/>
              <w:rPr>
                <w:sz w:val="2"/>
                <w:szCs w:val="2"/>
                <w:color w:val="auto"/>
              </w:rPr>
            </w:pPr>
          </w:p>
        </w:tc>
        <w:tc>
          <w:tcPr>
            <w:tcW w:w="1580" w:type="dxa"/>
            <w:vAlign w:val="bottom"/>
            <w:tcBorders>
              <w:right w:val="single" w:sz="8" w:color="7F7F7F"/>
            </w:tcBorders>
            <w:vMerge w:val="restart"/>
          </w:tcPr>
          <w:p>
            <w:pPr>
              <w:ind w:left="80"/>
              <w:spacing w:after="0" w:line="178" w:lineRule="exact"/>
              <w:rPr>
                <w:sz w:val="20"/>
                <w:szCs w:val="20"/>
                <w:color w:val="auto"/>
              </w:rPr>
            </w:pPr>
            <w:r>
              <w:rPr>
                <w:rFonts w:ascii="Arial" w:cs="Arial" w:eastAsia="Arial" w:hAnsi="Arial"/>
                <w:sz w:val="16"/>
                <w:szCs w:val="16"/>
                <w:color w:val="auto"/>
              </w:rPr>
              <w:t>Governance</w:t>
            </w:r>
          </w:p>
        </w:tc>
        <w:tc>
          <w:tcPr>
            <w:tcW w:w="1300" w:type="dxa"/>
            <w:vAlign w:val="bottom"/>
            <w:tcBorders>
              <w:bottom w:val="single" w:sz="8" w:color="7F7F7F"/>
              <w:right w:val="single" w:sz="8" w:color="7F7F7F"/>
            </w:tcBorders>
          </w:tcPr>
          <w:p>
            <w:pPr>
              <w:spacing w:after="0"/>
              <w:rPr>
                <w:sz w:val="2"/>
                <w:szCs w:val="2"/>
                <w:color w:val="auto"/>
              </w:rPr>
            </w:pPr>
          </w:p>
        </w:tc>
        <w:tc>
          <w:tcPr>
            <w:tcW w:w="1200" w:type="dxa"/>
            <w:vAlign w:val="bottom"/>
            <w:tcBorders>
              <w:bottom w:val="single" w:sz="8" w:color="7F7F7F"/>
              <w:right w:val="single" w:sz="8" w:color="7F7F7F"/>
            </w:tcBorders>
          </w:tcPr>
          <w:p>
            <w:pPr>
              <w:spacing w:after="0"/>
              <w:rPr>
                <w:sz w:val="2"/>
                <w:szCs w:val="2"/>
                <w:color w:val="auto"/>
              </w:rPr>
            </w:pPr>
          </w:p>
        </w:tc>
        <w:tc>
          <w:tcPr>
            <w:tcW w:w="374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100" w:type="dxa"/>
            <w:vAlign w:val="bottom"/>
            <w:tcBorders>
              <w:left w:val="single" w:sz="8" w:color="7F7F7F"/>
              <w:right w:val="single" w:sz="8" w:color="7F7F7F"/>
            </w:tcBorders>
          </w:tcPr>
          <w:p>
            <w:pPr>
              <w:spacing w:after="0"/>
              <w:rPr>
                <w:sz w:val="11"/>
                <w:szCs w:val="11"/>
                <w:color w:val="auto"/>
              </w:rPr>
            </w:pPr>
          </w:p>
        </w:tc>
        <w:tc>
          <w:tcPr>
            <w:tcW w:w="1580" w:type="dxa"/>
            <w:vAlign w:val="bottom"/>
            <w:tcBorders>
              <w:right w:val="single" w:sz="8" w:color="7F7F7F"/>
            </w:tcBorders>
            <w:vMerge w:val="continue"/>
          </w:tcPr>
          <w:p>
            <w:pPr>
              <w:spacing w:after="0"/>
              <w:rPr>
                <w:sz w:val="11"/>
                <w:szCs w:val="11"/>
                <w:color w:val="auto"/>
              </w:rPr>
            </w:pPr>
          </w:p>
        </w:tc>
        <w:tc>
          <w:tcPr>
            <w:tcW w:w="1300" w:type="dxa"/>
            <w:vAlign w:val="bottom"/>
            <w:tcBorders>
              <w:right w:val="single" w:sz="8" w:color="7F7F7F"/>
            </w:tcBorders>
            <w:vMerge w:val="restart"/>
          </w:tcPr>
          <w:p>
            <w:pPr>
              <w:ind w:left="80"/>
              <w:spacing w:after="0" w:line="198" w:lineRule="exact"/>
              <w:rPr>
                <w:sz w:val="20"/>
                <w:szCs w:val="20"/>
                <w:color w:val="auto"/>
              </w:rPr>
            </w:pPr>
            <w:r>
              <w:rPr>
                <w:rFonts w:ascii="Arial" w:cs="Arial" w:eastAsia="Arial" w:hAnsi="Arial"/>
                <w:sz w:val="18"/>
                <w:szCs w:val="18"/>
                <w:color w:val="auto"/>
              </w:rPr>
              <w:t>Other</w:t>
            </w:r>
          </w:p>
        </w:tc>
        <w:tc>
          <w:tcPr>
            <w:tcW w:w="1200" w:type="dxa"/>
            <w:vAlign w:val="bottom"/>
            <w:tcBorders>
              <w:right w:val="single" w:sz="8" w:color="7F7F7F"/>
            </w:tcBorders>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100" w:type="dxa"/>
            <w:vAlign w:val="bottom"/>
            <w:tcBorders>
              <w:left w:val="single" w:sz="8" w:color="7F7F7F"/>
              <w:right w:val="single" w:sz="8" w:color="7F7F7F"/>
            </w:tcBorders>
          </w:tcPr>
          <w:p>
            <w:pPr>
              <w:spacing w:after="0"/>
              <w:rPr>
                <w:sz w:val="5"/>
                <w:szCs w:val="5"/>
                <w:color w:val="auto"/>
              </w:rPr>
            </w:pPr>
          </w:p>
        </w:tc>
        <w:tc>
          <w:tcPr>
            <w:tcW w:w="1580" w:type="dxa"/>
            <w:vAlign w:val="bottom"/>
            <w:tcBorders>
              <w:right w:val="single" w:sz="8" w:color="7F7F7F"/>
            </w:tcBorders>
            <w:vMerge w:val="restart"/>
          </w:tcPr>
          <w:p>
            <w:pPr>
              <w:ind w:left="80"/>
              <w:spacing w:after="0"/>
              <w:rPr>
                <w:sz w:val="20"/>
                <w:szCs w:val="20"/>
                <w:color w:val="auto"/>
              </w:rPr>
            </w:pPr>
            <w:r>
              <w:rPr>
                <w:rFonts w:ascii="Arial" w:cs="Arial" w:eastAsia="Arial" w:hAnsi="Arial"/>
                <w:sz w:val="16"/>
                <w:szCs w:val="16"/>
                <w:color w:val="auto"/>
              </w:rPr>
              <w:t>Committee</w:t>
            </w:r>
          </w:p>
        </w:tc>
        <w:tc>
          <w:tcPr>
            <w:tcW w:w="1300" w:type="dxa"/>
            <w:vAlign w:val="bottom"/>
            <w:tcBorders>
              <w:right w:val="single" w:sz="8" w:color="7F7F7F"/>
            </w:tcBorders>
            <w:vMerge w:val="continue"/>
          </w:tcPr>
          <w:p>
            <w:pPr>
              <w:spacing w:after="0"/>
              <w:rPr>
                <w:sz w:val="5"/>
                <w:szCs w:val="5"/>
                <w:color w:val="auto"/>
              </w:rPr>
            </w:pPr>
          </w:p>
        </w:tc>
        <w:tc>
          <w:tcPr>
            <w:tcW w:w="1200" w:type="dxa"/>
            <w:vAlign w:val="bottom"/>
            <w:tcBorders>
              <w:right w:val="single" w:sz="8" w:color="7F7F7F"/>
            </w:tcBorders>
          </w:tcPr>
          <w:p>
            <w:pPr>
              <w:spacing w:after="0"/>
              <w:rPr>
                <w:sz w:val="5"/>
                <w:szCs w:val="5"/>
                <w:color w:val="auto"/>
              </w:rPr>
            </w:pPr>
          </w:p>
        </w:tc>
        <w:tc>
          <w:tcPr>
            <w:tcW w:w="3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100" w:type="dxa"/>
            <w:vAlign w:val="bottom"/>
            <w:tcBorders>
              <w:left w:val="single" w:sz="8" w:color="7F7F7F"/>
              <w:right w:val="single" w:sz="8" w:color="7F7F7F"/>
            </w:tcBorders>
          </w:tcPr>
          <w:p>
            <w:pPr>
              <w:spacing w:after="0"/>
              <w:rPr>
                <w:sz w:val="11"/>
                <w:szCs w:val="11"/>
                <w:color w:val="auto"/>
              </w:rPr>
            </w:pPr>
          </w:p>
        </w:tc>
        <w:tc>
          <w:tcPr>
            <w:tcW w:w="1580" w:type="dxa"/>
            <w:vAlign w:val="bottom"/>
            <w:tcBorders>
              <w:right w:val="single" w:sz="8" w:color="7F7F7F"/>
            </w:tcBorders>
            <w:vMerge w:val="continue"/>
          </w:tcPr>
          <w:p>
            <w:pPr>
              <w:spacing w:after="0"/>
              <w:rPr>
                <w:sz w:val="11"/>
                <w:szCs w:val="11"/>
                <w:color w:val="auto"/>
              </w:rPr>
            </w:pPr>
          </w:p>
        </w:tc>
        <w:tc>
          <w:tcPr>
            <w:tcW w:w="1300" w:type="dxa"/>
            <w:vAlign w:val="bottom"/>
            <w:tcBorders>
              <w:right w:val="single" w:sz="8" w:color="7F7F7F"/>
            </w:tcBorders>
            <w:vMerge w:val="restart"/>
          </w:tcPr>
          <w:p>
            <w:pPr>
              <w:ind w:left="80"/>
              <w:spacing w:after="0"/>
              <w:rPr>
                <w:sz w:val="20"/>
                <w:szCs w:val="20"/>
                <w:color w:val="auto"/>
              </w:rPr>
            </w:pPr>
            <w:r>
              <w:rPr>
                <w:rFonts w:ascii="Arial" w:cs="Arial" w:eastAsia="Arial" w:hAnsi="Arial"/>
                <w:sz w:val="16"/>
                <w:szCs w:val="16"/>
                <w:color w:val="auto"/>
              </w:rPr>
              <w:t>Members</w:t>
            </w:r>
          </w:p>
        </w:tc>
        <w:tc>
          <w:tcPr>
            <w:tcW w:w="120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6"/>
                <w:szCs w:val="16"/>
                <w:color w:val="auto"/>
              </w:rPr>
              <w:t>$10,000</w:t>
            </w:r>
          </w:p>
        </w:tc>
        <w:tc>
          <w:tcPr>
            <w:tcW w:w="37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2100" w:type="dxa"/>
            <w:vAlign w:val="bottom"/>
            <w:tcBorders>
              <w:left w:val="single" w:sz="8" w:color="7F7F7F"/>
              <w:right w:val="single" w:sz="8" w:color="7F7F7F"/>
            </w:tcBorders>
          </w:tcPr>
          <w:p>
            <w:pPr>
              <w:spacing w:after="0"/>
              <w:rPr>
                <w:sz w:val="6"/>
                <w:szCs w:val="6"/>
                <w:color w:val="auto"/>
              </w:rPr>
            </w:pPr>
          </w:p>
        </w:tc>
        <w:tc>
          <w:tcPr>
            <w:tcW w:w="1580" w:type="dxa"/>
            <w:vAlign w:val="bottom"/>
            <w:tcBorders>
              <w:bottom w:val="single" w:sz="8" w:color="7F7F7F"/>
              <w:right w:val="single" w:sz="8" w:color="7F7F7F"/>
            </w:tcBorders>
          </w:tcPr>
          <w:p>
            <w:pPr>
              <w:spacing w:after="0"/>
              <w:rPr>
                <w:sz w:val="6"/>
                <w:szCs w:val="6"/>
                <w:color w:val="auto"/>
              </w:rPr>
            </w:pPr>
          </w:p>
        </w:tc>
        <w:tc>
          <w:tcPr>
            <w:tcW w:w="1300" w:type="dxa"/>
            <w:vAlign w:val="bottom"/>
            <w:tcBorders>
              <w:bottom w:val="single" w:sz="8" w:color="7F7F7F"/>
              <w:right w:val="single" w:sz="8" w:color="7F7F7F"/>
            </w:tcBorders>
            <w:vMerge w:val="continue"/>
          </w:tcPr>
          <w:p>
            <w:pPr>
              <w:spacing w:after="0"/>
              <w:rPr>
                <w:sz w:val="6"/>
                <w:szCs w:val="6"/>
                <w:color w:val="auto"/>
              </w:rPr>
            </w:pPr>
          </w:p>
        </w:tc>
        <w:tc>
          <w:tcPr>
            <w:tcW w:w="1200" w:type="dxa"/>
            <w:vAlign w:val="bottom"/>
            <w:tcBorders>
              <w:bottom w:val="single" w:sz="8" w:color="7F7F7F"/>
              <w:right w:val="single" w:sz="8" w:color="7F7F7F"/>
            </w:tcBorders>
            <w:vMerge w:val="continue"/>
          </w:tcPr>
          <w:p>
            <w:pPr>
              <w:spacing w:after="0"/>
              <w:rPr>
                <w:sz w:val="6"/>
                <w:szCs w:val="6"/>
                <w:color w:val="auto"/>
              </w:rPr>
            </w:pPr>
          </w:p>
        </w:tc>
        <w:tc>
          <w:tcPr>
            <w:tcW w:w="3740" w:type="dxa"/>
            <w:vAlign w:val="bottom"/>
            <w:tcBorders>
              <w:bottom w:val="single" w:sz="8" w:color="7F7F7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100" w:type="dxa"/>
            <w:vAlign w:val="bottom"/>
            <w:tcBorders>
              <w:left w:val="single" w:sz="8" w:color="7F7F7F"/>
              <w:right w:val="single" w:sz="8" w:color="7F7F7F"/>
            </w:tcBorders>
          </w:tcPr>
          <w:p>
            <w:pPr>
              <w:spacing w:after="0"/>
              <w:rPr>
                <w:sz w:val="16"/>
                <w:szCs w:val="16"/>
                <w:color w:val="auto"/>
              </w:rPr>
            </w:pPr>
          </w:p>
        </w:tc>
        <w:tc>
          <w:tcPr>
            <w:tcW w:w="1580" w:type="dxa"/>
            <w:vAlign w:val="bottom"/>
            <w:tcBorders>
              <w:right w:val="single" w:sz="8" w:color="7F7F7F"/>
            </w:tcBorders>
          </w:tcPr>
          <w:p>
            <w:pPr>
              <w:spacing w:after="0"/>
              <w:rPr>
                <w:sz w:val="16"/>
                <w:szCs w:val="16"/>
                <w:color w:val="auto"/>
              </w:rPr>
            </w:pPr>
          </w:p>
        </w:tc>
        <w:tc>
          <w:tcPr>
            <w:tcW w:w="1300" w:type="dxa"/>
            <w:vAlign w:val="bottom"/>
            <w:tcBorders>
              <w:right w:val="single" w:sz="8" w:color="7F7F7F"/>
            </w:tcBorders>
            <w:vMerge w:val="restart"/>
          </w:tcPr>
          <w:p>
            <w:pPr>
              <w:ind w:left="80"/>
              <w:spacing w:after="0"/>
              <w:rPr>
                <w:sz w:val="20"/>
                <w:szCs w:val="20"/>
                <w:color w:val="auto"/>
              </w:rPr>
            </w:pPr>
            <w:r>
              <w:rPr>
                <w:rFonts w:ascii="Arial" w:cs="Arial" w:eastAsia="Arial" w:hAnsi="Arial"/>
                <w:sz w:val="16"/>
                <w:szCs w:val="16"/>
                <w:color w:val="auto"/>
              </w:rPr>
              <w:t>Chair</w:t>
            </w:r>
          </w:p>
        </w:tc>
        <w:tc>
          <w:tcPr>
            <w:tcW w:w="1200" w:type="dxa"/>
            <w:vAlign w:val="bottom"/>
            <w:tcBorders>
              <w:right w:val="single" w:sz="8" w:color="7F7F7F"/>
            </w:tcBorders>
          </w:tcPr>
          <w:p>
            <w:pPr>
              <w:spacing w:after="0"/>
              <w:rPr>
                <w:sz w:val="16"/>
                <w:szCs w:val="16"/>
                <w:color w:val="auto"/>
              </w:rPr>
            </w:pPr>
          </w:p>
        </w:tc>
        <w:tc>
          <w:tcPr>
            <w:tcW w:w="3740" w:type="dxa"/>
            <w:vAlign w:val="bottom"/>
          </w:tcPr>
          <w:p>
            <w:pPr>
              <w:jc w:val="center"/>
              <w:spacing w:after="0"/>
              <w:rPr>
                <w:sz w:val="20"/>
                <w:szCs w:val="20"/>
                <w:color w:val="auto"/>
              </w:rPr>
            </w:pPr>
            <w:r>
              <w:rPr>
                <w:rFonts w:ascii="Arial" w:cs="Arial" w:eastAsia="Arial" w:hAnsi="Arial"/>
                <w:sz w:val="16"/>
                <w:szCs w:val="16"/>
                <w:color w:val="auto"/>
              </w:rPr>
              <w:t>Lead Independent Director serves</w:t>
            </w:r>
          </w:p>
        </w:tc>
        <w:tc>
          <w:tcPr>
            <w:tcW w:w="0" w:type="dxa"/>
            <w:vAlign w:val="bottom"/>
          </w:tcPr>
          <w:p>
            <w:pPr>
              <w:spacing w:after="0"/>
              <w:rPr>
                <w:sz w:val="1"/>
                <w:szCs w:val="1"/>
                <w:color w:val="auto"/>
              </w:rPr>
            </w:pPr>
          </w:p>
        </w:tc>
      </w:tr>
      <w:tr>
        <w:trPr>
          <w:trHeight w:val="189"/>
        </w:trPr>
        <w:tc>
          <w:tcPr>
            <w:tcW w:w="2100" w:type="dxa"/>
            <w:vAlign w:val="bottom"/>
            <w:tcBorders>
              <w:left w:val="single" w:sz="8" w:color="7F7F7F"/>
              <w:right w:val="single" w:sz="8" w:color="7F7F7F"/>
            </w:tcBorders>
          </w:tcPr>
          <w:p>
            <w:pPr>
              <w:spacing w:after="0"/>
              <w:rPr>
                <w:sz w:val="16"/>
                <w:szCs w:val="16"/>
                <w:color w:val="auto"/>
              </w:rPr>
            </w:pPr>
          </w:p>
        </w:tc>
        <w:tc>
          <w:tcPr>
            <w:tcW w:w="1580" w:type="dxa"/>
            <w:vAlign w:val="bottom"/>
            <w:tcBorders>
              <w:right w:val="single" w:sz="8" w:color="7F7F7F"/>
            </w:tcBorders>
          </w:tcPr>
          <w:p>
            <w:pPr>
              <w:spacing w:after="0"/>
              <w:rPr>
                <w:sz w:val="16"/>
                <w:szCs w:val="16"/>
                <w:color w:val="auto"/>
              </w:rPr>
            </w:pPr>
          </w:p>
        </w:tc>
        <w:tc>
          <w:tcPr>
            <w:tcW w:w="1300" w:type="dxa"/>
            <w:vAlign w:val="bottom"/>
            <w:tcBorders>
              <w:right w:val="single" w:sz="8" w:color="7F7F7F"/>
            </w:tcBorders>
            <w:vMerge w:val="continue"/>
          </w:tcPr>
          <w:p>
            <w:pPr>
              <w:spacing w:after="0"/>
              <w:rPr>
                <w:sz w:val="16"/>
                <w:szCs w:val="16"/>
                <w:color w:val="auto"/>
              </w:rPr>
            </w:pPr>
          </w:p>
        </w:tc>
        <w:tc>
          <w:tcPr>
            <w:tcW w:w="1200" w:type="dxa"/>
            <w:vAlign w:val="bottom"/>
            <w:tcBorders>
              <w:right w:val="single" w:sz="8" w:color="7F7F7F"/>
            </w:tcBorders>
          </w:tcPr>
          <w:p>
            <w:pPr>
              <w:jc w:val="center"/>
              <w:spacing w:after="0"/>
              <w:rPr>
                <w:sz w:val="20"/>
                <w:szCs w:val="20"/>
                <w:color w:val="auto"/>
              </w:rPr>
            </w:pPr>
            <w:r>
              <w:rPr>
                <w:rFonts w:ascii="Arial" w:cs="Arial" w:eastAsia="Arial" w:hAnsi="Arial"/>
                <w:sz w:val="16"/>
                <w:szCs w:val="16"/>
                <w:color w:val="auto"/>
              </w:rPr>
              <w:t>N/A</w:t>
            </w:r>
          </w:p>
        </w:tc>
        <w:tc>
          <w:tcPr>
            <w:tcW w:w="3740" w:type="dxa"/>
            <w:vAlign w:val="bottom"/>
          </w:tcPr>
          <w:p>
            <w:pPr>
              <w:jc w:val="center"/>
              <w:spacing w:after="0"/>
              <w:rPr>
                <w:sz w:val="20"/>
                <w:szCs w:val="20"/>
                <w:color w:val="auto"/>
              </w:rPr>
            </w:pPr>
            <w:r>
              <w:rPr>
                <w:rFonts w:ascii="Arial" w:cs="Arial" w:eastAsia="Arial" w:hAnsi="Arial"/>
                <w:sz w:val="16"/>
                <w:szCs w:val="16"/>
                <w:color w:val="auto"/>
              </w:rPr>
              <w:t>as Executive Committee Chair for</w:t>
            </w:r>
          </w:p>
        </w:tc>
        <w:tc>
          <w:tcPr>
            <w:tcW w:w="0" w:type="dxa"/>
            <w:vAlign w:val="bottom"/>
          </w:tcPr>
          <w:p>
            <w:pPr>
              <w:spacing w:after="0"/>
              <w:rPr>
                <w:sz w:val="1"/>
                <w:szCs w:val="1"/>
                <w:color w:val="auto"/>
              </w:rPr>
            </w:pPr>
          </w:p>
        </w:tc>
      </w:tr>
      <w:tr>
        <w:trPr>
          <w:trHeight w:val="187"/>
        </w:trPr>
        <w:tc>
          <w:tcPr>
            <w:tcW w:w="2100" w:type="dxa"/>
            <w:vAlign w:val="bottom"/>
            <w:tcBorders>
              <w:left w:val="single" w:sz="8" w:color="7F7F7F"/>
              <w:right w:val="single" w:sz="8" w:color="7F7F7F"/>
            </w:tcBorders>
          </w:tcPr>
          <w:p>
            <w:pPr>
              <w:spacing w:after="0"/>
              <w:rPr>
                <w:sz w:val="16"/>
                <w:szCs w:val="16"/>
                <w:color w:val="auto"/>
              </w:rPr>
            </w:pPr>
          </w:p>
        </w:tc>
        <w:tc>
          <w:tcPr>
            <w:tcW w:w="158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Executive</w:t>
            </w:r>
          </w:p>
        </w:tc>
        <w:tc>
          <w:tcPr>
            <w:tcW w:w="1300" w:type="dxa"/>
            <w:vAlign w:val="bottom"/>
            <w:tcBorders>
              <w:bottom w:val="single" w:sz="8" w:color="7F7F7F"/>
              <w:right w:val="single" w:sz="8" w:color="7F7F7F"/>
            </w:tcBorders>
          </w:tcPr>
          <w:p>
            <w:pPr>
              <w:spacing w:after="0"/>
              <w:rPr>
                <w:sz w:val="16"/>
                <w:szCs w:val="16"/>
                <w:color w:val="auto"/>
              </w:rPr>
            </w:pPr>
          </w:p>
        </w:tc>
        <w:tc>
          <w:tcPr>
            <w:tcW w:w="1200" w:type="dxa"/>
            <w:vAlign w:val="bottom"/>
            <w:tcBorders>
              <w:bottom w:val="single" w:sz="8" w:color="7F7F7F"/>
              <w:right w:val="single" w:sz="8" w:color="7F7F7F"/>
            </w:tcBorders>
          </w:tcPr>
          <w:p>
            <w:pPr>
              <w:spacing w:after="0"/>
              <w:rPr>
                <w:sz w:val="16"/>
                <w:szCs w:val="16"/>
                <w:color w:val="auto"/>
              </w:rPr>
            </w:pPr>
          </w:p>
        </w:tc>
        <w:tc>
          <w:tcPr>
            <w:tcW w:w="37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no additional fee</w:t>
            </w:r>
          </w:p>
        </w:tc>
        <w:tc>
          <w:tcPr>
            <w:tcW w:w="0" w:type="dxa"/>
            <w:vAlign w:val="bottom"/>
          </w:tcPr>
          <w:p>
            <w:pPr>
              <w:spacing w:after="0"/>
              <w:rPr>
                <w:sz w:val="1"/>
                <w:szCs w:val="1"/>
                <w:color w:val="auto"/>
              </w:rPr>
            </w:pPr>
          </w:p>
        </w:tc>
      </w:tr>
      <w:tr>
        <w:trPr>
          <w:trHeight w:val="198"/>
        </w:trPr>
        <w:tc>
          <w:tcPr>
            <w:tcW w:w="2100" w:type="dxa"/>
            <w:vAlign w:val="bottom"/>
            <w:tcBorders>
              <w:left w:val="single" w:sz="8" w:color="7F7F7F"/>
              <w:right w:val="single" w:sz="8" w:color="7F7F7F"/>
            </w:tcBorders>
          </w:tcPr>
          <w:p>
            <w:pPr>
              <w:spacing w:after="0"/>
              <w:rPr>
                <w:sz w:val="17"/>
                <w:szCs w:val="17"/>
                <w:color w:val="auto"/>
              </w:rPr>
            </w:pPr>
          </w:p>
        </w:tc>
        <w:tc>
          <w:tcPr>
            <w:tcW w:w="158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Committee</w:t>
            </w:r>
          </w:p>
        </w:tc>
        <w:tc>
          <w:tcPr>
            <w:tcW w:w="1300" w:type="dxa"/>
            <w:vAlign w:val="bottom"/>
            <w:tcBorders>
              <w:right w:val="single" w:sz="8" w:color="7F7F7F"/>
            </w:tcBorders>
          </w:tcPr>
          <w:p>
            <w:pPr>
              <w:ind w:left="80"/>
              <w:spacing w:after="0" w:line="198" w:lineRule="exact"/>
              <w:rPr>
                <w:sz w:val="20"/>
                <w:szCs w:val="20"/>
                <w:color w:val="auto"/>
              </w:rPr>
            </w:pPr>
            <w:r>
              <w:rPr>
                <w:rFonts w:ascii="Arial" w:cs="Arial" w:eastAsia="Arial" w:hAnsi="Arial"/>
                <w:sz w:val="18"/>
                <w:szCs w:val="18"/>
                <w:color w:val="auto"/>
              </w:rPr>
              <w:t>Other</w:t>
            </w:r>
          </w:p>
        </w:tc>
        <w:tc>
          <w:tcPr>
            <w:tcW w:w="1200" w:type="dxa"/>
            <w:vAlign w:val="bottom"/>
            <w:tcBorders>
              <w:right w:val="single" w:sz="8" w:color="7F7F7F"/>
            </w:tcBorders>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00" w:type="dxa"/>
            <w:vAlign w:val="bottom"/>
            <w:tcBorders>
              <w:left w:val="single" w:sz="8" w:color="7F7F7F"/>
              <w:right w:val="single" w:sz="8" w:color="7F7F7F"/>
            </w:tcBorders>
          </w:tcPr>
          <w:p>
            <w:pPr>
              <w:spacing w:after="0"/>
              <w:rPr>
                <w:sz w:val="16"/>
                <w:szCs w:val="16"/>
                <w:color w:val="auto"/>
              </w:rPr>
            </w:pPr>
          </w:p>
        </w:tc>
        <w:tc>
          <w:tcPr>
            <w:tcW w:w="1580" w:type="dxa"/>
            <w:vAlign w:val="bottom"/>
            <w:tcBorders>
              <w:right w:val="single" w:sz="8" w:color="7F7F7F"/>
            </w:tcBorders>
          </w:tcPr>
          <w:p>
            <w:pPr>
              <w:spacing w:after="0"/>
              <w:rPr>
                <w:sz w:val="16"/>
                <w:szCs w:val="16"/>
                <w:color w:val="auto"/>
              </w:rPr>
            </w:pPr>
          </w:p>
        </w:tc>
        <w:tc>
          <w:tcPr>
            <w:tcW w:w="130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Independent</w:t>
            </w:r>
          </w:p>
        </w:tc>
        <w:tc>
          <w:tcPr>
            <w:tcW w:w="1200" w:type="dxa"/>
            <w:vAlign w:val="bottom"/>
            <w:tcBorders>
              <w:right w:val="single" w:sz="8" w:color="7F7F7F"/>
            </w:tcBorders>
          </w:tcPr>
          <w:p>
            <w:pPr>
              <w:jc w:val="center"/>
              <w:spacing w:after="0"/>
              <w:rPr>
                <w:sz w:val="20"/>
                <w:szCs w:val="20"/>
                <w:color w:val="auto"/>
              </w:rPr>
            </w:pPr>
            <w:r>
              <w:rPr>
                <w:rFonts w:ascii="Arial" w:cs="Arial" w:eastAsia="Arial" w:hAnsi="Arial"/>
                <w:sz w:val="16"/>
                <w:szCs w:val="16"/>
                <w:color w:val="auto"/>
              </w:rPr>
              <w:t>$25,000</w:t>
            </w:r>
          </w:p>
        </w:tc>
        <w:tc>
          <w:tcPr>
            <w:tcW w:w="374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100" w:type="dxa"/>
            <w:vAlign w:val="bottom"/>
            <w:tcBorders>
              <w:left w:val="single" w:sz="8" w:color="7F7F7F"/>
              <w:bottom w:val="single" w:sz="8" w:color="7F7F7F"/>
              <w:right w:val="single" w:sz="8" w:color="7F7F7F"/>
            </w:tcBorders>
          </w:tcPr>
          <w:p>
            <w:pPr>
              <w:spacing w:after="0"/>
              <w:rPr>
                <w:sz w:val="17"/>
                <w:szCs w:val="17"/>
                <w:color w:val="auto"/>
              </w:rPr>
            </w:pPr>
          </w:p>
        </w:tc>
        <w:tc>
          <w:tcPr>
            <w:tcW w:w="1580" w:type="dxa"/>
            <w:vAlign w:val="bottom"/>
            <w:tcBorders>
              <w:bottom w:val="single" w:sz="8" w:color="7F7F7F"/>
              <w:right w:val="single" w:sz="8" w:color="7F7F7F"/>
            </w:tcBorders>
          </w:tcPr>
          <w:p>
            <w:pPr>
              <w:spacing w:after="0"/>
              <w:rPr>
                <w:sz w:val="17"/>
                <w:szCs w:val="17"/>
                <w:color w:val="auto"/>
              </w:rPr>
            </w:pPr>
          </w:p>
        </w:tc>
        <w:tc>
          <w:tcPr>
            <w:tcW w:w="1300" w:type="dxa"/>
            <w:vAlign w:val="bottom"/>
            <w:tcBorders>
              <w:bottom w:val="single" w:sz="8" w:color="7F7F7F"/>
              <w:right w:val="single" w:sz="8" w:color="7F7F7F"/>
            </w:tcBorders>
          </w:tcPr>
          <w:p>
            <w:pPr>
              <w:ind w:left="80"/>
              <w:spacing w:after="0"/>
              <w:rPr>
                <w:sz w:val="20"/>
                <w:szCs w:val="20"/>
                <w:color w:val="auto"/>
              </w:rPr>
            </w:pPr>
            <w:r>
              <w:rPr>
                <w:rFonts w:ascii="Arial" w:cs="Arial" w:eastAsia="Arial" w:hAnsi="Arial"/>
                <w:sz w:val="16"/>
                <w:szCs w:val="16"/>
                <w:color w:val="auto"/>
              </w:rPr>
              <w:t>Members</w:t>
            </w:r>
          </w:p>
        </w:tc>
        <w:tc>
          <w:tcPr>
            <w:tcW w:w="1200" w:type="dxa"/>
            <w:vAlign w:val="bottom"/>
            <w:tcBorders>
              <w:bottom w:val="single" w:sz="8" w:color="7F7F7F"/>
              <w:right w:val="single" w:sz="8" w:color="7F7F7F"/>
            </w:tcBorders>
          </w:tcPr>
          <w:p>
            <w:pPr>
              <w:spacing w:after="0"/>
              <w:rPr>
                <w:sz w:val="17"/>
                <w:szCs w:val="17"/>
                <w:color w:val="auto"/>
              </w:rPr>
            </w:pPr>
          </w:p>
        </w:tc>
        <w:tc>
          <w:tcPr>
            <w:tcW w:w="374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960" w:right="340" w:hanging="291"/>
        <w:spacing w:after="0" w:line="258" w:lineRule="auto"/>
        <w:tabs>
          <w:tab w:leader="none" w:pos="9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December 2019, the Compensation Committee recommended, and the Board of Directors approved, effective for fiscal 2021, an increase to the cash portion of the independent directors’ annual retainer to $65,000.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266065</wp:posOffset>
            </wp:positionV>
            <wp:extent cx="291465" cy="274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205740</wp:posOffset>
            </wp:positionV>
            <wp:extent cx="202311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023110" cy="137160"/>
                    </a:xfrm>
                    <a:prstGeom prst="rect">
                      <a:avLst/>
                    </a:prstGeom>
                    <a:noFill/>
                  </pic:spPr>
                </pic:pic>
              </a:graphicData>
            </a:graphic>
          </wp:anchor>
        </w:drawing>
      </w:r>
    </w:p>
    <w:p>
      <w:pPr>
        <w:spacing w:after="0" w:line="331"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XECUTIVE</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C</w:t>
      </w:r>
      <w:r>
        <w:rPr>
          <w:rFonts w:ascii="Arial" w:cs="Arial" w:eastAsia="Arial" w:hAnsi="Arial"/>
          <w:sz w:val="11"/>
          <w:szCs w:val="11"/>
          <w:b w:val="1"/>
          <w:bCs w:val="1"/>
          <w:color w:val="000000"/>
        </w:rPr>
        <w:t>OMPENSATION</w:t>
      </w:r>
    </w:p>
    <w:p>
      <w:pPr>
        <w:spacing w:after="0" w:line="200" w:lineRule="exact"/>
        <w:rPr>
          <w:sz w:val="20"/>
          <w:szCs w:val="20"/>
          <w:color w:val="auto"/>
        </w:rPr>
      </w:pPr>
    </w:p>
    <w:p>
      <w:pPr>
        <w:spacing w:after="0" w:line="248" w:lineRule="exact"/>
        <w:rPr>
          <w:sz w:val="20"/>
          <w:szCs w:val="20"/>
          <w:color w:val="auto"/>
        </w:rPr>
      </w:pPr>
    </w:p>
    <w:p>
      <w:pPr>
        <w:ind w:left="660" w:right="300"/>
        <w:spacing w:after="0" w:line="260" w:lineRule="auto"/>
        <w:rPr>
          <w:sz w:val="20"/>
          <w:szCs w:val="20"/>
          <w:color w:val="auto"/>
        </w:rPr>
      </w:pPr>
      <w:r>
        <w:rPr>
          <w:rFonts w:ascii="Arial" w:cs="Arial" w:eastAsia="Arial" w:hAnsi="Arial"/>
          <w:sz w:val="16"/>
          <w:szCs w:val="16"/>
          <w:color w:val="auto"/>
        </w:rPr>
        <w:t>Each non-employee director may make an election to receive up to 100% of annual retainer and committee fees in shares of restricted stock. For fiscal 2020, Messrs. Hernandez and Viera elected to receive 100% of these fees in restricted stock.</w:t>
      </w:r>
    </w:p>
    <w:p>
      <w:pPr>
        <w:spacing w:after="0" w:line="195" w:lineRule="exact"/>
        <w:rPr>
          <w:sz w:val="20"/>
          <w:szCs w:val="20"/>
          <w:color w:val="auto"/>
        </w:rPr>
      </w:pPr>
    </w:p>
    <w:p>
      <w:pPr>
        <w:ind w:left="660" w:right="80"/>
        <w:spacing w:after="0" w:line="249" w:lineRule="auto"/>
        <w:rPr>
          <w:sz w:val="20"/>
          <w:szCs w:val="20"/>
          <w:color w:val="auto"/>
        </w:rPr>
      </w:pPr>
      <w:r>
        <w:rPr>
          <w:rFonts w:ascii="Arial" w:cs="Arial" w:eastAsia="Arial" w:hAnsi="Arial"/>
          <w:sz w:val="16"/>
          <w:szCs w:val="16"/>
          <w:color w:val="auto"/>
        </w:rPr>
        <w:t>The restricted stock portion of the annual retainer is granted in four equal quarterly installments and vest on the first anniversary of the grant date (discussed below). Grants of restricted stock are generally made on the fifth trading day following the filing of the Company’s Annual Report on Form 10-K or Quarterly Report on Form 10-Q, as applicable. The number of shares of restricted stock granted is determined by dividing the dollar value of the restricted stock to be delivered by the average of the closing prices of our common stock on the ten trading days prior to the fifth trading day following the filing of the Company’s Annual Report on Form 10-K or Quarterly Report on Form 10-Q, as applicable.</w:t>
      </w:r>
    </w:p>
    <w:p>
      <w:pPr>
        <w:spacing w:after="0" w:line="205" w:lineRule="exact"/>
        <w:rPr>
          <w:sz w:val="20"/>
          <w:szCs w:val="20"/>
          <w:color w:val="auto"/>
        </w:rPr>
      </w:pPr>
    </w:p>
    <w:p>
      <w:pPr>
        <w:ind w:left="660" w:right="20"/>
        <w:spacing w:after="0" w:line="249" w:lineRule="auto"/>
        <w:rPr>
          <w:sz w:val="20"/>
          <w:szCs w:val="20"/>
          <w:color w:val="auto"/>
        </w:rPr>
      </w:pPr>
      <w:r>
        <w:rPr>
          <w:rFonts w:ascii="Arial" w:cs="Arial" w:eastAsia="Arial" w:hAnsi="Arial"/>
          <w:sz w:val="16"/>
          <w:szCs w:val="16"/>
          <w:color w:val="auto"/>
        </w:rPr>
        <w:t>Under the Take-Two Interactive Software, Inc. 2017 Stock Incentive Plan, the maximum value of awards granted to non-employee directors in any one calendar year, together with any cash fees paid to such directors during such calendar year in respect of such director’s service as a member of the Board of Directors during such year, may not, absent extraordinary circumstances, exceed $750,000 in total value. As determined by the Compensation Committee in its discretion, this limit may be increased for a non-executive chair of the Board of Directors or, in extraordinary circumstances, for other individual non-employee directors; provided that the non-employee director receiving such additional compensation may not participate in the decision to award such compensation.</w:t>
      </w:r>
    </w:p>
    <w:p>
      <w:pPr>
        <w:spacing w:after="0" w:line="189" w:lineRule="exact"/>
        <w:rPr>
          <w:sz w:val="20"/>
          <w:szCs w:val="20"/>
          <w:color w:val="auto"/>
        </w:rPr>
      </w:pPr>
    </w:p>
    <w:p>
      <w:pPr>
        <w:ind w:left="660" w:right="560"/>
        <w:spacing w:after="0" w:line="281" w:lineRule="auto"/>
        <w:rPr>
          <w:sz w:val="20"/>
          <w:szCs w:val="20"/>
          <w:color w:val="auto"/>
        </w:rPr>
      </w:pPr>
      <w:r>
        <w:rPr>
          <w:rFonts w:ascii="Arial" w:cs="Arial" w:eastAsia="Arial" w:hAnsi="Arial"/>
          <w:sz w:val="16"/>
          <w:szCs w:val="16"/>
          <w:i w:val="1"/>
          <w:iCs w:val="1"/>
          <w:u w:val="single" w:color="auto"/>
          <w:color w:val="auto"/>
        </w:rPr>
        <w:t>Reimbursement of Certain Expenses</w:t>
      </w:r>
      <w:r>
        <w:rPr>
          <w:rFonts w:ascii="Arial" w:cs="Arial" w:eastAsia="Arial" w:hAnsi="Arial"/>
          <w:sz w:val="16"/>
          <w:szCs w:val="16"/>
          <w:color w:val="auto"/>
        </w:rPr>
        <w:t>. Non-employee directors are reimbursed for travel expenses to attend Board of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meetings and to attend director education seminars in accordance with policies approved from time to time.</w:t>
      </w:r>
    </w:p>
    <w:p>
      <w:pPr>
        <w:spacing w:after="0" w:line="163" w:lineRule="exact"/>
        <w:rPr>
          <w:sz w:val="20"/>
          <w:szCs w:val="20"/>
          <w:color w:val="auto"/>
        </w:rPr>
      </w:pPr>
    </w:p>
    <w:p>
      <w:pPr>
        <w:ind w:left="660" w:right="40"/>
        <w:spacing w:after="0" w:line="252" w:lineRule="auto"/>
        <w:rPr>
          <w:sz w:val="20"/>
          <w:szCs w:val="20"/>
          <w:color w:val="auto"/>
        </w:rPr>
      </w:pPr>
      <w:r>
        <w:rPr>
          <w:rFonts w:ascii="Arial" w:cs="Arial" w:eastAsia="Arial" w:hAnsi="Arial"/>
          <w:sz w:val="16"/>
          <w:szCs w:val="16"/>
          <w:i w:val="1"/>
          <w:iCs w:val="1"/>
          <w:u w:val="single" w:color="auto"/>
          <w:color w:val="auto"/>
        </w:rPr>
        <w:t>Director Stock Ownership Requirements</w:t>
      </w:r>
      <w:r>
        <w:rPr>
          <w:rFonts w:ascii="Arial" w:cs="Arial" w:eastAsia="Arial" w:hAnsi="Arial"/>
          <w:sz w:val="16"/>
          <w:szCs w:val="16"/>
          <w:color w:val="auto"/>
        </w:rPr>
        <w:t>. Under the stock ownership requirements for non-employee directors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are required to own shares of common stock having a value equal to five times the annual cash retainer. Current non-employee directors are required to achieve such stock position within five years after the date of the adoption of the requirements and future non-employee directors shall achieve such ownership position within five years after the date of their election to the Board of Directors. Information regarding executive officer stock ownership requirements is set forth in this Proxy Statement under “Compensation Discussion and Analysis.” Each independent director serving on the Board of Directors for more than one year actually owned shares in excess of the requirements as of record date.</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concerning the compensation of the Company’s non-employee directors during fiscal 2020.</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300" w:type="dxa"/>
            <w:vAlign w:val="bottom"/>
            <w:shd w:val="clear" w:color="auto" w:fill="005CB9"/>
          </w:tcPr>
          <w:p>
            <w:pPr>
              <w:spacing w:after="0"/>
              <w:rPr>
                <w:sz w:val="14"/>
                <w:szCs w:val="14"/>
                <w:color w:val="auto"/>
              </w:rPr>
            </w:pPr>
          </w:p>
        </w:tc>
        <w:tc>
          <w:tcPr>
            <w:tcW w:w="3800" w:type="dxa"/>
            <w:vAlign w:val="bottom"/>
            <w:shd w:val="clear" w:color="auto" w:fill="005CB9"/>
          </w:tcPr>
          <w:p>
            <w:pPr>
              <w:jc w:val="center"/>
              <w:ind w:left="2481"/>
              <w:spacing w:after="0"/>
              <w:rPr>
                <w:sz w:val="20"/>
                <w:szCs w:val="20"/>
                <w:color w:val="auto"/>
              </w:rPr>
            </w:pPr>
            <w:r>
              <w:rPr>
                <w:rFonts w:ascii="Arial" w:cs="Arial" w:eastAsia="Arial" w:hAnsi="Arial"/>
                <w:sz w:val="14"/>
                <w:szCs w:val="14"/>
                <w:b w:val="1"/>
                <w:bCs w:val="1"/>
                <w:color w:val="FFFFFF"/>
              </w:rPr>
              <w:t>Fees Earned or</w:t>
            </w:r>
          </w:p>
        </w:tc>
        <w:tc>
          <w:tcPr>
            <w:tcW w:w="880" w:type="dxa"/>
            <w:vAlign w:val="bottom"/>
            <w:shd w:val="clear" w:color="auto" w:fill="005CB9"/>
          </w:tcPr>
          <w:p>
            <w:pPr>
              <w:jc w:val="center"/>
              <w:ind w:right="61"/>
              <w:spacing w:after="0"/>
              <w:rPr>
                <w:sz w:val="20"/>
                <w:szCs w:val="20"/>
                <w:color w:val="auto"/>
              </w:rPr>
            </w:pPr>
            <w:r>
              <w:rPr>
                <w:rFonts w:ascii="Arial" w:cs="Arial" w:eastAsia="Arial" w:hAnsi="Arial"/>
                <w:sz w:val="14"/>
                <w:szCs w:val="14"/>
                <w:b w:val="1"/>
                <w:bCs w:val="1"/>
                <w:color w:val="FFFFFF"/>
                <w:w w:val="99"/>
              </w:rPr>
              <w:t>Stock</w:t>
            </w:r>
          </w:p>
        </w:tc>
        <w:tc>
          <w:tcPr>
            <w:tcW w:w="940" w:type="dxa"/>
            <w:vAlign w:val="bottom"/>
            <w:shd w:val="clear" w:color="auto" w:fill="005CB9"/>
          </w:tcPr>
          <w:p>
            <w:pPr>
              <w:spacing w:after="0"/>
              <w:rPr>
                <w:sz w:val="14"/>
                <w:szCs w:val="14"/>
                <w:color w:val="auto"/>
              </w:rPr>
            </w:pPr>
          </w:p>
        </w:tc>
      </w:tr>
      <w:tr>
        <w:trPr>
          <w:trHeight w:val="162"/>
        </w:trPr>
        <w:tc>
          <w:tcPr>
            <w:tcW w:w="4300" w:type="dxa"/>
            <w:vAlign w:val="bottom"/>
            <w:shd w:val="clear" w:color="auto" w:fill="005CB9"/>
          </w:tcPr>
          <w:p>
            <w:pPr>
              <w:spacing w:after="0"/>
              <w:rPr>
                <w:sz w:val="14"/>
                <w:szCs w:val="14"/>
                <w:color w:val="auto"/>
              </w:rPr>
            </w:pPr>
          </w:p>
        </w:tc>
        <w:tc>
          <w:tcPr>
            <w:tcW w:w="3800" w:type="dxa"/>
            <w:vAlign w:val="bottom"/>
            <w:shd w:val="clear" w:color="auto" w:fill="005CB9"/>
          </w:tcPr>
          <w:p>
            <w:pPr>
              <w:jc w:val="center"/>
              <w:ind w:left="2481"/>
              <w:spacing w:after="0"/>
              <w:rPr>
                <w:sz w:val="20"/>
                <w:szCs w:val="20"/>
                <w:color w:val="auto"/>
              </w:rPr>
            </w:pPr>
            <w:r>
              <w:rPr>
                <w:rFonts w:ascii="Arial" w:cs="Arial" w:eastAsia="Arial" w:hAnsi="Arial"/>
                <w:sz w:val="14"/>
                <w:szCs w:val="14"/>
                <w:b w:val="1"/>
                <w:bCs w:val="1"/>
                <w:color w:val="FFFFFF"/>
              </w:rPr>
              <w:t>Paid in Cash</w:t>
            </w:r>
          </w:p>
        </w:tc>
        <w:tc>
          <w:tcPr>
            <w:tcW w:w="880" w:type="dxa"/>
            <w:vAlign w:val="bottom"/>
            <w:shd w:val="clear" w:color="auto" w:fill="005CB9"/>
          </w:tcPr>
          <w:p>
            <w:pPr>
              <w:jc w:val="center"/>
              <w:ind w:right="41"/>
              <w:spacing w:after="0"/>
              <w:rPr>
                <w:sz w:val="20"/>
                <w:szCs w:val="20"/>
                <w:color w:val="auto"/>
              </w:rPr>
            </w:pPr>
            <w:r>
              <w:rPr>
                <w:rFonts w:ascii="Arial" w:cs="Arial" w:eastAsia="Arial" w:hAnsi="Arial"/>
                <w:sz w:val="14"/>
                <w:szCs w:val="14"/>
                <w:b w:val="1"/>
                <w:bCs w:val="1"/>
                <w:color w:val="FFFFFF"/>
              </w:rPr>
              <w:t>Awards</w:t>
            </w:r>
          </w:p>
        </w:tc>
        <w:tc>
          <w:tcPr>
            <w:tcW w:w="940" w:type="dxa"/>
            <w:vAlign w:val="bottom"/>
            <w:shd w:val="clear" w:color="auto" w:fill="005CB9"/>
          </w:tcPr>
          <w:p>
            <w:pPr>
              <w:jc w:val="right"/>
              <w:ind w:right="261"/>
              <w:spacing w:after="0"/>
              <w:rPr>
                <w:sz w:val="20"/>
                <w:szCs w:val="20"/>
                <w:color w:val="auto"/>
              </w:rPr>
            </w:pPr>
            <w:r>
              <w:rPr>
                <w:rFonts w:ascii="Arial" w:cs="Arial" w:eastAsia="Arial" w:hAnsi="Arial"/>
                <w:sz w:val="14"/>
                <w:szCs w:val="14"/>
                <w:b w:val="1"/>
                <w:bCs w:val="1"/>
                <w:color w:val="FFFFFF"/>
              </w:rPr>
              <w:t>Total</w:t>
            </w:r>
          </w:p>
        </w:tc>
      </w:tr>
      <w:tr>
        <w:trPr>
          <w:trHeight w:val="236"/>
        </w:trPr>
        <w:tc>
          <w:tcPr>
            <w:tcW w:w="430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Name</w:t>
            </w:r>
          </w:p>
        </w:tc>
        <w:tc>
          <w:tcPr>
            <w:tcW w:w="3800" w:type="dxa"/>
            <w:vAlign w:val="bottom"/>
            <w:tcBorders>
              <w:bottom w:val="single" w:sz="8" w:color="005CB9"/>
            </w:tcBorders>
            <w:shd w:val="clear" w:color="auto" w:fill="005CB9"/>
          </w:tcPr>
          <w:p>
            <w:pPr>
              <w:jc w:val="center"/>
              <w:ind w:left="2481"/>
              <w:spacing w:after="0"/>
              <w:rPr>
                <w:sz w:val="20"/>
                <w:szCs w:val="20"/>
                <w:color w:val="auto"/>
              </w:rPr>
            </w:pPr>
            <w:r>
              <w:rPr>
                <w:rFonts w:ascii="Arial" w:cs="Arial" w:eastAsia="Arial" w:hAnsi="Arial"/>
                <w:sz w:val="14"/>
                <w:szCs w:val="14"/>
                <w:b w:val="1"/>
                <w:bCs w:val="1"/>
                <w:color w:val="FFFFFF"/>
                <w:w w:val="93"/>
              </w:rPr>
              <w:t>($)</w:t>
            </w:r>
          </w:p>
        </w:tc>
        <w:tc>
          <w:tcPr>
            <w:tcW w:w="880" w:type="dxa"/>
            <w:vAlign w:val="bottom"/>
            <w:tcBorders>
              <w:bottom w:val="single" w:sz="8" w:color="005CB9"/>
            </w:tcBorders>
            <w:shd w:val="clear" w:color="auto" w:fill="005CB9"/>
          </w:tcPr>
          <w:p>
            <w:pPr>
              <w:jc w:val="center"/>
              <w:ind w:right="61"/>
              <w:spacing w:after="0"/>
              <w:rPr>
                <w:sz w:val="20"/>
                <w:szCs w:val="20"/>
                <w:color w:val="auto"/>
              </w:rPr>
            </w:pPr>
            <w:r>
              <w:rPr>
                <w:rFonts w:ascii="Arial" w:cs="Arial" w:eastAsia="Arial" w:hAnsi="Arial"/>
                <w:sz w:val="14"/>
                <w:szCs w:val="14"/>
                <w:b w:val="1"/>
                <w:bCs w:val="1"/>
                <w:color w:val="FFFFFF"/>
                <w:w w:val="99"/>
              </w:rPr>
              <w:t>($)(1)</w:t>
            </w:r>
          </w:p>
        </w:tc>
        <w:tc>
          <w:tcPr>
            <w:tcW w:w="940" w:type="dxa"/>
            <w:vAlign w:val="bottom"/>
            <w:tcBorders>
              <w:bottom w:val="single" w:sz="8" w:color="005CB9"/>
            </w:tcBorders>
            <w:shd w:val="clear" w:color="auto" w:fill="005CB9"/>
          </w:tcPr>
          <w:p>
            <w:pPr>
              <w:jc w:val="right"/>
              <w:ind w:right="341"/>
              <w:spacing w:after="0"/>
              <w:rPr>
                <w:sz w:val="20"/>
                <w:szCs w:val="20"/>
                <w:color w:val="auto"/>
              </w:rPr>
            </w:pPr>
            <w:r>
              <w:rPr>
                <w:rFonts w:ascii="Arial" w:cs="Arial" w:eastAsia="Arial" w:hAnsi="Arial"/>
                <w:sz w:val="14"/>
                <w:szCs w:val="14"/>
                <w:b w:val="1"/>
                <w:bCs w:val="1"/>
                <w:color w:val="FFFFFF"/>
              </w:rPr>
              <w:t>($)</w:t>
            </w:r>
          </w:p>
        </w:tc>
      </w:tr>
      <w:tr>
        <w:trPr>
          <w:trHeight w:val="250"/>
        </w:trPr>
        <w:tc>
          <w:tcPr>
            <w:tcW w:w="43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6"/>
                <w:szCs w:val="16"/>
                <w:color w:val="auto"/>
              </w:rPr>
              <w:t>Michael Dornemann</w:t>
            </w:r>
          </w:p>
        </w:tc>
        <w:tc>
          <w:tcPr>
            <w:tcW w:w="3800" w:type="dxa"/>
            <w:vAlign w:val="bottom"/>
            <w:tcBorders>
              <w:bottom w:val="single" w:sz="8" w:color="EAEAEA"/>
            </w:tcBorders>
            <w:shd w:val="clear" w:color="auto" w:fill="EAEAEA"/>
          </w:tcPr>
          <w:p>
            <w:pPr>
              <w:jc w:val="right"/>
              <w:ind w:right="21"/>
              <w:spacing w:after="0"/>
              <w:rPr>
                <w:sz w:val="20"/>
                <w:szCs w:val="20"/>
                <w:color w:val="auto"/>
              </w:rPr>
            </w:pPr>
            <w:r>
              <w:rPr>
                <w:rFonts w:ascii="Arial" w:cs="Arial" w:eastAsia="Arial" w:hAnsi="Arial"/>
                <w:sz w:val="16"/>
                <w:szCs w:val="16"/>
                <w:color w:val="auto"/>
              </w:rPr>
              <w:t>205,000</w:t>
            </w:r>
          </w:p>
        </w:tc>
        <w:tc>
          <w:tcPr>
            <w:tcW w:w="880" w:type="dxa"/>
            <w:vAlign w:val="bottom"/>
            <w:tcBorders>
              <w:bottom w:val="single" w:sz="8" w:color="EAEAEA"/>
            </w:tcBorders>
            <w:shd w:val="clear" w:color="auto" w:fill="EAEAEA"/>
          </w:tcPr>
          <w:p>
            <w:pPr>
              <w:jc w:val="right"/>
              <w:ind w:right="101"/>
              <w:spacing w:after="0"/>
              <w:rPr>
                <w:sz w:val="20"/>
                <w:szCs w:val="20"/>
                <w:color w:val="auto"/>
              </w:rPr>
            </w:pPr>
            <w:r>
              <w:rPr>
                <w:rFonts w:ascii="Arial" w:cs="Arial" w:eastAsia="Arial" w:hAnsi="Arial"/>
                <w:sz w:val="16"/>
                <w:szCs w:val="16"/>
                <w:color w:val="auto"/>
              </w:rPr>
              <w:t>316,865</w:t>
            </w:r>
          </w:p>
        </w:tc>
        <w:tc>
          <w:tcPr>
            <w:tcW w:w="940" w:type="dxa"/>
            <w:vAlign w:val="bottom"/>
            <w:tcBorders>
              <w:bottom w:val="single" w:sz="8" w:color="EAEAEA"/>
            </w:tcBorders>
            <w:shd w:val="clear" w:color="auto" w:fill="EAEAEA"/>
          </w:tcPr>
          <w:p>
            <w:pPr>
              <w:jc w:val="right"/>
              <w:ind w:right="121"/>
              <w:spacing w:after="0"/>
              <w:rPr>
                <w:sz w:val="20"/>
                <w:szCs w:val="20"/>
                <w:color w:val="auto"/>
              </w:rPr>
            </w:pPr>
            <w:r>
              <w:rPr>
                <w:rFonts w:ascii="Arial" w:cs="Arial" w:eastAsia="Arial" w:hAnsi="Arial"/>
                <w:sz w:val="16"/>
                <w:szCs w:val="16"/>
                <w:color w:val="auto"/>
              </w:rPr>
              <w:t>521,865</w:t>
            </w:r>
          </w:p>
        </w:tc>
      </w:tr>
      <w:tr>
        <w:trPr>
          <w:trHeight w:val="237"/>
        </w:trPr>
        <w:tc>
          <w:tcPr>
            <w:tcW w:w="4300" w:type="dxa"/>
            <w:vAlign w:val="bottom"/>
          </w:tcPr>
          <w:p>
            <w:pPr>
              <w:ind w:left="80"/>
              <w:spacing w:after="0"/>
              <w:rPr>
                <w:sz w:val="20"/>
                <w:szCs w:val="20"/>
                <w:color w:val="auto"/>
              </w:rPr>
            </w:pPr>
            <w:r>
              <w:rPr>
                <w:rFonts w:ascii="Arial" w:cs="Arial" w:eastAsia="Arial" w:hAnsi="Arial"/>
                <w:sz w:val="16"/>
                <w:szCs w:val="16"/>
                <w:color w:val="auto"/>
              </w:rPr>
              <w:t>Roland Hernandez(2)</w:t>
            </w:r>
          </w:p>
        </w:tc>
        <w:tc>
          <w:tcPr>
            <w:tcW w:w="3800" w:type="dxa"/>
            <w:vAlign w:val="bottom"/>
          </w:tcPr>
          <w:p>
            <w:pPr>
              <w:jc w:val="right"/>
              <w:ind w:right="21"/>
              <w:spacing w:after="0"/>
              <w:rPr>
                <w:sz w:val="20"/>
                <w:szCs w:val="20"/>
                <w:color w:val="auto"/>
              </w:rPr>
            </w:pPr>
            <w:r>
              <w:rPr>
                <w:rFonts w:ascii="Arial" w:cs="Arial" w:eastAsia="Arial" w:hAnsi="Arial"/>
                <w:sz w:val="16"/>
                <w:szCs w:val="16"/>
                <w:color w:val="auto"/>
              </w:rPr>
              <w:t>40,149</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115,409</w:t>
            </w: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155,558</w:t>
            </w:r>
          </w:p>
        </w:tc>
      </w:tr>
      <w:tr>
        <w:trPr>
          <w:trHeight w:val="33"/>
        </w:trPr>
        <w:tc>
          <w:tcPr>
            <w:tcW w:w="4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6"/>
                <w:szCs w:val="16"/>
                <w:color w:val="auto"/>
              </w:rPr>
              <w:t>J Moses</w:t>
            </w:r>
          </w:p>
        </w:tc>
        <w:tc>
          <w:tcPr>
            <w:tcW w:w="3800" w:type="dxa"/>
            <w:vAlign w:val="bottom"/>
            <w:tcBorders>
              <w:bottom w:val="single" w:sz="8" w:color="EAEAEA"/>
            </w:tcBorders>
            <w:shd w:val="clear" w:color="auto" w:fill="EAEAEA"/>
          </w:tcPr>
          <w:p>
            <w:pPr>
              <w:jc w:val="right"/>
              <w:ind w:right="21"/>
              <w:spacing w:after="0"/>
              <w:rPr>
                <w:sz w:val="20"/>
                <w:szCs w:val="20"/>
                <w:color w:val="auto"/>
              </w:rPr>
            </w:pPr>
            <w:r>
              <w:rPr>
                <w:rFonts w:ascii="Arial" w:cs="Arial" w:eastAsia="Arial" w:hAnsi="Arial"/>
                <w:sz w:val="16"/>
                <w:szCs w:val="16"/>
                <w:color w:val="auto"/>
              </w:rPr>
              <w:t>115,000</w:t>
            </w:r>
          </w:p>
        </w:tc>
        <w:tc>
          <w:tcPr>
            <w:tcW w:w="880" w:type="dxa"/>
            <w:vAlign w:val="bottom"/>
            <w:tcBorders>
              <w:bottom w:val="single" w:sz="8" w:color="EAEAEA"/>
            </w:tcBorders>
            <w:shd w:val="clear" w:color="auto" w:fill="EAEAEA"/>
          </w:tcPr>
          <w:p>
            <w:pPr>
              <w:jc w:val="right"/>
              <w:ind w:right="101"/>
              <w:spacing w:after="0"/>
              <w:rPr>
                <w:sz w:val="20"/>
                <w:szCs w:val="20"/>
                <w:color w:val="auto"/>
              </w:rPr>
            </w:pPr>
            <w:r>
              <w:rPr>
                <w:rFonts w:ascii="Arial" w:cs="Arial" w:eastAsia="Arial" w:hAnsi="Arial"/>
                <w:sz w:val="16"/>
                <w:szCs w:val="16"/>
                <w:color w:val="auto"/>
              </w:rPr>
              <w:t>216,295</w:t>
            </w:r>
          </w:p>
        </w:tc>
        <w:tc>
          <w:tcPr>
            <w:tcW w:w="940" w:type="dxa"/>
            <w:vAlign w:val="bottom"/>
            <w:tcBorders>
              <w:bottom w:val="single" w:sz="8" w:color="EAEAEA"/>
            </w:tcBorders>
            <w:shd w:val="clear" w:color="auto" w:fill="EAEAEA"/>
          </w:tcPr>
          <w:p>
            <w:pPr>
              <w:jc w:val="right"/>
              <w:ind w:right="121"/>
              <w:spacing w:after="0"/>
              <w:rPr>
                <w:sz w:val="20"/>
                <w:szCs w:val="20"/>
                <w:color w:val="auto"/>
              </w:rPr>
            </w:pPr>
            <w:r>
              <w:rPr>
                <w:rFonts w:ascii="Arial" w:cs="Arial" w:eastAsia="Arial" w:hAnsi="Arial"/>
                <w:sz w:val="16"/>
                <w:szCs w:val="16"/>
                <w:color w:val="auto"/>
              </w:rPr>
              <w:t>331,295</w:t>
            </w:r>
          </w:p>
        </w:tc>
      </w:tr>
      <w:tr>
        <w:trPr>
          <w:trHeight w:val="237"/>
        </w:trPr>
        <w:tc>
          <w:tcPr>
            <w:tcW w:w="4300" w:type="dxa"/>
            <w:vAlign w:val="bottom"/>
          </w:tcPr>
          <w:p>
            <w:pPr>
              <w:ind w:left="80"/>
              <w:spacing w:after="0"/>
              <w:rPr>
                <w:sz w:val="20"/>
                <w:szCs w:val="20"/>
                <w:color w:val="auto"/>
              </w:rPr>
            </w:pPr>
            <w:r>
              <w:rPr>
                <w:rFonts w:ascii="Arial" w:cs="Arial" w:eastAsia="Arial" w:hAnsi="Arial"/>
                <w:sz w:val="16"/>
                <w:szCs w:val="16"/>
                <w:color w:val="auto"/>
              </w:rPr>
              <w:t>Michael Sheresky</w:t>
            </w:r>
          </w:p>
        </w:tc>
        <w:tc>
          <w:tcPr>
            <w:tcW w:w="3800" w:type="dxa"/>
            <w:vAlign w:val="bottom"/>
          </w:tcPr>
          <w:p>
            <w:pPr>
              <w:jc w:val="right"/>
              <w:ind w:right="21"/>
              <w:spacing w:after="0"/>
              <w:rPr>
                <w:sz w:val="20"/>
                <w:szCs w:val="20"/>
                <w:color w:val="auto"/>
              </w:rPr>
            </w:pPr>
            <w:r>
              <w:rPr>
                <w:rFonts w:ascii="Arial" w:cs="Arial" w:eastAsia="Arial" w:hAnsi="Arial"/>
                <w:sz w:val="16"/>
                <w:szCs w:val="16"/>
                <w:color w:val="auto"/>
              </w:rPr>
              <w:t>125,000</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216,295</w:t>
            </w: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341,295</w:t>
            </w:r>
          </w:p>
        </w:tc>
      </w:tr>
      <w:tr>
        <w:trPr>
          <w:trHeight w:val="33"/>
        </w:trPr>
        <w:tc>
          <w:tcPr>
            <w:tcW w:w="4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6"/>
                <w:szCs w:val="16"/>
                <w:color w:val="auto"/>
              </w:rPr>
              <w:t>LaVerne Srinivasan</w:t>
            </w:r>
          </w:p>
        </w:tc>
        <w:tc>
          <w:tcPr>
            <w:tcW w:w="3800" w:type="dxa"/>
            <w:vAlign w:val="bottom"/>
            <w:tcBorders>
              <w:bottom w:val="single" w:sz="8" w:color="EAEAEA"/>
            </w:tcBorders>
            <w:shd w:val="clear" w:color="auto" w:fill="EAEAEA"/>
          </w:tcPr>
          <w:p>
            <w:pPr>
              <w:jc w:val="right"/>
              <w:ind w:right="21"/>
              <w:spacing w:after="0"/>
              <w:rPr>
                <w:sz w:val="20"/>
                <w:szCs w:val="20"/>
                <w:color w:val="auto"/>
              </w:rPr>
            </w:pPr>
            <w:r>
              <w:rPr>
                <w:rFonts w:ascii="Arial" w:cs="Arial" w:eastAsia="Arial" w:hAnsi="Arial"/>
                <w:sz w:val="16"/>
                <w:szCs w:val="16"/>
                <w:color w:val="auto"/>
              </w:rPr>
              <w:t>70,000</w:t>
            </w:r>
          </w:p>
        </w:tc>
        <w:tc>
          <w:tcPr>
            <w:tcW w:w="880" w:type="dxa"/>
            <w:vAlign w:val="bottom"/>
            <w:tcBorders>
              <w:bottom w:val="single" w:sz="8" w:color="EAEAEA"/>
            </w:tcBorders>
            <w:shd w:val="clear" w:color="auto" w:fill="EAEAEA"/>
          </w:tcPr>
          <w:p>
            <w:pPr>
              <w:jc w:val="right"/>
              <w:ind w:right="101"/>
              <w:spacing w:after="0"/>
              <w:rPr>
                <w:sz w:val="20"/>
                <w:szCs w:val="20"/>
                <w:color w:val="auto"/>
              </w:rPr>
            </w:pPr>
            <w:r>
              <w:rPr>
                <w:rFonts w:ascii="Arial" w:cs="Arial" w:eastAsia="Arial" w:hAnsi="Arial"/>
                <w:sz w:val="16"/>
                <w:szCs w:val="16"/>
                <w:color w:val="auto"/>
              </w:rPr>
              <w:t>216,295</w:t>
            </w:r>
          </w:p>
        </w:tc>
        <w:tc>
          <w:tcPr>
            <w:tcW w:w="940" w:type="dxa"/>
            <w:vAlign w:val="bottom"/>
            <w:tcBorders>
              <w:bottom w:val="single" w:sz="8" w:color="EAEAEA"/>
            </w:tcBorders>
            <w:shd w:val="clear" w:color="auto" w:fill="EAEAEA"/>
          </w:tcPr>
          <w:p>
            <w:pPr>
              <w:jc w:val="right"/>
              <w:ind w:right="121"/>
              <w:spacing w:after="0"/>
              <w:rPr>
                <w:sz w:val="20"/>
                <w:szCs w:val="20"/>
                <w:color w:val="auto"/>
              </w:rPr>
            </w:pPr>
            <w:r>
              <w:rPr>
                <w:rFonts w:ascii="Arial" w:cs="Arial" w:eastAsia="Arial" w:hAnsi="Arial"/>
                <w:sz w:val="16"/>
                <w:szCs w:val="16"/>
                <w:color w:val="auto"/>
              </w:rPr>
              <w:t>286,295</w:t>
            </w:r>
          </w:p>
        </w:tc>
      </w:tr>
      <w:tr>
        <w:trPr>
          <w:trHeight w:val="237"/>
        </w:trPr>
        <w:tc>
          <w:tcPr>
            <w:tcW w:w="4300" w:type="dxa"/>
            <w:vAlign w:val="bottom"/>
          </w:tcPr>
          <w:p>
            <w:pPr>
              <w:ind w:left="80"/>
              <w:spacing w:after="0"/>
              <w:rPr>
                <w:sz w:val="20"/>
                <w:szCs w:val="20"/>
                <w:color w:val="auto"/>
              </w:rPr>
            </w:pPr>
            <w:r>
              <w:rPr>
                <w:rFonts w:ascii="Arial" w:cs="Arial" w:eastAsia="Arial" w:hAnsi="Arial"/>
                <w:sz w:val="16"/>
                <w:szCs w:val="16"/>
                <w:color w:val="auto"/>
              </w:rPr>
              <w:t>Susan Tolson</w:t>
            </w:r>
          </w:p>
        </w:tc>
        <w:tc>
          <w:tcPr>
            <w:tcW w:w="3800" w:type="dxa"/>
            <w:vAlign w:val="bottom"/>
          </w:tcPr>
          <w:p>
            <w:pPr>
              <w:jc w:val="right"/>
              <w:ind w:right="21"/>
              <w:spacing w:after="0"/>
              <w:rPr>
                <w:sz w:val="20"/>
                <w:szCs w:val="20"/>
                <w:color w:val="auto"/>
              </w:rPr>
            </w:pPr>
            <w:r>
              <w:rPr>
                <w:rFonts w:ascii="Arial" w:cs="Arial" w:eastAsia="Arial" w:hAnsi="Arial"/>
                <w:sz w:val="16"/>
                <w:szCs w:val="16"/>
                <w:color w:val="auto"/>
              </w:rPr>
              <w:t>100,000</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216,295</w:t>
            </w: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316,295</w:t>
            </w:r>
          </w:p>
        </w:tc>
      </w:tr>
      <w:tr>
        <w:trPr>
          <w:trHeight w:val="33"/>
        </w:trPr>
        <w:tc>
          <w:tcPr>
            <w:tcW w:w="4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6"/>
                <w:szCs w:val="16"/>
                <w:color w:val="auto"/>
              </w:rPr>
              <w:t>Paul Viera(3)</w:t>
            </w:r>
          </w:p>
        </w:tc>
        <w:tc>
          <w:tcPr>
            <w:tcW w:w="3800" w:type="dxa"/>
            <w:vAlign w:val="bottom"/>
            <w:tcBorders>
              <w:bottom w:val="single" w:sz="8" w:color="EAEAEA"/>
            </w:tcBorders>
            <w:shd w:val="clear" w:color="auto" w:fill="EAEAEA"/>
          </w:tcPr>
          <w:p>
            <w:pPr>
              <w:jc w:val="right"/>
              <w:ind w:right="21"/>
              <w:spacing w:after="0"/>
              <w:rPr>
                <w:sz w:val="20"/>
                <w:szCs w:val="20"/>
                <w:color w:val="auto"/>
              </w:rPr>
            </w:pPr>
            <w:r>
              <w:rPr>
                <w:rFonts w:ascii="Arial" w:cs="Arial" w:eastAsia="Arial" w:hAnsi="Arial"/>
                <w:sz w:val="16"/>
                <w:szCs w:val="16"/>
                <w:color w:val="auto"/>
              </w:rPr>
              <w:t>80,000</w:t>
            </w:r>
          </w:p>
        </w:tc>
        <w:tc>
          <w:tcPr>
            <w:tcW w:w="880" w:type="dxa"/>
            <w:vAlign w:val="bottom"/>
            <w:tcBorders>
              <w:bottom w:val="single" w:sz="8" w:color="EAEAEA"/>
            </w:tcBorders>
            <w:shd w:val="clear" w:color="auto" w:fill="EAEAEA"/>
          </w:tcPr>
          <w:p>
            <w:pPr>
              <w:jc w:val="right"/>
              <w:ind w:right="101"/>
              <w:spacing w:after="0"/>
              <w:rPr>
                <w:sz w:val="20"/>
                <w:szCs w:val="20"/>
                <w:color w:val="auto"/>
              </w:rPr>
            </w:pPr>
            <w:r>
              <w:rPr>
                <w:rFonts w:ascii="Arial" w:cs="Arial" w:eastAsia="Arial" w:hAnsi="Arial"/>
                <w:sz w:val="16"/>
                <w:szCs w:val="16"/>
                <w:color w:val="auto"/>
              </w:rPr>
              <w:t>216,295</w:t>
            </w:r>
          </w:p>
        </w:tc>
        <w:tc>
          <w:tcPr>
            <w:tcW w:w="940" w:type="dxa"/>
            <w:vAlign w:val="bottom"/>
            <w:tcBorders>
              <w:bottom w:val="single" w:sz="8" w:color="EAEAEA"/>
            </w:tcBorders>
            <w:shd w:val="clear" w:color="auto" w:fill="EAEAEA"/>
          </w:tcPr>
          <w:p>
            <w:pPr>
              <w:jc w:val="right"/>
              <w:ind w:right="121"/>
              <w:spacing w:after="0"/>
              <w:rPr>
                <w:sz w:val="20"/>
                <w:szCs w:val="20"/>
                <w:color w:val="auto"/>
              </w:rPr>
            </w:pPr>
            <w:r>
              <w:rPr>
                <w:rFonts w:ascii="Arial" w:cs="Arial" w:eastAsia="Arial" w:hAnsi="Arial"/>
                <w:sz w:val="16"/>
                <w:szCs w:val="16"/>
                <w:color w:val="auto"/>
              </w:rPr>
              <w:t>296,295</w:t>
            </w:r>
          </w:p>
        </w:tc>
      </w:tr>
      <w:tr>
        <w:trPr>
          <w:trHeight w:val="237"/>
        </w:trPr>
        <w:tc>
          <w:tcPr>
            <w:tcW w:w="4300" w:type="dxa"/>
            <w:vAlign w:val="bottom"/>
          </w:tcPr>
          <w:p>
            <w:pPr>
              <w:ind w:left="80"/>
              <w:spacing w:after="0"/>
              <w:rPr>
                <w:sz w:val="20"/>
                <w:szCs w:val="20"/>
                <w:color w:val="auto"/>
              </w:rPr>
            </w:pPr>
            <w:r>
              <w:rPr>
                <w:rFonts w:ascii="Arial" w:cs="Arial" w:eastAsia="Arial" w:hAnsi="Arial"/>
                <w:sz w:val="16"/>
                <w:szCs w:val="16"/>
                <w:color w:val="auto"/>
              </w:rPr>
              <w:t>Strauss Zelnick</w:t>
            </w:r>
          </w:p>
        </w:tc>
        <w:tc>
          <w:tcPr>
            <w:tcW w:w="3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w:t>
            </w:r>
          </w:p>
        </w:tc>
      </w:tr>
    </w:tbl>
    <w:p>
      <w:pPr>
        <w:spacing w:after="0" w:line="159" w:lineRule="exact"/>
        <w:rPr>
          <w:sz w:val="20"/>
          <w:szCs w:val="20"/>
          <w:color w:val="auto"/>
        </w:rPr>
      </w:pPr>
    </w:p>
    <w:p>
      <w:pPr>
        <w:ind w:left="960" w:right="480" w:hanging="293"/>
        <w:spacing w:after="0" w:line="249" w:lineRule="auto"/>
        <w:tabs>
          <w:tab w:leader="none" w:pos="9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 xml:space="preserve">Represents the aggregate grant date fair value of awards granted to our directors during fiscal 2020, determined under FASB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For additional information with respect to stock awards granted during fiscal 2020, see Note 17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heading “Stock-Based Compensation” of the Notes to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270510</wp:posOffset>
            </wp:positionV>
            <wp:extent cx="291465" cy="274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57</w:t>
            </w:r>
          </w:p>
        </w:tc>
      </w:tr>
    </w:tbl>
    <w:p>
      <w:pPr>
        <w:sectPr>
          <w:pgSz w:w="11900" w:h="16838" w:orient="portrait"/>
          <w:cols w:equalWidth="0" w:num="1">
            <w:col w:w="10580"/>
          </w:cols>
          <w:pgMar w:left="320" w:top="459" w:right="9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96278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962785" cy="128905"/>
                    </a:xfrm>
                    <a:prstGeom prst="rect">
                      <a:avLst/>
                    </a:prstGeom>
                    <a:noFill/>
                  </pic:spPr>
                </pic:pic>
              </a:graphicData>
            </a:graphic>
          </wp:anchor>
        </w:drawing>
      </w:r>
    </w:p>
    <w:p>
      <w:pPr>
        <w:spacing w:after="0" w:line="31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005CB9"/>
        </w:rPr>
        <w:t>E</w:t>
      </w:r>
      <w:r>
        <w:rPr>
          <w:rFonts w:ascii="Arial" w:cs="Arial" w:eastAsia="Arial" w:hAnsi="Arial"/>
          <w:sz w:val="11"/>
          <w:szCs w:val="11"/>
          <w:b w:val="1"/>
          <w:bCs w:val="1"/>
          <w:color w:val="005CB9"/>
        </w:rPr>
        <w:t>XECUTIVE</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C</w:t>
      </w:r>
      <w:r>
        <w:rPr>
          <w:rFonts w:ascii="Arial" w:cs="Arial" w:eastAsia="Arial" w:hAnsi="Arial"/>
          <w:sz w:val="11"/>
          <w:szCs w:val="11"/>
          <w:b w:val="1"/>
          <w:bCs w:val="1"/>
          <w:color w:val="000000"/>
        </w:rPr>
        <w:t>OMPENSATION</w:t>
      </w:r>
    </w:p>
    <w:p>
      <w:pPr>
        <w:spacing w:after="0" w:line="200" w:lineRule="exact"/>
        <w:rPr>
          <w:sz w:val="20"/>
          <w:szCs w:val="20"/>
          <w:color w:val="auto"/>
        </w:rPr>
      </w:pPr>
    </w:p>
    <w:p>
      <w:pPr>
        <w:spacing w:after="0" w:line="251" w:lineRule="exact"/>
        <w:rPr>
          <w:sz w:val="20"/>
          <w:szCs w:val="20"/>
          <w:color w:val="auto"/>
        </w:rPr>
      </w:pPr>
    </w:p>
    <w:p>
      <w:pPr>
        <w:ind w:left="960" w:right="80"/>
        <w:spacing w:after="0" w:line="241" w:lineRule="auto"/>
        <w:rPr>
          <w:sz w:val="20"/>
          <w:szCs w:val="20"/>
          <w:color w:val="auto"/>
        </w:rPr>
      </w:pPr>
      <w:r>
        <w:rPr>
          <w:rFonts w:ascii="Arial" w:cs="Arial" w:eastAsia="Arial" w:hAnsi="Arial"/>
          <w:sz w:val="14"/>
          <w:szCs w:val="14"/>
          <w:color w:val="auto"/>
        </w:rPr>
        <w:t>Financial Statements included in the Company’s Annual Report on Form 10-K for fiscal 2020. The amounts above reflect the grant date fair value for these awards, excluding the accounting effect of any estimate of future forfeitures, and do not necessarily correspond to the actual value that might be recognized by the directors. As of March 31, 2020, Messrs. Dornemann, Hernandez, Moses, Sheresky and Viera, and Mses. Srinivasan and Tolson held 2,719, 970, 1,856, 1,856, 1,856, 1,856 and 1,856 outstanding unvested restricted stock awards, respectively.</w:t>
      </w:r>
    </w:p>
    <w:p>
      <w:pPr>
        <w:spacing w:after="0" w:line="1" w:lineRule="exact"/>
        <w:rPr>
          <w:sz w:val="20"/>
          <w:szCs w:val="20"/>
          <w:color w:val="auto"/>
        </w:rPr>
      </w:pPr>
    </w:p>
    <w:p>
      <w:pPr>
        <w:ind w:left="960" w:hanging="293"/>
        <w:spacing w:after="0" w:line="241" w:lineRule="auto"/>
        <w:tabs>
          <w:tab w:leader="none" w:pos="9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Mr. Hernandez was elected to the Board of Directors effective September 18, 2019. For fiscal 2020, Mr. Hernandez elected to receive all of his annual retainer and committee fees in shares of common stock. In accordance with SEC regulations, these amounts are reported in the table as fees earned or paid in cash, rather than as stock awards. On November 15, 2019 and February 14, 2020, respectively, 180 and 158 shares of stock were granted to Mr. Hernandez with grant date fair values of $22,288 and $17,922, respectively, as computed in accordance with FASB ASC 718,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Stock Compensation</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960" w:hanging="293"/>
        <w:spacing w:after="0" w:line="247" w:lineRule="auto"/>
        <w:tabs>
          <w:tab w:leader="none" w:pos="9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For fiscal 2020, Mr. Viera elected to receive all of his annual retainer and committee fees in shares of common stock. In accordance with SEC regulations, these amounts are reported in the table as fees earned or paid in cash, rather than as stock awards. On May 21, 2019, August 13, 2019, November 15, 2019 and February 14, 2020, respectively, 193, 160, 169 and 168 shares of stock were granted to Mr. Viera with grant date fair values of $20,024, $20,405, $20,926 and $19,056, respectively, as computed in accordance with FASB ASC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right="160"/>
        <w:spacing w:after="0" w:line="260" w:lineRule="auto"/>
        <w:rPr>
          <w:sz w:val="20"/>
          <w:szCs w:val="20"/>
          <w:color w:val="auto"/>
        </w:rPr>
      </w:pPr>
      <w:r>
        <w:rPr>
          <w:rFonts w:ascii="Arial" w:cs="Arial" w:eastAsia="Arial" w:hAnsi="Arial"/>
          <w:sz w:val="16"/>
          <w:szCs w:val="16"/>
          <w:color w:val="auto"/>
        </w:rPr>
        <w:t>During fiscal 2020, Messrs. Dornemann, Hernandez, Moses and Sheresky served as members of the Compensation Committee. During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62865</wp:posOffset>
            </wp:positionV>
            <wp:extent cx="6292215" cy="18084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92215" cy="1808480"/>
                    </a:xfrm>
                    <a:prstGeom prst="rect">
                      <a:avLst/>
                    </a:prstGeom>
                    <a:noFill/>
                  </pic:spPr>
                </pic:pic>
              </a:graphicData>
            </a:graphic>
          </wp:anchor>
        </w:drawing>
      </w:r>
    </w:p>
    <w:p>
      <w:pPr>
        <w:spacing w:after="0" w:line="121" w:lineRule="exact"/>
        <w:rPr>
          <w:sz w:val="20"/>
          <w:szCs w:val="20"/>
          <w:color w:val="auto"/>
        </w:rPr>
      </w:pPr>
    </w:p>
    <w:p>
      <w:pPr>
        <w:ind w:left="1120" w:right="200" w:hanging="291"/>
        <w:spacing w:after="0" w:line="260" w:lineRule="auto"/>
        <w:tabs>
          <w:tab w:leader="none" w:pos="1120" w:val="left"/>
        </w:tabs>
        <w:numPr>
          <w:ilvl w:val="0"/>
          <w:numId w:val="75"/>
        </w:numPr>
        <w:rPr>
          <w:rFonts w:ascii="Arial" w:cs="Arial" w:eastAsia="Arial" w:hAnsi="Arial"/>
          <w:sz w:val="16"/>
          <w:szCs w:val="16"/>
          <w:color w:val="005CB9"/>
        </w:rPr>
      </w:pPr>
      <w:r>
        <w:rPr>
          <w:rFonts w:ascii="Arial" w:cs="Arial" w:eastAsia="Arial" w:hAnsi="Arial"/>
          <w:sz w:val="16"/>
          <w:szCs w:val="16"/>
          <w:color w:val="auto"/>
        </w:rPr>
        <w:t>none of the members of the Compensation Committee was an officer (or former officer) or employee of the Company or any of its subsidiaries;</w:t>
      </w:r>
    </w:p>
    <w:p>
      <w:pPr>
        <w:spacing w:after="0" w:line="100" w:lineRule="exact"/>
        <w:rPr>
          <w:rFonts w:ascii="Arial" w:cs="Arial" w:eastAsia="Arial" w:hAnsi="Arial"/>
          <w:sz w:val="16"/>
          <w:szCs w:val="16"/>
          <w:color w:val="005CB9"/>
        </w:rPr>
      </w:pPr>
    </w:p>
    <w:p>
      <w:pPr>
        <w:ind w:left="1120" w:right="480" w:hanging="291"/>
        <w:spacing w:after="0" w:line="260" w:lineRule="auto"/>
        <w:tabs>
          <w:tab w:leader="none" w:pos="1120" w:val="left"/>
        </w:tabs>
        <w:numPr>
          <w:ilvl w:val="0"/>
          <w:numId w:val="75"/>
        </w:numPr>
        <w:rPr>
          <w:rFonts w:ascii="Arial" w:cs="Arial" w:eastAsia="Arial" w:hAnsi="Arial"/>
          <w:sz w:val="16"/>
          <w:szCs w:val="16"/>
          <w:color w:val="005CB9"/>
        </w:rPr>
      </w:pPr>
      <w:r>
        <w:rPr>
          <w:rFonts w:ascii="Arial" w:cs="Arial" w:eastAsia="Arial" w:hAnsi="Arial"/>
          <w:sz w:val="16"/>
          <w:szCs w:val="16"/>
          <w:color w:val="auto"/>
        </w:rPr>
        <w:t>none of the members of the Compensation Committee had a direct or indirect material interest in any transaction in which the Company was a participant and the amount involved exceeded $120,000;</w:t>
      </w:r>
    </w:p>
    <w:p>
      <w:pPr>
        <w:spacing w:after="0" w:line="100" w:lineRule="exact"/>
        <w:rPr>
          <w:rFonts w:ascii="Arial" w:cs="Arial" w:eastAsia="Arial" w:hAnsi="Arial"/>
          <w:sz w:val="16"/>
          <w:szCs w:val="16"/>
          <w:color w:val="005CB9"/>
        </w:rPr>
      </w:pPr>
    </w:p>
    <w:p>
      <w:pPr>
        <w:ind w:left="1120" w:hanging="291"/>
        <w:spacing w:after="0" w:line="253" w:lineRule="auto"/>
        <w:tabs>
          <w:tab w:leader="none" w:pos="1120" w:val="left"/>
        </w:tabs>
        <w:numPr>
          <w:ilvl w:val="0"/>
          <w:numId w:val="75"/>
        </w:numPr>
        <w:rPr>
          <w:rFonts w:ascii="Arial" w:cs="Arial" w:eastAsia="Arial" w:hAnsi="Arial"/>
          <w:sz w:val="16"/>
          <w:szCs w:val="16"/>
          <w:color w:val="005CB9"/>
        </w:rPr>
      </w:pPr>
      <w:r>
        <w:rPr>
          <w:rFonts w:ascii="Arial" w:cs="Arial" w:eastAsia="Arial" w:hAnsi="Arial"/>
          <w:sz w:val="16"/>
          <w:szCs w:val="16"/>
          <w:color w:val="auto"/>
        </w:rPr>
        <w:t>none of the Company’s executive officers served on the compensation committee (or another board committee with similar functions or, if none, the entire board) of another entity where one of that entity’s executive officers served on the Company’s Compensation Committee;</w:t>
      </w:r>
    </w:p>
    <w:p>
      <w:pPr>
        <w:spacing w:after="0" w:line="106" w:lineRule="exact"/>
        <w:rPr>
          <w:rFonts w:ascii="Arial" w:cs="Arial" w:eastAsia="Arial" w:hAnsi="Arial"/>
          <w:sz w:val="16"/>
          <w:szCs w:val="16"/>
          <w:color w:val="005CB9"/>
        </w:rPr>
      </w:pPr>
    </w:p>
    <w:p>
      <w:pPr>
        <w:ind w:left="1120" w:right="60" w:hanging="291"/>
        <w:spacing w:after="0" w:line="260" w:lineRule="auto"/>
        <w:tabs>
          <w:tab w:leader="none" w:pos="1120" w:val="left"/>
        </w:tabs>
        <w:numPr>
          <w:ilvl w:val="0"/>
          <w:numId w:val="75"/>
        </w:numPr>
        <w:rPr>
          <w:rFonts w:ascii="Arial" w:cs="Arial" w:eastAsia="Arial" w:hAnsi="Arial"/>
          <w:sz w:val="16"/>
          <w:szCs w:val="16"/>
          <w:color w:val="005CB9"/>
        </w:rPr>
      </w:pPr>
      <w:r>
        <w:rPr>
          <w:rFonts w:ascii="Arial" w:cs="Arial" w:eastAsia="Arial" w:hAnsi="Arial"/>
          <w:sz w:val="16"/>
          <w:szCs w:val="16"/>
          <w:color w:val="auto"/>
        </w:rPr>
        <w:t>none of the Company’s executive officers was a director of another entity where one of that entity’s executive officers served on the Company’s Compensation Committee; and</w:t>
      </w:r>
    </w:p>
    <w:p>
      <w:pPr>
        <w:spacing w:after="0" w:line="100" w:lineRule="exact"/>
        <w:rPr>
          <w:rFonts w:ascii="Arial" w:cs="Arial" w:eastAsia="Arial" w:hAnsi="Arial"/>
          <w:sz w:val="16"/>
          <w:szCs w:val="16"/>
          <w:color w:val="005CB9"/>
        </w:rPr>
      </w:pPr>
    </w:p>
    <w:p>
      <w:pPr>
        <w:ind w:left="1120" w:hanging="291"/>
        <w:spacing w:after="0" w:line="253" w:lineRule="auto"/>
        <w:tabs>
          <w:tab w:leader="none" w:pos="1120" w:val="left"/>
        </w:tabs>
        <w:numPr>
          <w:ilvl w:val="0"/>
          <w:numId w:val="75"/>
        </w:numPr>
        <w:rPr>
          <w:rFonts w:ascii="Arial" w:cs="Arial" w:eastAsia="Arial" w:hAnsi="Arial"/>
          <w:sz w:val="16"/>
          <w:szCs w:val="16"/>
          <w:color w:val="005CB9"/>
        </w:rPr>
      </w:pPr>
      <w:r>
        <w:rPr>
          <w:rFonts w:ascii="Arial" w:cs="Arial" w:eastAsia="Arial" w:hAnsi="Arial"/>
          <w:sz w:val="16"/>
          <w:szCs w:val="16"/>
          <w:color w:val="auto"/>
        </w:rPr>
        <w:t>none of the Company’s executive officers served on the compensation committee (or another board committee with similar functions or, if none, the entire board of directors) of another entity where one of that entity’s executive officers served as a director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306705</wp:posOffset>
            </wp:positionV>
            <wp:extent cx="291465" cy="274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58</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60"/>
          </w:cols>
          <w:pgMar w:left="320" w:top="459" w:right="10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9861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39"/>
        <w:spacing w:after="0"/>
        <w:rPr>
          <w:sz w:val="20"/>
          <w:szCs w:val="20"/>
          <w:color w:val="auto"/>
        </w:rPr>
      </w:pPr>
      <w:r>
        <w:rPr>
          <w:rFonts w:ascii="Arial" w:cs="Arial" w:eastAsia="Arial" w:hAnsi="Arial"/>
          <w:sz w:val="40"/>
          <w:szCs w:val="40"/>
          <w:b w:val="1"/>
          <w:bCs w:val="1"/>
          <w:color w:val="FFFFFF"/>
        </w:rPr>
        <w:t>Voting Security Ownership of</w:t>
      </w:r>
    </w:p>
    <w:p>
      <w:pPr>
        <w:spacing w:after="0" w:line="41" w:lineRule="exact"/>
        <w:rPr>
          <w:sz w:val="20"/>
          <w:szCs w:val="20"/>
          <w:color w:val="auto"/>
        </w:rPr>
      </w:pPr>
    </w:p>
    <w:p>
      <w:pPr>
        <w:ind w:left="1920"/>
        <w:spacing w:after="0"/>
        <w:rPr>
          <w:sz w:val="20"/>
          <w:szCs w:val="20"/>
          <w:color w:val="auto"/>
        </w:rPr>
      </w:pPr>
      <w:r>
        <w:rPr>
          <w:rFonts w:ascii="Arial" w:cs="Arial" w:eastAsia="Arial" w:hAnsi="Arial"/>
          <w:sz w:val="36"/>
          <w:szCs w:val="36"/>
          <w:b w:val="1"/>
          <w:bCs w:val="1"/>
          <w:color w:val="FFFFFF"/>
        </w:rPr>
        <w:t>Certain Beneficial Owners and Management</w:t>
      </w:r>
    </w:p>
    <w:p>
      <w:pPr>
        <w:spacing w:after="0" w:line="200" w:lineRule="exact"/>
        <w:rPr>
          <w:sz w:val="20"/>
          <w:szCs w:val="20"/>
          <w:color w:val="auto"/>
        </w:rPr>
      </w:pPr>
    </w:p>
    <w:p>
      <w:pPr>
        <w:spacing w:after="0" w:line="36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The following table sets forth certain information as of July 16, 2020 (unless otherwise noted) relating to the beneficial ownership of shares of the common stock by (i) each person or entity who is known by the Company to own beneficially five percent or more of the outstanding common stock, (ii) each current director, (iii) each director nominee, (iv) each of the NEOs and (v) all current directors and executive officers as a group.</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920" w:type="dxa"/>
            <w:vAlign w:val="bottom"/>
            <w:vMerge w:val="restart"/>
            <w:shd w:val="clear" w:color="auto" w:fill="005CB9"/>
          </w:tcPr>
          <w:p>
            <w:pPr>
              <w:ind w:left="120"/>
              <w:spacing w:after="0"/>
              <w:rPr>
                <w:sz w:val="20"/>
                <w:szCs w:val="20"/>
                <w:color w:val="auto"/>
              </w:rPr>
            </w:pPr>
            <w:r>
              <w:rPr>
                <w:rFonts w:ascii="Arial" w:cs="Arial" w:eastAsia="Arial" w:hAnsi="Arial"/>
                <w:sz w:val="14"/>
                <w:szCs w:val="14"/>
                <w:b w:val="1"/>
                <w:bCs w:val="1"/>
                <w:color w:val="FFFFFF"/>
              </w:rPr>
              <w:t>Name and Address</w:t>
            </w:r>
          </w:p>
        </w:tc>
        <w:tc>
          <w:tcPr>
            <w:tcW w:w="2620" w:type="dxa"/>
            <w:vAlign w:val="bottom"/>
            <w:shd w:val="clear" w:color="auto" w:fill="005CB9"/>
          </w:tcPr>
          <w:p>
            <w:pPr>
              <w:jc w:val="center"/>
              <w:ind w:left="80"/>
              <w:spacing w:after="0"/>
              <w:rPr>
                <w:sz w:val="20"/>
                <w:szCs w:val="20"/>
                <w:color w:val="auto"/>
              </w:rPr>
            </w:pPr>
            <w:r>
              <w:rPr>
                <w:rFonts w:ascii="Arial" w:cs="Arial" w:eastAsia="Arial" w:hAnsi="Arial"/>
                <w:sz w:val="14"/>
                <w:szCs w:val="14"/>
                <w:b w:val="1"/>
                <w:bCs w:val="1"/>
                <w:color w:val="FFFFFF"/>
              </w:rPr>
              <w:t>Number of Shares of</w:t>
            </w:r>
          </w:p>
        </w:tc>
        <w:tc>
          <w:tcPr>
            <w:tcW w:w="2380" w:type="dxa"/>
            <w:vAlign w:val="bottom"/>
            <w:shd w:val="clear" w:color="auto" w:fill="005CB9"/>
          </w:tcPr>
          <w:p>
            <w:pPr>
              <w:jc w:val="center"/>
              <w:ind w:left="380"/>
              <w:spacing w:after="0"/>
              <w:rPr>
                <w:sz w:val="20"/>
                <w:szCs w:val="20"/>
                <w:color w:val="auto"/>
              </w:rPr>
            </w:pPr>
            <w:r>
              <w:rPr>
                <w:rFonts w:ascii="Arial" w:cs="Arial" w:eastAsia="Arial" w:hAnsi="Arial"/>
                <w:sz w:val="14"/>
                <w:szCs w:val="14"/>
                <w:b w:val="1"/>
                <w:bCs w:val="1"/>
                <w:color w:val="FFFFFF"/>
              </w:rPr>
              <w:t>Percentage of Outstanding</w:t>
            </w:r>
          </w:p>
        </w:tc>
        <w:tc>
          <w:tcPr>
            <w:tcW w:w="0" w:type="dxa"/>
            <w:vAlign w:val="bottom"/>
          </w:tcPr>
          <w:p>
            <w:pPr>
              <w:spacing w:after="0"/>
              <w:rPr>
                <w:sz w:val="1"/>
                <w:szCs w:val="1"/>
                <w:color w:val="auto"/>
              </w:rPr>
            </w:pPr>
          </w:p>
        </w:tc>
      </w:tr>
      <w:tr>
        <w:trPr>
          <w:trHeight w:val="148"/>
        </w:trPr>
        <w:tc>
          <w:tcPr>
            <w:tcW w:w="4920" w:type="dxa"/>
            <w:vAlign w:val="bottom"/>
            <w:vMerge w:val="continue"/>
            <w:shd w:val="clear" w:color="auto" w:fill="005CB9"/>
          </w:tcPr>
          <w:p>
            <w:pPr>
              <w:spacing w:after="0"/>
              <w:rPr>
                <w:sz w:val="12"/>
                <w:szCs w:val="12"/>
                <w:color w:val="auto"/>
              </w:rPr>
            </w:pPr>
          </w:p>
        </w:tc>
        <w:tc>
          <w:tcPr>
            <w:tcW w:w="2620" w:type="dxa"/>
            <w:vAlign w:val="bottom"/>
            <w:shd w:val="clear" w:color="auto" w:fill="005CB9"/>
          </w:tcPr>
          <w:p>
            <w:pPr>
              <w:jc w:val="center"/>
              <w:ind w:left="80"/>
              <w:spacing w:after="0" w:line="149" w:lineRule="exact"/>
              <w:rPr>
                <w:sz w:val="20"/>
                <w:szCs w:val="20"/>
                <w:color w:val="auto"/>
              </w:rPr>
            </w:pPr>
            <w:r>
              <w:rPr>
                <w:rFonts w:ascii="Arial" w:cs="Arial" w:eastAsia="Arial" w:hAnsi="Arial"/>
                <w:sz w:val="14"/>
                <w:szCs w:val="14"/>
                <w:b w:val="1"/>
                <w:bCs w:val="1"/>
                <w:color w:val="FFFFFF"/>
              </w:rPr>
              <w:t>Common Stock</w:t>
            </w:r>
          </w:p>
        </w:tc>
        <w:tc>
          <w:tcPr>
            <w:tcW w:w="2380" w:type="dxa"/>
            <w:vAlign w:val="bottom"/>
            <w:shd w:val="clear" w:color="auto" w:fill="005CB9"/>
          </w:tcPr>
          <w:p>
            <w:pPr>
              <w:jc w:val="center"/>
              <w:ind w:left="400"/>
              <w:spacing w:after="0" w:line="149" w:lineRule="exact"/>
              <w:rPr>
                <w:sz w:val="20"/>
                <w:szCs w:val="20"/>
                <w:color w:val="auto"/>
              </w:rPr>
            </w:pPr>
            <w:r>
              <w:rPr>
                <w:rFonts w:ascii="Arial" w:cs="Arial" w:eastAsia="Arial" w:hAnsi="Arial"/>
                <w:sz w:val="14"/>
                <w:szCs w:val="14"/>
                <w:b w:val="1"/>
                <w:bCs w:val="1"/>
                <w:color w:val="FFFFFF"/>
              </w:rPr>
              <w:t>Common Stock</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005CB9"/>
            </w:tcBorders>
            <w:shd w:val="clear" w:color="auto" w:fill="005CB9"/>
          </w:tcPr>
          <w:p>
            <w:pPr>
              <w:ind w:left="120"/>
              <w:spacing w:after="0"/>
              <w:rPr>
                <w:sz w:val="20"/>
                <w:szCs w:val="20"/>
                <w:color w:val="auto"/>
              </w:rPr>
            </w:pPr>
            <w:r>
              <w:rPr>
                <w:rFonts w:ascii="Arial" w:cs="Arial" w:eastAsia="Arial" w:hAnsi="Arial"/>
                <w:sz w:val="14"/>
                <w:szCs w:val="14"/>
                <w:b w:val="1"/>
                <w:bCs w:val="1"/>
                <w:color w:val="FFFFFF"/>
              </w:rPr>
              <w:t>of Beneficial Owner(1)</w:t>
            </w:r>
          </w:p>
        </w:tc>
        <w:tc>
          <w:tcPr>
            <w:tcW w:w="2620" w:type="dxa"/>
            <w:vAlign w:val="bottom"/>
            <w:tcBorders>
              <w:bottom w:val="single" w:sz="8" w:color="005CB9"/>
            </w:tcBorders>
            <w:shd w:val="clear" w:color="auto" w:fill="005CB9"/>
          </w:tcPr>
          <w:p>
            <w:pPr>
              <w:jc w:val="center"/>
              <w:ind w:left="80"/>
              <w:spacing w:after="0"/>
              <w:rPr>
                <w:sz w:val="20"/>
                <w:szCs w:val="20"/>
                <w:color w:val="auto"/>
              </w:rPr>
            </w:pPr>
            <w:r>
              <w:rPr>
                <w:rFonts w:ascii="Arial" w:cs="Arial" w:eastAsia="Arial" w:hAnsi="Arial"/>
                <w:sz w:val="14"/>
                <w:szCs w:val="14"/>
                <w:b w:val="1"/>
                <w:bCs w:val="1"/>
                <w:color w:val="FFFFFF"/>
              </w:rPr>
              <w:t>Beneficially Owned(2)</w:t>
            </w:r>
          </w:p>
        </w:tc>
        <w:tc>
          <w:tcPr>
            <w:tcW w:w="2380" w:type="dxa"/>
            <w:vAlign w:val="bottom"/>
            <w:tcBorders>
              <w:bottom w:val="single" w:sz="8" w:color="005CB9"/>
            </w:tcBorders>
            <w:shd w:val="clear" w:color="auto" w:fill="005CB9"/>
          </w:tcPr>
          <w:p>
            <w:pPr>
              <w:jc w:val="center"/>
              <w:ind w:left="420"/>
              <w:spacing w:after="0"/>
              <w:rPr>
                <w:sz w:val="20"/>
                <w:szCs w:val="20"/>
                <w:color w:val="auto"/>
              </w:rPr>
            </w:pPr>
            <w:r>
              <w:rPr>
                <w:rFonts w:ascii="Arial" w:cs="Arial" w:eastAsia="Arial" w:hAnsi="Arial"/>
                <w:sz w:val="14"/>
                <w:szCs w:val="14"/>
                <w:b w:val="1"/>
                <w:bCs w:val="1"/>
                <w:color w:val="FFFFFF"/>
              </w:rPr>
              <w:t>Beneficially Owned</w:t>
            </w:r>
          </w:p>
        </w:tc>
        <w:tc>
          <w:tcPr>
            <w:tcW w:w="0" w:type="dxa"/>
            <w:vAlign w:val="bottom"/>
          </w:tcPr>
          <w:p>
            <w:pPr>
              <w:spacing w:after="0"/>
              <w:rPr>
                <w:sz w:val="1"/>
                <w:szCs w:val="1"/>
                <w:color w:val="auto"/>
              </w:rPr>
            </w:pPr>
          </w:p>
        </w:tc>
      </w:tr>
      <w:tr>
        <w:trPr>
          <w:trHeight w:val="230"/>
        </w:trPr>
        <w:tc>
          <w:tcPr>
            <w:tcW w:w="4920" w:type="dxa"/>
            <w:vAlign w:val="bottom"/>
            <w:shd w:val="clear" w:color="auto" w:fill="EAEAEA"/>
          </w:tcPr>
          <w:p>
            <w:pPr>
              <w:ind w:left="80"/>
              <w:spacing w:after="0"/>
              <w:rPr>
                <w:sz w:val="20"/>
                <w:szCs w:val="20"/>
                <w:color w:val="auto"/>
              </w:rPr>
            </w:pPr>
            <w:r>
              <w:rPr>
                <w:rFonts w:ascii="Arial" w:cs="Arial" w:eastAsia="Arial" w:hAnsi="Arial"/>
                <w:sz w:val="16"/>
                <w:szCs w:val="16"/>
                <w:color w:val="auto"/>
              </w:rPr>
              <w:t>BlackRock, Inc.(3)</w:t>
            </w:r>
          </w:p>
        </w:tc>
        <w:tc>
          <w:tcPr>
            <w:tcW w:w="2620" w:type="dxa"/>
            <w:vAlign w:val="bottom"/>
            <w:shd w:val="clear" w:color="auto" w:fill="EAEAEA"/>
          </w:tcPr>
          <w:p>
            <w:pPr>
              <w:jc w:val="right"/>
              <w:ind w:right="540"/>
              <w:spacing w:after="0"/>
              <w:rPr>
                <w:sz w:val="20"/>
                <w:szCs w:val="20"/>
                <w:color w:val="auto"/>
              </w:rPr>
            </w:pPr>
            <w:r>
              <w:rPr>
                <w:rFonts w:ascii="Arial" w:cs="Arial" w:eastAsia="Arial" w:hAnsi="Arial"/>
                <w:sz w:val="18"/>
                <w:szCs w:val="18"/>
                <w:color w:val="auto"/>
              </w:rPr>
              <w:t>8,076,341</w:t>
            </w:r>
          </w:p>
        </w:tc>
        <w:tc>
          <w:tcPr>
            <w:tcW w:w="2380" w:type="dxa"/>
            <w:vAlign w:val="bottom"/>
            <w:shd w:val="clear" w:color="auto" w:fill="EAEAEA"/>
          </w:tcPr>
          <w:p>
            <w:pPr>
              <w:jc w:val="right"/>
              <w:ind w:right="42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3"/>
        </w:trPr>
        <w:tc>
          <w:tcPr>
            <w:tcW w:w="4920" w:type="dxa"/>
            <w:vAlign w:val="bottom"/>
          </w:tcPr>
          <w:p>
            <w:pPr>
              <w:ind w:left="80"/>
              <w:spacing w:after="0"/>
              <w:rPr>
                <w:sz w:val="20"/>
                <w:szCs w:val="20"/>
                <w:color w:val="auto"/>
              </w:rPr>
            </w:pPr>
            <w:r>
              <w:rPr>
                <w:rFonts w:ascii="Arial" w:cs="Arial" w:eastAsia="Arial" w:hAnsi="Arial"/>
                <w:sz w:val="16"/>
                <w:szCs w:val="16"/>
                <w:color w:val="auto"/>
              </w:rPr>
              <w:t>The Vanguard Group, Inc.(4)</w:t>
            </w:r>
          </w:p>
        </w:tc>
        <w:tc>
          <w:tcPr>
            <w:tcW w:w="2620" w:type="dxa"/>
            <w:vAlign w:val="bottom"/>
          </w:tcPr>
          <w:p>
            <w:pPr>
              <w:jc w:val="right"/>
              <w:ind w:right="540"/>
              <w:spacing w:after="0"/>
              <w:rPr>
                <w:sz w:val="20"/>
                <w:szCs w:val="20"/>
                <w:color w:val="auto"/>
              </w:rPr>
            </w:pPr>
            <w:r>
              <w:rPr>
                <w:rFonts w:ascii="Arial" w:cs="Arial" w:eastAsia="Arial" w:hAnsi="Arial"/>
                <w:sz w:val="16"/>
                <w:szCs w:val="16"/>
                <w:color w:val="auto"/>
              </w:rPr>
              <w:t>13,094,339</w:t>
            </w:r>
          </w:p>
        </w:tc>
        <w:tc>
          <w:tcPr>
            <w:tcW w:w="2380" w:type="dxa"/>
            <w:vAlign w:val="bottom"/>
          </w:tcPr>
          <w:p>
            <w:pPr>
              <w:jc w:val="right"/>
              <w:ind w:right="420"/>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53"/>
        </w:trPr>
        <w:tc>
          <w:tcPr>
            <w:tcW w:w="4920" w:type="dxa"/>
            <w:vAlign w:val="bottom"/>
            <w:shd w:val="clear" w:color="auto" w:fill="EAEAEA"/>
          </w:tcPr>
          <w:p>
            <w:pPr>
              <w:ind w:left="80"/>
              <w:spacing w:after="0"/>
              <w:rPr>
                <w:sz w:val="20"/>
                <w:szCs w:val="20"/>
                <w:color w:val="auto"/>
              </w:rPr>
            </w:pPr>
            <w:r>
              <w:rPr>
                <w:rFonts w:ascii="Arial" w:cs="Arial" w:eastAsia="Arial" w:hAnsi="Arial"/>
                <w:sz w:val="16"/>
                <w:szCs w:val="16"/>
                <w:color w:val="auto"/>
              </w:rPr>
              <w:t>Strauss Zelnick(5)</w:t>
            </w:r>
          </w:p>
        </w:tc>
        <w:tc>
          <w:tcPr>
            <w:tcW w:w="2620" w:type="dxa"/>
            <w:vAlign w:val="bottom"/>
            <w:shd w:val="clear" w:color="auto" w:fill="EAEAEA"/>
          </w:tcPr>
          <w:p>
            <w:pPr>
              <w:jc w:val="right"/>
              <w:ind w:right="540"/>
              <w:spacing w:after="0"/>
              <w:rPr>
                <w:sz w:val="20"/>
                <w:szCs w:val="20"/>
                <w:color w:val="auto"/>
              </w:rPr>
            </w:pPr>
            <w:r>
              <w:rPr>
                <w:rFonts w:ascii="Arial" w:cs="Arial" w:eastAsia="Arial" w:hAnsi="Arial"/>
                <w:sz w:val="16"/>
                <w:szCs w:val="16"/>
                <w:color w:val="auto"/>
              </w:rPr>
              <w:t>795,987</w:t>
            </w:r>
          </w:p>
        </w:tc>
        <w:tc>
          <w:tcPr>
            <w:tcW w:w="2380" w:type="dxa"/>
            <w:vAlign w:val="bottom"/>
            <w:shd w:val="clear" w:color="auto" w:fill="EAEAEA"/>
          </w:tcPr>
          <w:p>
            <w:pPr>
              <w:jc w:val="right"/>
              <w:ind w:righ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920" w:type="dxa"/>
            <w:vAlign w:val="bottom"/>
          </w:tcPr>
          <w:p>
            <w:pPr>
              <w:ind w:left="80"/>
              <w:spacing w:after="0"/>
              <w:rPr>
                <w:sz w:val="20"/>
                <w:szCs w:val="20"/>
                <w:color w:val="auto"/>
              </w:rPr>
            </w:pPr>
            <w:r>
              <w:rPr>
                <w:rFonts w:ascii="Arial" w:cs="Arial" w:eastAsia="Arial" w:hAnsi="Arial"/>
                <w:sz w:val="16"/>
                <w:szCs w:val="16"/>
                <w:color w:val="auto"/>
              </w:rPr>
              <w:t>Karl Slatoff(6)</w:t>
            </w:r>
          </w:p>
        </w:tc>
        <w:tc>
          <w:tcPr>
            <w:tcW w:w="2620" w:type="dxa"/>
            <w:vAlign w:val="bottom"/>
          </w:tcPr>
          <w:p>
            <w:pPr>
              <w:jc w:val="right"/>
              <w:ind w:right="540"/>
              <w:spacing w:after="0"/>
              <w:rPr>
                <w:sz w:val="20"/>
                <w:szCs w:val="20"/>
                <w:color w:val="auto"/>
              </w:rPr>
            </w:pPr>
            <w:r>
              <w:rPr>
                <w:rFonts w:ascii="Arial" w:cs="Arial" w:eastAsia="Arial" w:hAnsi="Arial"/>
                <w:sz w:val="16"/>
                <w:szCs w:val="16"/>
                <w:color w:val="auto"/>
              </w:rPr>
              <w:t>587,867</w:t>
            </w:r>
          </w:p>
        </w:tc>
        <w:tc>
          <w:tcPr>
            <w:tcW w:w="23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4920" w:type="dxa"/>
            <w:vAlign w:val="bottom"/>
            <w:shd w:val="clear" w:color="auto" w:fill="EAEAEA"/>
          </w:tcPr>
          <w:p>
            <w:pPr>
              <w:ind w:left="80"/>
              <w:spacing w:after="0"/>
              <w:rPr>
                <w:sz w:val="20"/>
                <w:szCs w:val="20"/>
                <w:color w:val="auto"/>
              </w:rPr>
            </w:pPr>
            <w:r>
              <w:rPr>
                <w:rFonts w:ascii="Arial" w:cs="Arial" w:eastAsia="Arial" w:hAnsi="Arial"/>
                <w:sz w:val="16"/>
                <w:szCs w:val="16"/>
                <w:color w:val="auto"/>
              </w:rPr>
              <w:t>Lainie Goldstein(7)</w:t>
            </w:r>
          </w:p>
        </w:tc>
        <w:tc>
          <w:tcPr>
            <w:tcW w:w="2620" w:type="dxa"/>
            <w:vAlign w:val="bottom"/>
            <w:shd w:val="clear" w:color="auto" w:fill="EAEAEA"/>
          </w:tcPr>
          <w:p>
            <w:pPr>
              <w:jc w:val="right"/>
              <w:ind w:right="540"/>
              <w:spacing w:after="0"/>
              <w:rPr>
                <w:sz w:val="20"/>
                <w:szCs w:val="20"/>
                <w:color w:val="auto"/>
              </w:rPr>
            </w:pPr>
            <w:r>
              <w:rPr>
                <w:rFonts w:ascii="Arial" w:cs="Arial" w:eastAsia="Arial" w:hAnsi="Arial"/>
                <w:sz w:val="16"/>
                <w:szCs w:val="16"/>
                <w:color w:val="auto"/>
              </w:rPr>
              <w:t>211,654</w:t>
            </w:r>
          </w:p>
        </w:tc>
        <w:tc>
          <w:tcPr>
            <w:tcW w:w="2380" w:type="dxa"/>
            <w:vAlign w:val="bottom"/>
            <w:shd w:val="clear" w:color="auto" w:fill="EAEAEA"/>
          </w:tcPr>
          <w:p>
            <w:pPr>
              <w:jc w:val="right"/>
              <w:ind w:righ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920" w:type="dxa"/>
            <w:vAlign w:val="bottom"/>
          </w:tcPr>
          <w:p>
            <w:pPr>
              <w:ind w:left="80"/>
              <w:spacing w:after="0"/>
              <w:rPr>
                <w:sz w:val="20"/>
                <w:szCs w:val="20"/>
                <w:color w:val="auto"/>
              </w:rPr>
            </w:pPr>
            <w:r>
              <w:rPr>
                <w:rFonts w:ascii="Arial" w:cs="Arial" w:eastAsia="Arial" w:hAnsi="Arial"/>
                <w:sz w:val="16"/>
                <w:szCs w:val="16"/>
                <w:color w:val="auto"/>
              </w:rPr>
              <w:t>Daniel Emerson(8)</w:t>
            </w:r>
          </w:p>
        </w:tc>
        <w:tc>
          <w:tcPr>
            <w:tcW w:w="2620" w:type="dxa"/>
            <w:vAlign w:val="bottom"/>
          </w:tcPr>
          <w:p>
            <w:pPr>
              <w:jc w:val="right"/>
              <w:ind w:right="540"/>
              <w:spacing w:after="0"/>
              <w:rPr>
                <w:sz w:val="20"/>
                <w:szCs w:val="20"/>
                <w:color w:val="auto"/>
              </w:rPr>
            </w:pPr>
            <w:r>
              <w:rPr>
                <w:rFonts w:ascii="Arial" w:cs="Arial" w:eastAsia="Arial" w:hAnsi="Arial"/>
                <w:sz w:val="16"/>
                <w:szCs w:val="16"/>
                <w:color w:val="auto"/>
              </w:rPr>
              <w:t>40,833</w:t>
            </w:r>
          </w:p>
        </w:tc>
        <w:tc>
          <w:tcPr>
            <w:tcW w:w="23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4920" w:type="dxa"/>
            <w:vAlign w:val="bottom"/>
            <w:shd w:val="clear" w:color="auto" w:fill="EAEAEA"/>
          </w:tcPr>
          <w:p>
            <w:pPr>
              <w:ind w:left="80"/>
              <w:spacing w:after="0"/>
              <w:rPr>
                <w:sz w:val="20"/>
                <w:szCs w:val="20"/>
                <w:color w:val="auto"/>
              </w:rPr>
            </w:pPr>
            <w:r>
              <w:rPr>
                <w:rFonts w:ascii="Arial" w:cs="Arial" w:eastAsia="Arial" w:hAnsi="Arial"/>
                <w:sz w:val="16"/>
                <w:szCs w:val="16"/>
                <w:color w:val="auto"/>
              </w:rPr>
              <w:t>J Moses</w:t>
            </w:r>
          </w:p>
        </w:tc>
        <w:tc>
          <w:tcPr>
            <w:tcW w:w="2620" w:type="dxa"/>
            <w:vAlign w:val="bottom"/>
            <w:shd w:val="clear" w:color="auto" w:fill="EAEAEA"/>
          </w:tcPr>
          <w:p>
            <w:pPr>
              <w:jc w:val="right"/>
              <w:ind w:right="540"/>
              <w:spacing w:after="0"/>
              <w:rPr>
                <w:sz w:val="20"/>
                <w:szCs w:val="20"/>
                <w:color w:val="auto"/>
              </w:rPr>
            </w:pPr>
            <w:r>
              <w:rPr>
                <w:rFonts w:ascii="Arial" w:cs="Arial" w:eastAsia="Arial" w:hAnsi="Arial"/>
                <w:sz w:val="16"/>
                <w:szCs w:val="16"/>
                <w:color w:val="auto"/>
              </w:rPr>
              <w:t>18,924</w:t>
            </w:r>
          </w:p>
        </w:tc>
        <w:tc>
          <w:tcPr>
            <w:tcW w:w="2380" w:type="dxa"/>
            <w:vAlign w:val="bottom"/>
            <w:shd w:val="clear" w:color="auto" w:fill="EAEAEA"/>
          </w:tcPr>
          <w:p>
            <w:pPr>
              <w:jc w:val="right"/>
              <w:ind w:righ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920" w:type="dxa"/>
            <w:vAlign w:val="bottom"/>
          </w:tcPr>
          <w:p>
            <w:pPr>
              <w:ind w:left="80"/>
              <w:spacing w:after="0"/>
              <w:rPr>
                <w:sz w:val="20"/>
                <w:szCs w:val="20"/>
                <w:color w:val="auto"/>
              </w:rPr>
            </w:pPr>
            <w:r>
              <w:rPr>
                <w:rFonts w:ascii="Arial" w:cs="Arial" w:eastAsia="Arial" w:hAnsi="Arial"/>
                <w:sz w:val="16"/>
                <w:szCs w:val="16"/>
                <w:color w:val="auto"/>
              </w:rPr>
              <w:t>Michael Sheresky</w:t>
            </w:r>
          </w:p>
        </w:tc>
        <w:tc>
          <w:tcPr>
            <w:tcW w:w="2620" w:type="dxa"/>
            <w:vAlign w:val="bottom"/>
          </w:tcPr>
          <w:p>
            <w:pPr>
              <w:jc w:val="right"/>
              <w:ind w:right="540"/>
              <w:spacing w:after="0"/>
              <w:rPr>
                <w:sz w:val="20"/>
                <w:szCs w:val="20"/>
                <w:color w:val="auto"/>
              </w:rPr>
            </w:pPr>
            <w:r>
              <w:rPr>
                <w:rFonts w:ascii="Arial" w:cs="Arial" w:eastAsia="Arial" w:hAnsi="Arial"/>
                <w:sz w:val="16"/>
                <w:szCs w:val="16"/>
                <w:color w:val="auto"/>
              </w:rPr>
              <w:t>60,723</w:t>
            </w:r>
          </w:p>
        </w:tc>
        <w:tc>
          <w:tcPr>
            <w:tcW w:w="23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4920" w:type="dxa"/>
            <w:vAlign w:val="bottom"/>
            <w:shd w:val="clear" w:color="auto" w:fill="EAEAEA"/>
          </w:tcPr>
          <w:p>
            <w:pPr>
              <w:ind w:left="80"/>
              <w:spacing w:after="0"/>
              <w:rPr>
                <w:sz w:val="20"/>
                <w:szCs w:val="20"/>
                <w:color w:val="auto"/>
              </w:rPr>
            </w:pPr>
            <w:r>
              <w:rPr>
                <w:rFonts w:ascii="Arial" w:cs="Arial" w:eastAsia="Arial" w:hAnsi="Arial"/>
                <w:sz w:val="16"/>
                <w:szCs w:val="16"/>
                <w:color w:val="auto"/>
              </w:rPr>
              <w:t>Michael Dornemann</w:t>
            </w:r>
          </w:p>
        </w:tc>
        <w:tc>
          <w:tcPr>
            <w:tcW w:w="2620" w:type="dxa"/>
            <w:vAlign w:val="bottom"/>
            <w:shd w:val="clear" w:color="auto" w:fill="EAEAEA"/>
          </w:tcPr>
          <w:p>
            <w:pPr>
              <w:jc w:val="right"/>
              <w:ind w:right="540"/>
              <w:spacing w:after="0"/>
              <w:rPr>
                <w:sz w:val="20"/>
                <w:szCs w:val="20"/>
                <w:color w:val="auto"/>
              </w:rPr>
            </w:pPr>
            <w:r>
              <w:rPr>
                <w:rFonts w:ascii="Arial" w:cs="Arial" w:eastAsia="Arial" w:hAnsi="Arial"/>
                <w:sz w:val="16"/>
                <w:szCs w:val="16"/>
                <w:color w:val="auto"/>
              </w:rPr>
              <w:t>12,062</w:t>
            </w:r>
          </w:p>
        </w:tc>
        <w:tc>
          <w:tcPr>
            <w:tcW w:w="2380" w:type="dxa"/>
            <w:vAlign w:val="bottom"/>
            <w:shd w:val="clear" w:color="auto" w:fill="EAEAEA"/>
          </w:tcPr>
          <w:p>
            <w:pPr>
              <w:jc w:val="right"/>
              <w:ind w:righ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920" w:type="dxa"/>
            <w:vAlign w:val="bottom"/>
          </w:tcPr>
          <w:p>
            <w:pPr>
              <w:ind w:left="80"/>
              <w:spacing w:after="0"/>
              <w:rPr>
                <w:sz w:val="20"/>
                <w:szCs w:val="20"/>
                <w:color w:val="auto"/>
              </w:rPr>
            </w:pPr>
            <w:r>
              <w:rPr>
                <w:rFonts w:ascii="Arial" w:cs="Arial" w:eastAsia="Arial" w:hAnsi="Arial"/>
                <w:sz w:val="16"/>
                <w:szCs w:val="16"/>
                <w:color w:val="auto"/>
              </w:rPr>
              <w:t>LaVerne Srinivasan</w:t>
            </w:r>
          </w:p>
        </w:tc>
        <w:tc>
          <w:tcPr>
            <w:tcW w:w="2620" w:type="dxa"/>
            <w:vAlign w:val="bottom"/>
          </w:tcPr>
          <w:p>
            <w:pPr>
              <w:jc w:val="right"/>
              <w:ind w:right="540"/>
              <w:spacing w:after="0"/>
              <w:rPr>
                <w:sz w:val="20"/>
                <w:szCs w:val="20"/>
                <w:color w:val="auto"/>
              </w:rPr>
            </w:pPr>
            <w:r>
              <w:rPr>
                <w:rFonts w:ascii="Arial" w:cs="Arial" w:eastAsia="Arial" w:hAnsi="Arial"/>
                <w:sz w:val="16"/>
                <w:szCs w:val="16"/>
                <w:color w:val="auto"/>
              </w:rPr>
              <w:t>6,423</w:t>
            </w:r>
          </w:p>
        </w:tc>
        <w:tc>
          <w:tcPr>
            <w:tcW w:w="23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4920" w:type="dxa"/>
            <w:vAlign w:val="bottom"/>
            <w:shd w:val="clear" w:color="auto" w:fill="EAEAEA"/>
          </w:tcPr>
          <w:p>
            <w:pPr>
              <w:ind w:left="80"/>
              <w:spacing w:after="0"/>
              <w:rPr>
                <w:sz w:val="20"/>
                <w:szCs w:val="20"/>
                <w:color w:val="auto"/>
              </w:rPr>
            </w:pPr>
            <w:r>
              <w:rPr>
                <w:rFonts w:ascii="Arial" w:cs="Arial" w:eastAsia="Arial" w:hAnsi="Arial"/>
                <w:sz w:val="16"/>
                <w:szCs w:val="16"/>
                <w:color w:val="auto"/>
              </w:rPr>
              <w:t>Susan Tolson</w:t>
            </w:r>
          </w:p>
        </w:tc>
        <w:tc>
          <w:tcPr>
            <w:tcW w:w="2620" w:type="dxa"/>
            <w:vAlign w:val="bottom"/>
            <w:shd w:val="clear" w:color="auto" w:fill="EAEAEA"/>
          </w:tcPr>
          <w:p>
            <w:pPr>
              <w:jc w:val="right"/>
              <w:ind w:right="540"/>
              <w:spacing w:after="0"/>
              <w:rPr>
                <w:sz w:val="20"/>
                <w:szCs w:val="20"/>
                <w:color w:val="auto"/>
              </w:rPr>
            </w:pPr>
            <w:r>
              <w:rPr>
                <w:rFonts w:ascii="Arial" w:cs="Arial" w:eastAsia="Arial" w:hAnsi="Arial"/>
                <w:sz w:val="16"/>
                <w:szCs w:val="16"/>
                <w:color w:val="auto"/>
              </w:rPr>
              <w:t>23,482</w:t>
            </w:r>
          </w:p>
        </w:tc>
        <w:tc>
          <w:tcPr>
            <w:tcW w:w="2380" w:type="dxa"/>
            <w:vAlign w:val="bottom"/>
            <w:shd w:val="clear" w:color="auto" w:fill="EAEAEA"/>
          </w:tcPr>
          <w:p>
            <w:pPr>
              <w:jc w:val="right"/>
              <w:ind w:righ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920" w:type="dxa"/>
            <w:vAlign w:val="bottom"/>
          </w:tcPr>
          <w:p>
            <w:pPr>
              <w:ind w:left="80"/>
              <w:spacing w:after="0"/>
              <w:rPr>
                <w:sz w:val="20"/>
                <w:szCs w:val="20"/>
                <w:color w:val="auto"/>
              </w:rPr>
            </w:pPr>
            <w:r>
              <w:rPr>
                <w:rFonts w:ascii="Arial" w:cs="Arial" w:eastAsia="Arial" w:hAnsi="Arial"/>
                <w:sz w:val="16"/>
                <w:szCs w:val="16"/>
                <w:color w:val="auto"/>
              </w:rPr>
              <w:t>Paul Viera(9)</w:t>
            </w:r>
          </w:p>
        </w:tc>
        <w:tc>
          <w:tcPr>
            <w:tcW w:w="2620" w:type="dxa"/>
            <w:vAlign w:val="bottom"/>
          </w:tcPr>
          <w:p>
            <w:pPr>
              <w:jc w:val="right"/>
              <w:ind w:right="540"/>
              <w:spacing w:after="0"/>
              <w:rPr>
                <w:sz w:val="20"/>
                <w:szCs w:val="20"/>
                <w:color w:val="auto"/>
              </w:rPr>
            </w:pPr>
            <w:r>
              <w:rPr>
                <w:rFonts w:ascii="Arial" w:cs="Arial" w:eastAsia="Arial" w:hAnsi="Arial"/>
                <w:sz w:val="16"/>
                <w:szCs w:val="16"/>
                <w:color w:val="auto"/>
              </w:rPr>
              <w:t>80,452</w:t>
            </w:r>
          </w:p>
        </w:tc>
        <w:tc>
          <w:tcPr>
            <w:tcW w:w="23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4920" w:type="dxa"/>
            <w:vAlign w:val="bottom"/>
            <w:shd w:val="clear" w:color="auto" w:fill="EAEAEA"/>
          </w:tcPr>
          <w:p>
            <w:pPr>
              <w:ind w:left="80"/>
              <w:spacing w:after="0"/>
              <w:rPr>
                <w:sz w:val="20"/>
                <w:szCs w:val="20"/>
                <w:color w:val="auto"/>
              </w:rPr>
            </w:pPr>
            <w:r>
              <w:rPr>
                <w:rFonts w:ascii="Arial" w:cs="Arial" w:eastAsia="Arial" w:hAnsi="Arial"/>
                <w:sz w:val="16"/>
                <w:szCs w:val="16"/>
                <w:color w:val="auto"/>
              </w:rPr>
              <w:t>Roland Hernandez</w:t>
            </w:r>
          </w:p>
        </w:tc>
        <w:tc>
          <w:tcPr>
            <w:tcW w:w="2620" w:type="dxa"/>
            <w:vAlign w:val="bottom"/>
            <w:shd w:val="clear" w:color="auto" w:fill="EAEAEA"/>
          </w:tcPr>
          <w:p>
            <w:pPr>
              <w:jc w:val="right"/>
              <w:ind w:right="540"/>
              <w:spacing w:after="0"/>
              <w:rPr>
                <w:sz w:val="20"/>
                <w:szCs w:val="20"/>
                <w:color w:val="auto"/>
              </w:rPr>
            </w:pPr>
            <w:r>
              <w:rPr>
                <w:rFonts w:ascii="Arial" w:cs="Arial" w:eastAsia="Arial" w:hAnsi="Arial"/>
                <w:sz w:val="16"/>
                <w:szCs w:val="16"/>
                <w:color w:val="auto"/>
              </w:rPr>
              <w:t>1,845</w:t>
            </w:r>
          </w:p>
        </w:tc>
        <w:tc>
          <w:tcPr>
            <w:tcW w:w="2380" w:type="dxa"/>
            <w:vAlign w:val="bottom"/>
            <w:shd w:val="clear" w:color="auto" w:fill="EAEAEA"/>
          </w:tcPr>
          <w:p>
            <w:pPr>
              <w:jc w:val="right"/>
              <w:ind w:righ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80"/>
              <w:spacing w:after="0"/>
              <w:rPr>
                <w:sz w:val="20"/>
                <w:szCs w:val="20"/>
                <w:color w:val="auto"/>
              </w:rPr>
            </w:pPr>
            <w:r>
              <w:rPr>
                <w:rFonts w:ascii="Arial" w:cs="Arial" w:eastAsia="Arial" w:hAnsi="Arial"/>
                <w:sz w:val="16"/>
                <w:szCs w:val="16"/>
                <w:color w:val="auto"/>
              </w:rPr>
              <w:t>All directors and executive officers as a group (11 persons)</w:t>
            </w:r>
          </w:p>
        </w:tc>
        <w:tc>
          <w:tcPr>
            <w:tcW w:w="2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80"/>
              <w:spacing w:after="0"/>
              <w:rPr>
                <w:sz w:val="20"/>
                <w:szCs w:val="20"/>
                <w:color w:val="auto"/>
              </w:rPr>
            </w:pPr>
            <w:r>
              <w:rPr>
                <w:rFonts w:ascii="Arial" w:cs="Arial" w:eastAsia="Arial" w:hAnsi="Arial"/>
                <w:sz w:val="16"/>
                <w:szCs w:val="16"/>
                <w:color w:val="auto"/>
              </w:rPr>
              <w:t>(10)</w:t>
            </w:r>
          </w:p>
        </w:tc>
        <w:tc>
          <w:tcPr>
            <w:tcW w:w="2620" w:type="dxa"/>
            <w:vAlign w:val="bottom"/>
          </w:tcPr>
          <w:p>
            <w:pPr>
              <w:jc w:val="right"/>
              <w:ind w:right="540"/>
              <w:spacing w:after="0"/>
              <w:rPr>
                <w:sz w:val="20"/>
                <w:szCs w:val="20"/>
                <w:color w:val="auto"/>
              </w:rPr>
            </w:pPr>
            <w:r>
              <w:rPr>
                <w:rFonts w:ascii="Arial" w:cs="Arial" w:eastAsia="Arial" w:hAnsi="Arial"/>
                <w:sz w:val="16"/>
                <w:szCs w:val="16"/>
                <w:color w:val="auto"/>
              </w:rPr>
              <w:t>1,252,385</w:t>
            </w:r>
          </w:p>
        </w:tc>
        <w:tc>
          <w:tcPr>
            <w:tcW w:w="2380" w:type="dxa"/>
            <w:vAlign w:val="bottom"/>
          </w:tcPr>
          <w:p>
            <w:pPr>
              <w:jc w:val="right"/>
              <w:ind w:right="42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960" w:hanging="293"/>
        <w:spacing w:after="0"/>
        <w:tabs>
          <w:tab w:leader="none" w:pos="9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Less than 1%.</w:t>
      </w:r>
    </w:p>
    <w:p>
      <w:pPr>
        <w:jc w:val="both"/>
        <w:ind w:left="960" w:right="280" w:hanging="293"/>
        <w:spacing w:after="0" w:line="198" w:lineRule="auto"/>
        <w:tabs>
          <w:tab w:leader="none" w:pos="9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Unless otherwise indicated, the address of each beneficial owner is Take-Two Interactive Software, Inc., 110 West 44</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Street, New York, New York 10036. The address of BlackRock, Inc. is 55 East 52nd Street, New York, New York 10055. The address for Vanguard Group, Inc. is 100 Vanguard Blvd., Malvern, Pennsylvania 19355.</w:t>
      </w:r>
    </w:p>
    <w:p>
      <w:pPr>
        <w:ind w:left="960" w:right="20" w:hanging="293"/>
        <w:spacing w:after="0" w:line="241" w:lineRule="auto"/>
        <w:tabs>
          <w:tab w:leader="none" w:pos="9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Unless otherwise indicated, the Company believes that all persons named in the table have sole voting and investment power with respect to all shares beneficially owned by them. A person is deemed to be the beneficial owner of securities that may be acquired by such person within 60 days after July 16, 2020 and is not deemed to be the beneficial owner of securities that may not be acquired within 60 days after July 16, 2020. Each beneficial owner’s percentage ownership is determined by assuming that exercisable securities that are held by such person (but not those held by any other person) and which are exercisable within 60 days after July 16, 2019 have been exercised.</w:t>
      </w:r>
    </w:p>
    <w:p>
      <w:pPr>
        <w:spacing w:after="0" w:line="1" w:lineRule="exact"/>
        <w:rPr>
          <w:rFonts w:ascii="Arial" w:cs="Arial" w:eastAsia="Arial" w:hAnsi="Arial"/>
          <w:sz w:val="14"/>
          <w:szCs w:val="14"/>
          <w:color w:val="auto"/>
        </w:rPr>
      </w:pPr>
    </w:p>
    <w:p>
      <w:pPr>
        <w:ind w:left="960" w:hanging="293"/>
        <w:spacing w:after="0"/>
        <w:tabs>
          <w:tab w:leader="none" w:pos="9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information contained in a report on Schedule 13G/A filed with the SEC on February 6, 2020.</w:t>
      </w:r>
    </w:p>
    <w:p>
      <w:pPr>
        <w:spacing w:after="0" w:line="1" w:lineRule="exact"/>
        <w:rPr>
          <w:rFonts w:ascii="Arial" w:cs="Arial" w:eastAsia="Arial" w:hAnsi="Arial"/>
          <w:sz w:val="14"/>
          <w:szCs w:val="14"/>
          <w:color w:val="auto"/>
        </w:rPr>
      </w:pPr>
    </w:p>
    <w:p>
      <w:pPr>
        <w:ind w:left="960" w:right="140" w:hanging="293"/>
        <w:spacing w:after="0" w:line="241" w:lineRule="auto"/>
        <w:tabs>
          <w:tab w:leader="none" w:pos="9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information contained in a report on Schedule 13G/A filed with the SEC on February 12, 2020. The Vanguard Group, Inc. reported that Vanguard Fiduciary Trust Company, a wholly-owned subsidiary of The Vanguard Group, Inc., is the beneficial owner of 130,964 shares of common stock as a result of its serving as investment manager of collective trust accounts and that Vanguard Investments Australia, Ltd., a wholly-owned subsidiary of The Vanguard Group, Inc., is the beneficial owner of 99,174 shares of common stock as a result of its serving as investment manager of Australian investment offerings.</w:t>
      </w:r>
    </w:p>
    <w:p>
      <w:pPr>
        <w:spacing w:after="0" w:line="1" w:lineRule="exact"/>
        <w:rPr>
          <w:rFonts w:ascii="Arial" w:cs="Arial" w:eastAsia="Arial" w:hAnsi="Arial"/>
          <w:sz w:val="14"/>
          <w:szCs w:val="14"/>
          <w:color w:val="auto"/>
        </w:rPr>
      </w:pPr>
    </w:p>
    <w:p>
      <w:pPr>
        <w:ind w:left="960" w:right="40" w:hanging="293"/>
        <w:spacing w:after="0" w:line="241" w:lineRule="auto"/>
        <w:tabs>
          <w:tab w:leader="none" w:pos="9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Zelnick is a partner at ZelnickMedia. The shares listed include 113,120 shares of common stock held by Zelnick/Belzberg Living Trust (such shares are indirectly held by Mr. Zelnick), 95,000 shares of common stock held by the Wendy Jay Belzberg 2012 Family Trust (such shares are indirectly held by Mr. Zelnick) and 587,867 RSUs held by ZelnickMedia (such units are not held individually by Mr. Zelnick). Mr. Zelnick disclaims beneficial ownership of the securities held by each of the Zelnick/Belzberg Living Trust, the Wendy Jay Belzberg 2012 Family Trust and ZelnickMedia except to the extent of his pecuniary interest therein. The 587,867 RSUs held by ZelnickMedia consist of (a) unvested RSUs granted to ZelnickMedia on April 15, 2019 settleable for up to 315,315 shares of common stock and (b) unvested RSUs granted to ZelnickMedia on April 13, 2020 settleable for up to 272,552 shares of common stock. A portion of each grant is subject to time-based vesting and the other portion is subject to performance-based vesting. The 2019 grant will vest, if at all, on April 13, 2021, and the 2020 grant will vest, if at all, on April 13, 2022, subject in each case to acceleration or forfeiture under certain circumstances.</w:t>
      </w:r>
    </w:p>
    <w:p>
      <w:pPr>
        <w:spacing w:after="0" w:line="164" w:lineRule="exact"/>
        <w:rPr>
          <w:rFonts w:ascii="Arial" w:cs="Arial" w:eastAsia="Arial" w:hAnsi="Arial"/>
          <w:sz w:val="14"/>
          <w:szCs w:val="14"/>
          <w:color w:val="auto"/>
        </w:rPr>
      </w:pPr>
    </w:p>
    <w:p>
      <w:pPr>
        <w:ind w:left="960" w:hanging="293"/>
        <w:spacing w:after="0"/>
        <w:tabs>
          <w:tab w:leader="none" w:pos="9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Slatoff is a partner at ZelnickMedia. The shares listed include 587,867 RSUs held by ZelnickMedia (such units are not held individually by</w:t>
      </w:r>
    </w:p>
    <w:p>
      <w:pPr>
        <w:spacing w:after="0" w:line="1" w:lineRule="exact"/>
        <w:rPr>
          <w:rFonts w:ascii="Arial" w:cs="Arial" w:eastAsia="Arial" w:hAnsi="Arial"/>
          <w:sz w:val="14"/>
          <w:szCs w:val="14"/>
          <w:color w:val="auto"/>
        </w:rPr>
      </w:pPr>
    </w:p>
    <w:p>
      <w:pPr>
        <w:ind w:left="960" w:right="140"/>
        <w:spacing w:after="0" w:line="247" w:lineRule="auto"/>
        <w:rPr>
          <w:rFonts w:ascii="Arial" w:cs="Arial" w:eastAsia="Arial" w:hAnsi="Arial"/>
          <w:sz w:val="14"/>
          <w:szCs w:val="14"/>
          <w:color w:val="auto"/>
        </w:rPr>
      </w:pPr>
      <w:r>
        <w:rPr>
          <w:rFonts w:ascii="Arial" w:cs="Arial" w:eastAsia="Arial" w:hAnsi="Arial"/>
          <w:sz w:val="14"/>
          <w:szCs w:val="14"/>
          <w:color w:val="auto"/>
        </w:rPr>
        <w:t>Mr. Slatoff). Mr. Slatoff disclaims beneficial ownership of the securities held by ZelnickMedia except to the extent of his pecuniary interest therein. The 587,867 RSUs held by ZelnickMedia consist of (a) unvested RSUs granted to ZelnickMedia on April 15, 2019 settleable for up to 315,315 shares of common stock and (b) unvested RSUs granted to ZelnickMedia on April 13, 2020 settleable for up to 272,552 shares of common stock. A portion of each grant is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270510</wp:posOffset>
            </wp:positionV>
            <wp:extent cx="291465" cy="274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59</w:t>
            </w:r>
          </w:p>
        </w:tc>
      </w:tr>
    </w:tbl>
    <w:p>
      <w:pPr>
        <w:sectPr>
          <w:pgSz w:w="11900" w:h="16838" w:orient="portrait"/>
          <w:cols w:equalWidth="0" w:num="1">
            <w:col w:w="10580"/>
          </w:cols>
          <w:pgMar w:left="320" w:top="459" w:right="9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434594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4594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V</w:t>
      </w:r>
      <w:r>
        <w:rPr>
          <w:rFonts w:ascii="Arial" w:cs="Arial" w:eastAsia="Arial" w:hAnsi="Arial"/>
          <w:sz w:val="11"/>
          <w:szCs w:val="11"/>
          <w:b w:val="1"/>
          <w:bCs w:val="1"/>
          <w:color w:val="005CB9"/>
        </w:rPr>
        <w:t>OTING</w:t>
      </w:r>
      <w:r>
        <w:rPr>
          <w:rFonts w:ascii="Arial" w:cs="Arial" w:eastAsia="Arial" w:hAnsi="Arial"/>
          <w:sz w:val="14"/>
          <w:szCs w:val="14"/>
          <w:b w:val="1"/>
          <w:bCs w:val="1"/>
          <w:color w:val="005CB9"/>
        </w:rPr>
        <w:t xml:space="preserve"> S</w:t>
      </w:r>
      <w:r>
        <w:rPr>
          <w:rFonts w:ascii="Arial" w:cs="Arial" w:eastAsia="Arial" w:hAnsi="Arial"/>
          <w:sz w:val="11"/>
          <w:szCs w:val="11"/>
          <w:b w:val="1"/>
          <w:bCs w:val="1"/>
          <w:color w:val="005CB9"/>
        </w:rPr>
        <w:t>ECURITY</w:t>
      </w:r>
      <w:r>
        <w:rPr>
          <w:rFonts w:ascii="Arial" w:cs="Arial" w:eastAsia="Arial" w:hAnsi="Arial"/>
          <w:sz w:val="14"/>
          <w:szCs w:val="14"/>
          <w:b w:val="1"/>
          <w:bCs w:val="1"/>
          <w:color w:val="005CB9"/>
        </w:rPr>
        <w:t xml:space="preserve"> O</w:t>
      </w:r>
      <w:r>
        <w:rPr>
          <w:rFonts w:ascii="Arial" w:cs="Arial" w:eastAsia="Arial" w:hAnsi="Arial"/>
          <w:sz w:val="11"/>
          <w:szCs w:val="11"/>
          <w:b w:val="1"/>
          <w:bCs w:val="1"/>
          <w:color w:val="005CB9"/>
        </w:rPr>
        <w:t>WNERSHIP OF</w:t>
      </w:r>
      <w:r>
        <w:rPr>
          <w:rFonts w:ascii="Arial" w:cs="Arial" w:eastAsia="Arial" w:hAnsi="Arial"/>
          <w:sz w:val="14"/>
          <w:szCs w:val="14"/>
          <w:b w:val="1"/>
          <w:bCs w:val="1"/>
          <w:color w:val="005CB9"/>
        </w:rPr>
        <w:t xml:space="preserve"> C</w:t>
      </w:r>
      <w:r>
        <w:rPr>
          <w:rFonts w:ascii="Arial" w:cs="Arial" w:eastAsia="Arial" w:hAnsi="Arial"/>
          <w:sz w:val="11"/>
          <w:szCs w:val="11"/>
          <w:b w:val="1"/>
          <w:bCs w:val="1"/>
          <w:color w:val="005CB9"/>
        </w:rPr>
        <w:t>ERTAIN</w:t>
      </w:r>
      <w:r>
        <w:rPr>
          <w:rFonts w:ascii="Arial" w:cs="Arial" w:eastAsia="Arial" w:hAnsi="Arial"/>
          <w:sz w:val="14"/>
          <w:szCs w:val="14"/>
          <w:b w:val="1"/>
          <w:bCs w:val="1"/>
          <w:color w:val="005CB9"/>
        </w:rPr>
        <w:t xml:space="preserve"> B</w:t>
      </w:r>
      <w:r>
        <w:rPr>
          <w:rFonts w:ascii="Arial" w:cs="Arial" w:eastAsia="Arial" w:hAnsi="Arial"/>
          <w:sz w:val="11"/>
          <w:szCs w:val="11"/>
          <w:b w:val="1"/>
          <w:bCs w:val="1"/>
          <w:color w:val="005CB9"/>
        </w:rPr>
        <w:t>ENEFICIAL</w:t>
      </w:r>
      <w:r>
        <w:rPr>
          <w:rFonts w:ascii="Arial" w:cs="Arial" w:eastAsia="Arial" w:hAnsi="Arial"/>
          <w:sz w:val="14"/>
          <w:szCs w:val="14"/>
          <w:b w:val="1"/>
          <w:bCs w:val="1"/>
          <w:color w:val="005CB9"/>
        </w:rPr>
        <w:t xml:space="preserve"> O</w:t>
      </w:r>
      <w:r>
        <w:rPr>
          <w:rFonts w:ascii="Arial" w:cs="Arial" w:eastAsia="Arial" w:hAnsi="Arial"/>
          <w:sz w:val="11"/>
          <w:szCs w:val="11"/>
          <w:b w:val="1"/>
          <w:bCs w:val="1"/>
          <w:color w:val="005CB9"/>
        </w:rPr>
        <w:t>WNERS AND</w:t>
      </w:r>
      <w:r>
        <w:rPr>
          <w:rFonts w:ascii="Arial" w:cs="Arial" w:eastAsia="Arial" w:hAnsi="Arial"/>
          <w:sz w:val="14"/>
          <w:szCs w:val="14"/>
          <w:b w:val="1"/>
          <w:bCs w:val="1"/>
          <w:color w:val="005CB9"/>
        </w:rPr>
        <w:t xml:space="preserve"> M</w:t>
      </w:r>
      <w:r>
        <w:rPr>
          <w:rFonts w:ascii="Arial" w:cs="Arial" w:eastAsia="Arial" w:hAnsi="Arial"/>
          <w:sz w:val="11"/>
          <w:szCs w:val="11"/>
          <w:b w:val="1"/>
          <w:bCs w:val="1"/>
          <w:color w:val="005CB9"/>
        </w:rPr>
        <w:t>ANAGEMENT</w:t>
      </w:r>
    </w:p>
    <w:p>
      <w:pPr>
        <w:spacing w:after="0" w:line="200" w:lineRule="exact"/>
        <w:rPr>
          <w:sz w:val="20"/>
          <w:szCs w:val="20"/>
          <w:color w:val="auto"/>
        </w:rPr>
      </w:pPr>
    </w:p>
    <w:p>
      <w:pPr>
        <w:spacing w:after="0" w:line="251" w:lineRule="exact"/>
        <w:rPr>
          <w:sz w:val="20"/>
          <w:szCs w:val="20"/>
          <w:color w:val="auto"/>
        </w:rPr>
      </w:pPr>
    </w:p>
    <w:p>
      <w:pPr>
        <w:ind w:left="960" w:right="260"/>
        <w:spacing w:after="0" w:line="241" w:lineRule="auto"/>
        <w:rPr>
          <w:sz w:val="20"/>
          <w:szCs w:val="20"/>
          <w:color w:val="auto"/>
        </w:rPr>
      </w:pPr>
      <w:r>
        <w:rPr>
          <w:rFonts w:ascii="Arial" w:cs="Arial" w:eastAsia="Arial" w:hAnsi="Arial"/>
          <w:sz w:val="14"/>
          <w:szCs w:val="14"/>
          <w:color w:val="auto"/>
        </w:rPr>
        <w:t>time-based vesting and the other portion is subject to performance-based vesting. The 2019 grant will vest, if at all, on April 13, 2021, and the 2020 grant will vest, if at all, on April 13, 2022, subject in each case to acceleration or forfeiture under certain circumstances.</w:t>
      </w:r>
    </w:p>
    <w:p>
      <w:pPr>
        <w:spacing w:after="0" w:line="1" w:lineRule="exact"/>
        <w:rPr>
          <w:sz w:val="20"/>
          <w:szCs w:val="20"/>
          <w:color w:val="auto"/>
        </w:rPr>
      </w:pPr>
    </w:p>
    <w:p>
      <w:pPr>
        <w:jc w:val="both"/>
        <w:ind w:left="960" w:right="100" w:hanging="293"/>
        <w:spacing w:after="0" w:line="241" w:lineRule="auto"/>
        <w:tabs>
          <w:tab w:leader="none" w:pos="9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shares listed include (i) 94,985 shares of common stock held by Ms. Goldstein, (ii) 19,221 unvested time-based RSUs held by Ms. Goldstein, and (iii) 97,448 unvested performance-based RSUs held by Ms. Goldstein. Such unvested awards will vest, or fail to vest, in accordance with the terms of the applicable award agreements.</w:t>
      </w:r>
    </w:p>
    <w:p>
      <w:pPr>
        <w:spacing w:after="0" w:line="1" w:lineRule="exact"/>
        <w:rPr>
          <w:rFonts w:ascii="Arial" w:cs="Arial" w:eastAsia="Arial" w:hAnsi="Arial"/>
          <w:sz w:val="14"/>
          <w:szCs w:val="14"/>
          <w:color w:val="auto"/>
        </w:rPr>
      </w:pPr>
    </w:p>
    <w:p>
      <w:pPr>
        <w:jc w:val="both"/>
        <w:ind w:left="960" w:hanging="293"/>
        <w:spacing w:after="0" w:line="241" w:lineRule="auto"/>
        <w:tabs>
          <w:tab w:leader="none" w:pos="9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shares listed include (i) 1 share of common stock held by Mr. Emerson, (ii) 6,728 unvested time-based RSUs held by Mr. Emerson, and (iii) 34,104 unvested performance-based RSUs held by Mr. Emerson. Such unvested awards will vest, or fail to vest, in accordance with the terms of the applicable award agreements.</w:t>
      </w:r>
    </w:p>
    <w:p>
      <w:pPr>
        <w:spacing w:after="0" w:line="1" w:lineRule="exact"/>
        <w:rPr>
          <w:rFonts w:ascii="Arial" w:cs="Arial" w:eastAsia="Arial" w:hAnsi="Arial"/>
          <w:sz w:val="14"/>
          <w:szCs w:val="14"/>
          <w:color w:val="auto"/>
        </w:rPr>
      </w:pPr>
    </w:p>
    <w:p>
      <w:pPr>
        <w:ind w:left="960" w:right="220" w:hanging="293"/>
        <w:spacing w:after="0" w:line="241" w:lineRule="auto"/>
        <w:tabs>
          <w:tab w:leader="none" w:pos="9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shares listed include 75,000 shares of common stock held by The PEV Revocable Living Trust (such securities are indirectly held by Mr. Viera), which were purchased on the open market in August 2018.</w:t>
      </w:r>
    </w:p>
    <w:p>
      <w:pPr>
        <w:ind w:left="960" w:hanging="293"/>
        <w:spacing w:after="0"/>
        <w:tabs>
          <w:tab w:leader="none" w:pos="9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587,867 RSUs held by ZelnickMedia, and beneficially owned by Messrs. Zelnick and Slatoff, are only included 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280670</wp:posOffset>
            </wp:positionV>
            <wp:extent cx="291465" cy="274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60</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60"/>
          </w:cols>
          <w:pgMar w:left="320" w:top="459" w:right="10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0115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39"/>
        <w:spacing w:after="0"/>
        <w:rPr>
          <w:sz w:val="20"/>
          <w:szCs w:val="20"/>
          <w:color w:val="auto"/>
        </w:rPr>
      </w:pPr>
      <w:r>
        <w:rPr>
          <w:rFonts w:ascii="Arial" w:cs="Arial" w:eastAsia="Arial" w:hAnsi="Arial"/>
          <w:sz w:val="40"/>
          <w:szCs w:val="40"/>
          <w:b w:val="1"/>
          <w:bCs w:val="1"/>
          <w:color w:val="FFFFFF"/>
        </w:rPr>
        <w:t>Certain Relationships and Related</w:t>
      </w:r>
    </w:p>
    <w:p>
      <w:pPr>
        <w:spacing w:after="0" w:line="49" w:lineRule="exact"/>
        <w:rPr>
          <w:sz w:val="20"/>
          <w:szCs w:val="20"/>
          <w:color w:val="auto"/>
        </w:rPr>
      </w:pPr>
    </w:p>
    <w:p>
      <w:pPr>
        <w:jc w:val="center"/>
        <w:ind w:right="-739"/>
        <w:spacing w:after="0"/>
        <w:rPr>
          <w:sz w:val="20"/>
          <w:szCs w:val="20"/>
          <w:color w:val="auto"/>
        </w:rPr>
      </w:pPr>
      <w:r>
        <w:rPr>
          <w:rFonts w:ascii="Arial" w:cs="Arial" w:eastAsia="Arial" w:hAnsi="Arial"/>
          <w:sz w:val="40"/>
          <w:szCs w:val="40"/>
          <w:b w:val="1"/>
          <w:bCs w:val="1"/>
          <w:color w:val="FFFFFF"/>
        </w:rPr>
        <w:t>Transactions</w:t>
      </w: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Management Agreement</w:t>
      </w:r>
    </w:p>
    <w:p>
      <w:pPr>
        <w:spacing w:after="0" w:line="117" w:lineRule="exact"/>
        <w:rPr>
          <w:sz w:val="20"/>
          <w:szCs w:val="20"/>
          <w:color w:val="auto"/>
        </w:rPr>
      </w:pPr>
    </w:p>
    <w:p>
      <w:pPr>
        <w:ind w:left="660" w:right="360"/>
        <w:spacing w:after="0" w:line="255" w:lineRule="auto"/>
        <w:rPr>
          <w:sz w:val="20"/>
          <w:szCs w:val="20"/>
          <w:color w:val="auto"/>
        </w:rPr>
      </w:pPr>
      <w:r>
        <w:rPr>
          <w:rFonts w:ascii="Arial" w:cs="Arial" w:eastAsia="Arial" w:hAnsi="Arial"/>
          <w:sz w:val="16"/>
          <w:szCs w:val="16"/>
          <w:color w:val="auto"/>
        </w:rPr>
        <w:t xml:space="preserve">The Company is party to a Management Agreement, dated as of November 17, 2017, and effective January 1, 2018 (the </w:t>
      </w:r>
      <w:r>
        <w:rPr>
          <w:rFonts w:ascii="Arial" w:cs="Arial" w:eastAsia="Arial" w:hAnsi="Arial"/>
          <w:sz w:val="16"/>
          <w:szCs w:val="16"/>
          <w:i w:val="1"/>
          <w:iCs w:val="1"/>
          <w:color w:val="auto"/>
        </w:rPr>
        <w:t>“2017</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 Agreement</w:t>
      </w:r>
      <w:r>
        <w:rPr>
          <w:rFonts w:ascii="Arial" w:cs="Arial" w:eastAsia="Arial" w:hAnsi="Arial"/>
          <w:sz w:val="16"/>
          <w:szCs w:val="16"/>
          <w:color w:val="auto"/>
        </w:rPr>
        <w:t>”), with ZelnickMedia. The 2017 Management Agreement replaced the Company’s previous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with ZelnickMedia, dated as of March 10, 2014 (the </w:t>
      </w:r>
      <w:r>
        <w:rPr>
          <w:rFonts w:ascii="Arial" w:cs="Arial" w:eastAsia="Arial" w:hAnsi="Arial"/>
          <w:sz w:val="16"/>
          <w:szCs w:val="16"/>
          <w:i w:val="1"/>
          <w:iCs w:val="1"/>
          <w:color w:val="auto"/>
        </w:rPr>
        <w:t>“2014 Management Agreement</w:t>
      </w:r>
      <w:r>
        <w:rPr>
          <w:rFonts w:ascii="Arial" w:cs="Arial" w:eastAsia="Arial" w:hAnsi="Arial"/>
          <w:sz w:val="16"/>
          <w:szCs w:val="16"/>
          <w:color w:val="auto"/>
        </w:rPr>
        <w:t>”). Upon its effectiveness, the 2017 Management Agreement superseded and replaced the 2014 Management Agreement, except as otherwise contemplated in the 2017 Management Agreement.</w:t>
      </w:r>
    </w:p>
    <w:p>
      <w:pPr>
        <w:spacing w:after="0" w:line="200" w:lineRule="exact"/>
        <w:rPr>
          <w:sz w:val="20"/>
          <w:szCs w:val="20"/>
          <w:color w:val="auto"/>
        </w:rPr>
      </w:pPr>
    </w:p>
    <w:p>
      <w:pPr>
        <w:ind w:left="660" w:right="560"/>
        <w:spacing w:after="0" w:line="260" w:lineRule="auto"/>
        <w:rPr>
          <w:sz w:val="20"/>
          <w:szCs w:val="20"/>
          <w:color w:val="auto"/>
        </w:rPr>
      </w:pPr>
      <w:r>
        <w:rPr>
          <w:rFonts w:ascii="Arial" w:cs="Arial" w:eastAsia="Arial" w:hAnsi="Arial"/>
          <w:sz w:val="16"/>
          <w:szCs w:val="16"/>
          <w:color w:val="auto"/>
        </w:rPr>
        <w:t>Under the terms of the 2017 Management Agreement, ZelnickMedia provides financial and management consulting services to the Company.</w:t>
      </w:r>
    </w:p>
    <w:p>
      <w:pPr>
        <w:spacing w:after="0" w:line="179" w:lineRule="exact"/>
        <w:rPr>
          <w:sz w:val="20"/>
          <w:szCs w:val="20"/>
          <w:color w:val="auto"/>
        </w:rPr>
      </w:pPr>
    </w:p>
    <w:p>
      <w:pPr>
        <w:ind w:left="660" w:right="80"/>
        <w:spacing w:after="0" w:line="255" w:lineRule="auto"/>
        <w:rPr>
          <w:sz w:val="20"/>
          <w:szCs w:val="20"/>
          <w:color w:val="auto"/>
        </w:rPr>
      </w:pPr>
      <w:r>
        <w:rPr>
          <w:rFonts w:ascii="Arial" w:cs="Arial" w:eastAsia="Arial" w:hAnsi="Arial"/>
          <w:sz w:val="16"/>
          <w:szCs w:val="16"/>
          <w:i w:val="1"/>
          <w:iCs w:val="1"/>
          <w:u w:val="single" w:color="auto"/>
          <w:color w:val="auto"/>
        </w:rPr>
        <w:t>Term and Personnel</w:t>
      </w:r>
      <w:r>
        <w:rPr>
          <w:rFonts w:ascii="Arial" w:cs="Arial" w:eastAsia="Arial" w:hAnsi="Arial"/>
          <w:sz w:val="16"/>
          <w:szCs w:val="16"/>
          <w:color w:val="auto"/>
        </w:rPr>
        <w:t>. The 2017 Management Agreement provides for a term through March 31, 2024, unless earlier terminated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its terms. Under the 2017 Management Agreement, ZelnickMedia continues to provide certain individuals as it deems appropriate for the performance of the 2017 Management Agreement. Specifically (i) Mr. Zelnick serves as Executive Chairman of the Board of Directors and CEO of the Company, (ii) Mr. Slatoff serves as the Company’s President, and (iii) other ZelnickMedia personnel as appropriate provide services to the Company on a project-by-project, as needed basis.</w:t>
      </w:r>
    </w:p>
    <w:p>
      <w:pPr>
        <w:spacing w:after="0" w:line="200" w:lineRule="exact"/>
        <w:rPr>
          <w:sz w:val="20"/>
          <w:szCs w:val="20"/>
          <w:color w:val="auto"/>
        </w:rPr>
      </w:pPr>
    </w:p>
    <w:p>
      <w:pPr>
        <w:ind w:left="660" w:right="60"/>
        <w:spacing w:after="0" w:line="248" w:lineRule="auto"/>
        <w:rPr>
          <w:sz w:val="20"/>
          <w:szCs w:val="20"/>
          <w:color w:val="auto"/>
        </w:rPr>
      </w:pPr>
      <w:r>
        <w:rPr>
          <w:rFonts w:ascii="Arial" w:cs="Arial" w:eastAsia="Arial" w:hAnsi="Arial"/>
          <w:sz w:val="16"/>
          <w:szCs w:val="16"/>
          <w:color w:val="auto"/>
        </w:rPr>
        <w:t>If Mr. Zelnick or any other employee of ZelnickMedia acting in an executive capacity for the Company pursuant to the 2017 Management Agreement is unable or unavailable to serve in such capacity (other than due to a termination by the Company without Cause or their resignation for Good Reason (as such terms are defined in such person’s employment agreement with the Company or, in the case of Mr. Zelnick, in the 2017 Management Agreement)), and ZelnickMedia is unable to provide a qualified individual within a reasonable period of time to serve in such capacity who is reasonably satisfactory to the Board of Directors, then the Company may fill such position with a person not affiliated with ZelnickMedia and deduct the costs of such person’s compensation from ZelnickMedia’s compensation under the 2017 Management Agreement (with such deduction limited to no more than 60% of the aggregate compensation payable to ZelnickMedia if such person replaces Mr. Zelnick and no more than 40% of the aggregate compensation payable to ZelnickMedia if such person replaces Mr. Slatoff).</w:t>
      </w:r>
    </w:p>
    <w:p>
      <w:pPr>
        <w:spacing w:after="0" w:line="190" w:lineRule="exact"/>
        <w:rPr>
          <w:sz w:val="20"/>
          <w:szCs w:val="20"/>
          <w:color w:val="auto"/>
        </w:rPr>
      </w:pPr>
    </w:p>
    <w:p>
      <w:pPr>
        <w:ind w:left="660" w:right="20"/>
        <w:spacing w:after="0" w:line="249" w:lineRule="auto"/>
        <w:rPr>
          <w:sz w:val="20"/>
          <w:szCs w:val="20"/>
          <w:color w:val="auto"/>
        </w:rPr>
      </w:pPr>
      <w:r>
        <w:rPr>
          <w:rFonts w:ascii="Arial" w:cs="Arial" w:eastAsia="Arial" w:hAnsi="Arial"/>
          <w:sz w:val="16"/>
          <w:szCs w:val="16"/>
          <w:i w:val="1"/>
          <w:iCs w:val="1"/>
          <w:u w:val="single" w:color="auto"/>
          <w:color w:val="auto"/>
        </w:rPr>
        <w:t>Management Fee and Annual Bonus Opportunity</w:t>
      </w:r>
      <w:r>
        <w:rPr>
          <w:rFonts w:ascii="Arial" w:cs="Arial" w:eastAsia="Arial" w:hAnsi="Arial"/>
          <w:sz w:val="16"/>
          <w:szCs w:val="16"/>
          <w:i w:val="1"/>
          <w:iCs w:val="1"/>
          <w:color w:val="auto"/>
        </w:rPr>
        <w:t xml:space="preserve"> </w:t>
      </w:r>
      <w:r>
        <w:rPr>
          <w:rFonts w:ascii="Arial" w:cs="Arial" w:eastAsia="Arial" w:hAnsi="Arial"/>
          <w:sz w:val="16"/>
          <w:szCs w:val="16"/>
          <w:color w:val="auto"/>
        </w:rPr>
        <w:t>. Under the 2017 Management Agreement, the Company pays a monthly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fee equal to $258,333.33 per month ($3,100,000 annualized). The management fee will not be decreased during the term of the 2017 Management Agreement. In addition to the monthly management fee, ZelnickMedia receives an annual bonus, subject to the achievement by the Company of certain performance thresholds in respect of each of the fiscal years ending March 31, 2018, 2019, 2020, 2021, 2022, 2023 and 2024. For each fiscal year (other than for the nine-month period from March 31, 2017 to December 31, 2017), the annual bonus opportunity ranges from $0 (at 80% of the Target, as defined in the 2017 Management Agreement) to $7,440,000 (at 150% of the Target or greater). The annual bonus opportunity will not be increased or decreased during the term of the 2017 Management Agreement. If the 2017 Management Agreement is terminated by the Company without Cause (as defined in the 2017 Management Agreement) or by ZelnickMedia for Good Reason (as defined in the 2017 Management Agreement) (whether before or after a Change in Control (as defined in the 2017 Management Agreement)), ZelnickMedia is entitled to be paid on the date of termination an amount equal to the sum of (i) the earned but unpaid portion of the management fee, (ii) any accrued but unpaid annual bonus for a completed fiscal year and (iii) three times the sum of the per annum management fee plus the Target bonus amount.</w:t>
      </w:r>
    </w:p>
    <w:p>
      <w:pPr>
        <w:spacing w:after="0" w:line="193" w:lineRule="exact"/>
        <w:rPr>
          <w:sz w:val="20"/>
          <w:szCs w:val="20"/>
          <w:color w:val="auto"/>
        </w:rPr>
      </w:pPr>
    </w:p>
    <w:p>
      <w:pPr>
        <w:ind w:left="660" w:right="680"/>
        <w:spacing w:after="0" w:line="281" w:lineRule="auto"/>
        <w:rPr>
          <w:sz w:val="20"/>
          <w:szCs w:val="20"/>
          <w:color w:val="auto"/>
        </w:rPr>
      </w:pPr>
      <w:r>
        <w:rPr>
          <w:rFonts w:ascii="Arial" w:cs="Arial" w:eastAsia="Arial" w:hAnsi="Arial"/>
          <w:sz w:val="16"/>
          <w:szCs w:val="16"/>
          <w:i w:val="1"/>
          <w:iCs w:val="1"/>
          <w:u w:val="single" w:color="auto"/>
          <w:color w:val="auto"/>
        </w:rPr>
        <w:t>Expense Reimbursement</w:t>
      </w:r>
      <w:r>
        <w:rPr>
          <w:rFonts w:ascii="Arial" w:cs="Arial" w:eastAsia="Arial" w:hAnsi="Arial"/>
          <w:sz w:val="16"/>
          <w:szCs w:val="16"/>
          <w:color w:val="auto"/>
        </w:rPr>
        <w:t>. Under the 2017 Management Agreement, ZelnickMedia is entitled to the reimbursement of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out-of-pocket expenses in connection with the 2017 Management Agreement and the rendering of services thereunder.</w:t>
      </w:r>
    </w:p>
    <w:p>
      <w:pPr>
        <w:spacing w:after="0" w:line="163"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i w:val="1"/>
          <w:iCs w:val="1"/>
          <w:u w:val="single" w:color="auto"/>
          <w:color w:val="auto"/>
        </w:rPr>
        <w:t>Limits on Compensation</w:t>
      </w:r>
      <w:r>
        <w:rPr>
          <w:rFonts w:ascii="Arial" w:cs="Arial" w:eastAsia="Arial" w:hAnsi="Arial"/>
          <w:sz w:val="16"/>
          <w:szCs w:val="16"/>
          <w:color w:val="auto"/>
        </w:rPr>
        <w:t>. Under the 2017 Management Agreement, no more than 60% of the aggregate compensation payable to</w:t>
      </w:r>
      <w:r>
        <w:rPr>
          <w:rFonts w:ascii="Arial" w:cs="Arial" w:eastAsia="Arial" w:hAnsi="Arial"/>
          <w:sz w:val="16"/>
          <w:szCs w:val="16"/>
          <w:i w:val="1"/>
          <w:iCs w:val="1"/>
          <w:color w:val="auto"/>
        </w:rPr>
        <w:t xml:space="preserve"> </w:t>
      </w:r>
      <w:r>
        <w:rPr>
          <w:rFonts w:ascii="Arial" w:cs="Arial" w:eastAsia="Arial" w:hAnsi="Arial"/>
          <w:sz w:val="16"/>
          <w:szCs w:val="16"/>
          <w:color w:val="auto"/>
        </w:rPr>
        <w:t>ZelnickMedia under the 2017 Management Agreement (whether in the form of the management fee, the annual bonus or the RSU awards) shall be received by or conveyed to Mr. Zelnick (or such other employee of ZelnickMedia that serves as Executive Chairman and CEO of the Company) and no more than 40% of such aggregate compensation shall be received by or conveyed to Mr. Slatoff (or such other employee of ZelnickMedia that serves as the President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271145</wp:posOffset>
            </wp:positionV>
            <wp:extent cx="291465" cy="274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61</w:t>
            </w:r>
          </w:p>
        </w:tc>
      </w:tr>
    </w:tbl>
    <w:p>
      <w:pPr>
        <w:sectPr>
          <w:pgSz w:w="11900" w:h="16838" w:orient="portrait"/>
          <w:cols w:equalWidth="0" w:num="1">
            <w:col w:w="10580"/>
          </w:cols>
          <w:pgMar w:left="320" w:top="459" w:right="9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08610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08610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ERTAIN</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ELATIONSHIPS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ELATED</w:t>
      </w:r>
      <w:r>
        <w:rPr>
          <w:rFonts w:ascii="Arial" w:cs="Arial" w:eastAsia="Arial" w:hAnsi="Arial"/>
          <w:sz w:val="14"/>
          <w:szCs w:val="14"/>
          <w:b w:val="1"/>
          <w:bCs w:val="1"/>
          <w:color w:val="005CB9"/>
        </w:rPr>
        <w:t xml:space="preserve"> T</w:t>
      </w:r>
      <w:r>
        <w:rPr>
          <w:rFonts w:ascii="Arial" w:cs="Arial" w:eastAsia="Arial" w:hAnsi="Arial"/>
          <w:sz w:val="11"/>
          <w:szCs w:val="11"/>
          <w:b w:val="1"/>
          <w:bCs w:val="1"/>
          <w:color w:val="005CB9"/>
        </w:rPr>
        <w:t>RANSACTIONS</w:t>
      </w:r>
    </w:p>
    <w:p>
      <w:pPr>
        <w:spacing w:after="0" w:line="200" w:lineRule="exact"/>
        <w:rPr>
          <w:sz w:val="20"/>
          <w:szCs w:val="20"/>
          <w:color w:val="auto"/>
        </w:rPr>
      </w:pPr>
    </w:p>
    <w:p>
      <w:pPr>
        <w:spacing w:after="0" w:line="232"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i w:val="1"/>
          <w:iCs w:val="1"/>
          <w:u w:val="single" w:color="auto"/>
          <w:color w:val="auto"/>
        </w:rPr>
        <w:t>Restrictions on Sale of Vested Stock</w:t>
      </w:r>
      <w:r>
        <w:rPr>
          <w:rFonts w:ascii="Arial" w:cs="Arial" w:eastAsia="Arial" w:hAnsi="Arial"/>
          <w:sz w:val="16"/>
          <w:szCs w:val="16"/>
          <w:color w:val="auto"/>
        </w:rPr>
        <w:t>. Under the 2017 Management Agreement, prior to March 31, 2024 (or earlier in the event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ZelnickMedia and any Subject Person (as defined in the 2017 Management Agreement) are prohibited from selling or otherwise disposing of any shares of common stock of the Company, if the Market Value (as defined in the 2017 Management Agreement) of all shares of common stock of the Company (including any options, restricted stock and RSUs), after giving effect to such proposed sale or other disposition, owned by ZelnickMedia and each Subject Person in the aggregate as of the trading day immediately preceding the date of the proposed sale or disposition, would be less than six times (6x) the per annum management fee (excluding any bonuses).</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Awards under the 2017 Management Agreement</w:t>
      </w:r>
    </w:p>
    <w:p>
      <w:pPr>
        <w:spacing w:after="0" w:line="133"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Under the 2017 Management Agreement, as further described below, the Company granted RSUs to ZelnickMedia on April 13, 2018 (the “</w:t>
      </w:r>
      <w:r>
        <w:rPr>
          <w:rFonts w:ascii="Arial" w:cs="Arial" w:eastAsia="Arial" w:hAnsi="Arial"/>
          <w:sz w:val="16"/>
          <w:szCs w:val="16"/>
          <w:i w:val="1"/>
          <w:iCs w:val="1"/>
          <w:color w:val="auto"/>
        </w:rPr>
        <w:t>2018 Restricted Units</w:t>
      </w:r>
      <w:r>
        <w:rPr>
          <w:rFonts w:ascii="Arial" w:cs="Arial" w:eastAsia="Arial" w:hAnsi="Arial"/>
          <w:sz w:val="16"/>
          <w:szCs w:val="16"/>
          <w:color w:val="auto"/>
        </w:rPr>
        <w:t>”), on April 15, 2019 (the “</w:t>
      </w:r>
      <w:r>
        <w:rPr>
          <w:rFonts w:ascii="Arial" w:cs="Arial" w:eastAsia="Arial" w:hAnsi="Arial"/>
          <w:sz w:val="16"/>
          <w:szCs w:val="16"/>
          <w:i w:val="1"/>
          <w:iCs w:val="1"/>
          <w:color w:val="auto"/>
        </w:rPr>
        <w:t>2019 Restricted Units</w:t>
      </w:r>
      <w:r>
        <w:rPr>
          <w:rFonts w:ascii="Arial" w:cs="Arial" w:eastAsia="Arial" w:hAnsi="Arial"/>
          <w:sz w:val="16"/>
          <w:szCs w:val="16"/>
          <w:color w:val="auto"/>
        </w:rPr>
        <w:t>”) and on April 13, 2020 (the “</w:t>
      </w:r>
      <w:r>
        <w:rPr>
          <w:rFonts w:ascii="Arial" w:cs="Arial" w:eastAsia="Arial" w:hAnsi="Arial"/>
          <w:sz w:val="16"/>
          <w:szCs w:val="16"/>
          <w:i w:val="1"/>
          <w:iCs w:val="1"/>
          <w:color w:val="auto"/>
        </w:rPr>
        <w:t>2020 Restricted Units</w:t>
      </w:r>
      <w:r>
        <w:rPr>
          <w:rFonts w:ascii="Arial" w:cs="Arial" w:eastAsia="Arial" w:hAnsi="Arial"/>
          <w:sz w:val="16"/>
          <w:szCs w:val="16"/>
          <w:color w:val="auto"/>
        </w:rPr>
        <w:t xml:space="preserve">”) under the 2017 Plan. The 2018 Restricted Units, comprised of both time-based and performance-based RSUs as described below, were granted pursuant to the terms of a Restricted Unit Agreement, dated April 13, 2018, by and between the Company and ZelnickMedia (the “ </w:t>
      </w:r>
      <w:r>
        <w:rPr>
          <w:rFonts w:ascii="Arial" w:cs="Arial" w:eastAsia="Arial" w:hAnsi="Arial"/>
          <w:sz w:val="16"/>
          <w:szCs w:val="16"/>
          <w:i w:val="1"/>
          <w:iCs w:val="1"/>
          <w:color w:val="auto"/>
        </w:rPr>
        <w:t>2018 Restricted</w:t>
      </w:r>
      <w:r>
        <w:rPr>
          <w:rFonts w:ascii="Arial" w:cs="Arial" w:eastAsia="Arial" w:hAnsi="Arial"/>
          <w:sz w:val="16"/>
          <w:szCs w:val="16"/>
          <w:color w:val="auto"/>
        </w:rPr>
        <w:t xml:space="preserve"> </w:t>
      </w:r>
      <w:r>
        <w:rPr>
          <w:rFonts w:ascii="Arial" w:cs="Arial" w:eastAsia="Arial" w:hAnsi="Arial"/>
          <w:sz w:val="16"/>
          <w:szCs w:val="16"/>
          <w:i w:val="1"/>
          <w:iCs w:val="1"/>
          <w:color w:val="auto"/>
        </w:rPr>
        <w:t>Unit Agreement</w:t>
      </w:r>
      <w:r>
        <w:rPr>
          <w:rFonts w:ascii="Arial" w:cs="Arial" w:eastAsia="Arial" w:hAnsi="Arial"/>
          <w:sz w:val="16"/>
          <w:szCs w:val="16"/>
          <w:color w:val="auto"/>
        </w:rPr>
        <w:t>”). The 2019 Restricted Units, comprised of both time-based and performance-based RSUs as described below, were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pursuant to the terms of a Restricted Unit Agreement, dated April 15, 2019, by and between the Company and ZelnickMedia (the “</w:t>
      </w:r>
      <w:r>
        <w:rPr>
          <w:rFonts w:ascii="Arial" w:cs="Arial" w:eastAsia="Arial" w:hAnsi="Arial"/>
          <w:sz w:val="16"/>
          <w:szCs w:val="16"/>
          <w:i w:val="1"/>
          <w:iCs w:val="1"/>
          <w:color w:val="auto"/>
        </w:rPr>
        <w:t>2019 Restricted Unit Agreement</w:t>
      </w:r>
      <w:r>
        <w:rPr>
          <w:rFonts w:ascii="Arial" w:cs="Arial" w:eastAsia="Arial" w:hAnsi="Arial"/>
          <w:sz w:val="16"/>
          <w:szCs w:val="16"/>
          <w:color w:val="auto"/>
        </w:rPr>
        <w:t>”). The 2020 Restricted Units, comprised of both time-based and performance-based RSUs as described below, were granted pursuant to the terms of a Restricted Unit Agreement, dated April 13, 2020, by and between the Company and ZelnickMedia (the “</w:t>
      </w:r>
      <w:r>
        <w:rPr>
          <w:rFonts w:ascii="Arial" w:cs="Arial" w:eastAsia="Arial" w:hAnsi="Arial"/>
          <w:sz w:val="16"/>
          <w:szCs w:val="16"/>
          <w:i w:val="1"/>
          <w:iCs w:val="1"/>
          <w:color w:val="auto"/>
        </w:rPr>
        <w:t>2020 Restricted Unit Agreement</w:t>
      </w:r>
      <w:r>
        <w:rPr>
          <w:rFonts w:ascii="Arial" w:cs="Arial" w:eastAsia="Arial" w:hAnsi="Arial"/>
          <w:sz w:val="16"/>
          <w:szCs w:val="16"/>
          <w:color w:val="auto"/>
        </w:rPr>
        <w:t>”). Under the 2017 Management Agreement, the Company, in its discretion, may grant additional annual equity awards to ZelnickMedia over the course of the term of the 2017 Management Agreement.</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2018 Restricted Units.</w:t>
      </w:r>
    </w:p>
    <w:p>
      <w:pPr>
        <w:spacing w:after="0" w:line="113" w:lineRule="exact"/>
        <w:rPr>
          <w:sz w:val="20"/>
          <w:szCs w:val="20"/>
          <w:color w:val="auto"/>
        </w:rPr>
      </w:pPr>
    </w:p>
    <w:p>
      <w:pPr>
        <w:jc w:val="both"/>
        <w:ind w:left="660" w:right="100"/>
        <w:spacing w:after="0" w:line="263" w:lineRule="auto"/>
        <w:rPr>
          <w:sz w:val="20"/>
          <w:szCs w:val="20"/>
          <w:color w:val="auto"/>
        </w:rPr>
      </w:pPr>
      <w:r>
        <w:rPr>
          <w:rFonts w:ascii="Arial" w:cs="Arial" w:eastAsia="Arial" w:hAnsi="Arial"/>
          <w:sz w:val="16"/>
          <w:szCs w:val="16"/>
          <w:i w:val="1"/>
          <w:iCs w:val="1"/>
          <w:u w:val="single" w:color="auto"/>
          <w:color w:val="auto"/>
        </w:rPr>
        <w:t>Time-Based Award</w:t>
      </w:r>
      <w:r>
        <w:rPr>
          <w:rFonts w:ascii="Arial" w:cs="Arial" w:eastAsia="Arial" w:hAnsi="Arial"/>
          <w:sz w:val="16"/>
          <w:szCs w:val="16"/>
          <w:color w:val="auto"/>
        </w:rPr>
        <w:t>. The Company issued to ZelnickMedia 86,010 time-based RSUs (such number determined by dividing $8,775,000 by</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of the closing prices of the Company’s common stock for each trading day during the 10 trading day period immediately prior to April 1, 2018), all of which units vested on April 13, 2020 (the “</w:t>
      </w:r>
      <w:r>
        <w:rPr>
          <w:rFonts w:ascii="Arial" w:cs="Arial" w:eastAsia="Arial" w:hAnsi="Arial"/>
          <w:sz w:val="16"/>
          <w:szCs w:val="16"/>
          <w:i w:val="1"/>
          <w:iCs w:val="1"/>
          <w:color w:val="auto"/>
        </w:rPr>
        <w:t>2018 Time-Based Award</w:t>
      </w:r>
      <w:r>
        <w:rPr>
          <w:rFonts w:ascii="Arial" w:cs="Arial" w:eastAsia="Arial" w:hAnsi="Arial"/>
          <w:sz w:val="16"/>
          <w:szCs w:val="16"/>
          <w:color w:val="auto"/>
        </w:rPr>
        <w:t>”).</w:t>
      </w:r>
    </w:p>
    <w:p>
      <w:pPr>
        <w:spacing w:after="0" w:line="178"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i w:val="1"/>
          <w:iCs w:val="1"/>
          <w:u w:val="single" w:color="auto"/>
          <w:color w:val="auto"/>
        </w:rPr>
        <w:t>Performance-Based Award</w:t>
      </w:r>
      <w:r>
        <w:rPr>
          <w:rFonts w:ascii="Arial" w:cs="Arial" w:eastAsia="Arial" w:hAnsi="Arial"/>
          <w:sz w:val="16"/>
          <w:szCs w:val="16"/>
          <w:color w:val="auto"/>
        </w:rPr>
        <w:t>. The Company granted ZelnickMedia 210,246 performance-based RSUs (the “</w:t>
      </w:r>
      <w:r>
        <w:rPr>
          <w:rFonts w:ascii="Arial" w:cs="Arial" w:eastAsia="Arial" w:hAnsi="Arial"/>
          <w:sz w:val="16"/>
          <w:szCs w:val="16"/>
          <w:i w:val="1"/>
          <w:iCs w:val="1"/>
          <w:color w:val="auto"/>
        </w:rPr>
        <w:t>2018 Performance Award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represents the maximum number of performance-based RSUs that are eligible to vest (with the target number of performance-based RSUs of 105,123 determined by dividing $10,725,000 by the average of the closing prices of the Company’s common stock for each trading day during the 10 trading day period immediately prior to April 1, 2018). The 2018 Performance Award was divided into the following three categories based on the applicable performance-vesting criteria (as described in the 2018 Restricted Unit Agreement): IP Performance-Based Units, Recurrent Consumer Spending Performance-Based Units, and TSR Performance-Based Units. The results and payout levels for the 2018 Performance Award, all of which vested on April 13,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144780</wp:posOffset>
            </wp:positionV>
            <wp:extent cx="4286250" cy="10115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286250" cy="1011555"/>
                    </a:xfrm>
                    <a:prstGeom prst="rect">
                      <a:avLst/>
                    </a:prstGeom>
                    <a:noFill/>
                  </pic:spPr>
                </pic:pic>
              </a:graphicData>
            </a:graphic>
          </wp:anchor>
        </w:drawing>
      </w:r>
    </w:p>
    <w:p>
      <w:pPr>
        <w:spacing w:after="0" w:line="222" w:lineRule="exact"/>
        <w:rPr>
          <w:sz w:val="20"/>
          <w:szCs w:val="20"/>
          <w:color w:val="auto"/>
        </w:rPr>
      </w:pPr>
    </w:p>
    <w:p>
      <w:pPr>
        <w:jc w:val="center"/>
        <w:ind w:right="-659"/>
        <w:spacing w:after="0"/>
        <w:rPr>
          <w:sz w:val="20"/>
          <w:szCs w:val="20"/>
          <w:color w:val="auto"/>
        </w:rPr>
      </w:pPr>
      <w:r>
        <w:rPr>
          <w:rFonts w:ascii="Arial" w:cs="Arial" w:eastAsia="Arial" w:hAnsi="Arial"/>
          <w:sz w:val="14"/>
          <w:szCs w:val="14"/>
          <w:b w:val="1"/>
          <w:bCs w:val="1"/>
          <w:color w:val="FFFFFF"/>
        </w:rPr>
        <w:t>2018 Performance Award Vested</w:t>
      </w:r>
    </w:p>
    <w:p>
      <w:pPr>
        <w:spacing w:after="0" w:line="19" w:lineRule="exact"/>
        <w:rPr>
          <w:sz w:val="20"/>
          <w:szCs w:val="20"/>
          <w:color w:val="auto"/>
        </w:rPr>
      </w:pPr>
    </w:p>
    <w:p>
      <w:pPr>
        <w:jc w:val="center"/>
        <w:ind w:right="-659"/>
        <w:spacing w:after="0"/>
        <w:rPr>
          <w:sz w:val="20"/>
          <w:szCs w:val="20"/>
          <w:color w:val="auto"/>
        </w:rPr>
      </w:pPr>
      <w:r>
        <w:rPr>
          <w:rFonts w:ascii="Arial" w:cs="Arial" w:eastAsia="Arial" w:hAnsi="Arial"/>
          <w:sz w:val="14"/>
          <w:szCs w:val="14"/>
          <w:b w:val="1"/>
          <w:bCs w:val="1"/>
          <w:color w:val="FFFFFF"/>
        </w:rPr>
        <w:t>(#)</w:t>
      </w:r>
    </w:p>
    <w:p>
      <w:pPr>
        <w:spacing w:after="0" w:line="11"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2400" w:type="dxa"/>
            <w:vAlign w:val="bottom"/>
            <w:tcBorders>
              <w:right w:val="single" w:sz="8" w:color="7F7F7F"/>
            </w:tcBorders>
          </w:tcPr>
          <w:p>
            <w:pPr>
              <w:spacing w:after="0"/>
              <w:rPr>
                <w:sz w:val="14"/>
                <w:szCs w:val="14"/>
                <w:color w:val="auto"/>
              </w:rPr>
            </w:pPr>
          </w:p>
        </w:tc>
        <w:tc>
          <w:tcPr>
            <w:tcW w:w="2200" w:type="dxa"/>
            <w:vAlign w:val="bottom"/>
            <w:tcBorders>
              <w:right w:val="single" w:sz="8" w:color="7F7F7F"/>
            </w:tcBorders>
          </w:tcPr>
          <w:p>
            <w:pPr>
              <w:jc w:val="center"/>
              <w:ind w:left="85"/>
              <w:spacing w:after="0"/>
              <w:rPr>
                <w:sz w:val="20"/>
                <w:szCs w:val="20"/>
                <w:color w:val="auto"/>
              </w:rPr>
            </w:pPr>
            <w:r>
              <w:rPr>
                <w:rFonts w:ascii="Arial" w:cs="Arial" w:eastAsia="Arial" w:hAnsi="Arial"/>
                <w:sz w:val="14"/>
                <w:szCs w:val="14"/>
                <w:b w:val="1"/>
                <w:bCs w:val="1"/>
                <w:color w:val="auto"/>
              </w:rPr>
              <w:t>Based on</w:t>
            </w:r>
          </w:p>
        </w:tc>
        <w:tc>
          <w:tcPr>
            <w:tcW w:w="2140" w:type="dxa"/>
            <w:vAlign w:val="bottom"/>
            <w:vMerge w:val="restart"/>
          </w:tcPr>
          <w:p>
            <w:pPr>
              <w:jc w:val="center"/>
              <w:ind w:left="25"/>
              <w:spacing w:after="0"/>
              <w:rPr>
                <w:sz w:val="20"/>
                <w:szCs w:val="20"/>
                <w:color w:val="auto"/>
              </w:rPr>
            </w:pPr>
            <w:r>
              <w:rPr>
                <w:rFonts w:ascii="Arial" w:cs="Arial" w:eastAsia="Arial" w:hAnsi="Arial"/>
                <w:sz w:val="14"/>
                <w:szCs w:val="14"/>
                <w:b w:val="1"/>
                <w:bCs w:val="1"/>
                <w:color w:val="auto"/>
              </w:rPr>
              <w:t>Based 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tcBorders>
              <w:right w:val="single" w:sz="8" w:color="7F7F7F"/>
            </w:tcBorders>
          </w:tcPr>
          <w:p>
            <w:pPr>
              <w:jc w:val="center"/>
              <w:ind w:left="85"/>
              <w:spacing w:after="0" w:line="149" w:lineRule="exact"/>
              <w:rPr>
                <w:sz w:val="20"/>
                <w:szCs w:val="20"/>
                <w:color w:val="auto"/>
              </w:rPr>
            </w:pPr>
            <w:r>
              <w:rPr>
                <w:rFonts w:ascii="Arial" w:cs="Arial" w:eastAsia="Arial" w:hAnsi="Arial"/>
                <w:sz w:val="14"/>
                <w:szCs w:val="14"/>
                <w:b w:val="1"/>
                <w:bCs w:val="1"/>
                <w:color w:val="auto"/>
              </w:rPr>
              <w:t>Based on</w:t>
            </w:r>
          </w:p>
        </w:tc>
        <w:tc>
          <w:tcPr>
            <w:tcW w:w="2200" w:type="dxa"/>
            <w:vAlign w:val="bottom"/>
            <w:tcBorders>
              <w:right w:val="single" w:sz="8" w:color="7F7F7F"/>
            </w:tcBorders>
          </w:tcPr>
          <w:p>
            <w:pPr>
              <w:jc w:val="center"/>
              <w:ind w:left="85"/>
              <w:spacing w:after="0" w:line="149" w:lineRule="exact"/>
              <w:rPr>
                <w:sz w:val="20"/>
                <w:szCs w:val="20"/>
                <w:color w:val="auto"/>
              </w:rPr>
            </w:pPr>
            <w:r>
              <w:rPr>
                <w:rFonts w:ascii="Arial" w:cs="Arial" w:eastAsia="Arial" w:hAnsi="Arial"/>
                <w:sz w:val="14"/>
                <w:szCs w:val="14"/>
                <w:b w:val="1"/>
                <w:bCs w:val="1"/>
                <w:color w:val="auto"/>
              </w:rPr>
              <w:t>Achievement of</w:t>
            </w:r>
          </w:p>
        </w:tc>
        <w:tc>
          <w:tcPr>
            <w:tcW w:w="2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0" w:type="dxa"/>
            <w:vAlign w:val="bottom"/>
            <w:tcBorders>
              <w:right w:val="single" w:sz="8" w:color="7F7F7F"/>
            </w:tcBorders>
          </w:tcPr>
          <w:p>
            <w:pPr>
              <w:jc w:val="center"/>
              <w:ind w:left="85"/>
              <w:spacing w:after="0"/>
              <w:rPr>
                <w:sz w:val="20"/>
                <w:szCs w:val="20"/>
                <w:color w:val="auto"/>
              </w:rPr>
            </w:pPr>
            <w:r>
              <w:rPr>
                <w:rFonts w:ascii="Arial" w:cs="Arial" w:eastAsia="Arial" w:hAnsi="Arial"/>
                <w:sz w:val="14"/>
                <w:szCs w:val="14"/>
                <w:b w:val="1"/>
                <w:bCs w:val="1"/>
                <w:color w:val="auto"/>
              </w:rPr>
              <w:t>Achievement of</w:t>
            </w:r>
          </w:p>
        </w:tc>
        <w:tc>
          <w:tcPr>
            <w:tcW w:w="2200" w:type="dxa"/>
            <w:vAlign w:val="bottom"/>
            <w:tcBorders>
              <w:right w:val="single" w:sz="8" w:color="7F7F7F"/>
            </w:tcBorders>
          </w:tcPr>
          <w:p>
            <w:pPr>
              <w:jc w:val="center"/>
              <w:ind w:left="85"/>
              <w:spacing w:after="0"/>
              <w:rPr>
                <w:sz w:val="20"/>
                <w:szCs w:val="20"/>
                <w:color w:val="auto"/>
              </w:rPr>
            </w:pPr>
            <w:r>
              <w:rPr>
                <w:rFonts w:ascii="Arial" w:cs="Arial" w:eastAsia="Arial" w:hAnsi="Arial"/>
                <w:sz w:val="14"/>
                <w:szCs w:val="14"/>
                <w:b w:val="1"/>
                <w:bCs w:val="1"/>
                <w:color w:val="auto"/>
              </w:rPr>
              <w:t>Recurrent Consumer</w:t>
            </w:r>
          </w:p>
        </w:tc>
        <w:tc>
          <w:tcPr>
            <w:tcW w:w="2140" w:type="dxa"/>
            <w:vAlign w:val="bottom"/>
          </w:tcPr>
          <w:p>
            <w:pPr>
              <w:jc w:val="center"/>
              <w:ind w:left="25"/>
              <w:spacing w:after="0"/>
              <w:rPr>
                <w:sz w:val="20"/>
                <w:szCs w:val="20"/>
                <w:color w:val="auto"/>
              </w:rPr>
            </w:pPr>
            <w:r>
              <w:rPr>
                <w:rFonts w:ascii="Arial" w:cs="Arial" w:eastAsia="Arial" w:hAnsi="Arial"/>
                <w:sz w:val="14"/>
                <w:szCs w:val="14"/>
                <w:b w:val="1"/>
                <w:bCs w:val="1"/>
                <w:color w:val="auto"/>
              </w:rPr>
              <w:t>Achievement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Borders>
              <w:right w:val="single" w:sz="8" w:color="7F7F7F"/>
            </w:tcBorders>
          </w:tcPr>
          <w:p>
            <w:pPr>
              <w:jc w:val="center"/>
              <w:ind w:left="65"/>
              <w:spacing w:after="0"/>
              <w:rPr>
                <w:sz w:val="20"/>
                <w:szCs w:val="20"/>
                <w:color w:val="auto"/>
              </w:rPr>
            </w:pPr>
            <w:r>
              <w:rPr>
                <w:rFonts w:ascii="Arial" w:cs="Arial" w:eastAsia="Arial" w:hAnsi="Arial"/>
                <w:sz w:val="14"/>
                <w:szCs w:val="14"/>
                <w:b w:val="1"/>
                <w:bCs w:val="1"/>
                <w:color w:val="auto"/>
              </w:rPr>
              <w:t>IP</w:t>
            </w:r>
          </w:p>
        </w:tc>
        <w:tc>
          <w:tcPr>
            <w:tcW w:w="2200" w:type="dxa"/>
            <w:vAlign w:val="bottom"/>
            <w:tcBorders>
              <w:right w:val="single" w:sz="8" w:color="7F7F7F"/>
            </w:tcBorders>
          </w:tcPr>
          <w:p>
            <w:pPr>
              <w:jc w:val="center"/>
              <w:ind w:left="85"/>
              <w:spacing w:after="0"/>
              <w:rPr>
                <w:sz w:val="20"/>
                <w:szCs w:val="20"/>
                <w:color w:val="auto"/>
              </w:rPr>
            </w:pPr>
            <w:r>
              <w:rPr>
                <w:rFonts w:ascii="Arial" w:cs="Arial" w:eastAsia="Arial" w:hAnsi="Arial"/>
                <w:sz w:val="14"/>
                <w:szCs w:val="14"/>
                <w:b w:val="1"/>
                <w:bCs w:val="1"/>
                <w:color w:val="auto"/>
              </w:rPr>
              <w:t>Spending</w:t>
            </w:r>
          </w:p>
        </w:tc>
        <w:tc>
          <w:tcPr>
            <w:tcW w:w="2140" w:type="dxa"/>
            <w:vAlign w:val="bottom"/>
          </w:tcPr>
          <w:p>
            <w:pPr>
              <w:jc w:val="center"/>
              <w:ind w:left="25"/>
              <w:spacing w:after="0"/>
              <w:rPr>
                <w:sz w:val="20"/>
                <w:szCs w:val="20"/>
                <w:color w:val="auto"/>
              </w:rPr>
            </w:pPr>
            <w:r>
              <w:rPr>
                <w:rFonts w:ascii="Arial" w:cs="Arial" w:eastAsia="Arial" w:hAnsi="Arial"/>
                <w:sz w:val="14"/>
                <w:szCs w:val="14"/>
                <w:b w:val="1"/>
                <w:bCs w:val="1"/>
                <w:color w:val="auto"/>
                <w:w w:val="99"/>
              </w:rPr>
              <w:t>TSR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Borders>
              <w:right w:val="single" w:sz="8" w:color="7F7F7F"/>
            </w:tcBorders>
          </w:tcPr>
          <w:p>
            <w:pPr>
              <w:jc w:val="center"/>
              <w:ind w:left="85"/>
              <w:spacing w:after="0"/>
              <w:rPr>
                <w:sz w:val="20"/>
                <w:szCs w:val="20"/>
                <w:color w:val="auto"/>
              </w:rPr>
            </w:pPr>
            <w:r>
              <w:rPr>
                <w:rFonts w:ascii="Arial" w:cs="Arial" w:eastAsia="Arial" w:hAnsi="Arial"/>
                <w:sz w:val="14"/>
                <w:szCs w:val="14"/>
                <w:b w:val="1"/>
                <w:bCs w:val="1"/>
                <w:color w:val="auto"/>
              </w:rPr>
              <w:t>Performance-</w:t>
            </w:r>
          </w:p>
        </w:tc>
        <w:tc>
          <w:tcPr>
            <w:tcW w:w="2200" w:type="dxa"/>
            <w:vAlign w:val="bottom"/>
            <w:tcBorders>
              <w:right w:val="single" w:sz="8" w:color="7F7F7F"/>
            </w:tcBorders>
          </w:tcPr>
          <w:p>
            <w:pPr>
              <w:jc w:val="center"/>
              <w:ind w:left="85"/>
              <w:spacing w:after="0"/>
              <w:rPr>
                <w:sz w:val="20"/>
                <w:szCs w:val="20"/>
                <w:color w:val="auto"/>
              </w:rPr>
            </w:pPr>
            <w:r>
              <w:rPr>
                <w:rFonts w:ascii="Arial" w:cs="Arial" w:eastAsia="Arial" w:hAnsi="Arial"/>
                <w:sz w:val="14"/>
                <w:szCs w:val="14"/>
                <w:b w:val="1"/>
                <w:bCs w:val="1"/>
                <w:color w:val="auto"/>
              </w:rPr>
              <w:t>Performance-</w:t>
            </w:r>
          </w:p>
        </w:tc>
        <w:tc>
          <w:tcPr>
            <w:tcW w:w="2140" w:type="dxa"/>
            <w:vAlign w:val="bottom"/>
          </w:tcPr>
          <w:p>
            <w:pPr>
              <w:jc w:val="center"/>
              <w:ind w:left="25"/>
              <w:spacing w:after="0"/>
              <w:rPr>
                <w:sz w:val="20"/>
                <w:szCs w:val="20"/>
                <w:color w:val="auto"/>
              </w:rPr>
            </w:pPr>
            <w:r>
              <w:rPr>
                <w:rFonts w:ascii="Arial" w:cs="Arial" w:eastAsia="Arial" w:hAnsi="Arial"/>
                <w:sz w:val="14"/>
                <w:szCs w:val="14"/>
                <w:b w:val="1"/>
                <w:bCs w:val="1"/>
                <w:color w:val="auto"/>
              </w:rPr>
              <w:t>Performance-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0" w:type="dxa"/>
            <w:vAlign w:val="bottom"/>
            <w:tcBorders>
              <w:bottom w:val="single" w:sz="8" w:color="7F7F7F"/>
              <w:right w:val="single" w:sz="8" w:color="7F7F7F"/>
            </w:tcBorders>
          </w:tcPr>
          <w:p>
            <w:pPr>
              <w:jc w:val="center"/>
              <w:ind w:left="65"/>
              <w:spacing w:after="0"/>
              <w:rPr>
                <w:sz w:val="20"/>
                <w:szCs w:val="20"/>
                <w:color w:val="auto"/>
              </w:rPr>
            </w:pPr>
            <w:r>
              <w:rPr>
                <w:rFonts w:ascii="Arial" w:cs="Arial" w:eastAsia="Arial" w:hAnsi="Arial"/>
                <w:sz w:val="14"/>
                <w:szCs w:val="14"/>
                <w:b w:val="1"/>
                <w:bCs w:val="1"/>
                <w:color w:val="auto"/>
              </w:rPr>
              <w:t>Vesting Criteria</w:t>
            </w:r>
          </w:p>
        </w:tc>
        <w:tc>
          <w:tcPr>
            <w:tcW w:w="2200" w:type="dxa"/>
            <w:vAlign w:val="bottom"/>
            <w:tcBorders>
              <w:bottom w:val="single" w:sz="8" w:color="7F7F7F"/>
              <w:right w:val="single" w:sz="8" w:color="7F7F7F"/>
            </w:tcBorders>
          </w:tcPr>
          <w:p>
            <w:pPr>
              <w:jc w:val="center"/>
              <w:ind w:left="85"/>
              <w:spacing w:after="0"/>
              <w:rPr>
                <w:sz w:val="20"/>
                <w:szCs w:val="20"/>
                <w:color w:val="auto"/>
              </w:rPr>
            </w:pPr>
            <w:r>
              <w:rPr>
                <w:rFonts w:ascii="Arial" w:cs="Arial" w:eastAsia="Arial" w:hAnsi="Arial"/>
                <w:sz w:val="14"/>
                <w:szCs w:val="14"/>
                <w:b w:val="1"/>
                <w:bCs w:val="1"/>
                <w:color w:val="auto"/>
              </w:rPr>
              <w:t>Vesting Criteria</w:t>
            </w:r>
          </w:p>
        </w:tc>
        <w:tc>
          <w:tcPr>
            <w:tcW w:w="2140" w:type="dxa"/>
            <w:vAlign w:val="bottom"/>
            <w:tcBorders>
              <w:bottom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Vesting Criteria</w:t>
            </w:r>
          </w:p>
        </w:tc>
        <w:tc>
          <w:tcPr>
            <w:tcW w:w="20" w:type="dxa"/>
            <w:vAlign w:val="bottom"/>
            <w:tcBorders>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00" w:type="dxa"/>
            <w:vAlign w:val="bottom"/>
            <w:tcBorders>
              <w:bottom w:val="single" w:sz="8" w:color="7F7F7F"/>
              <w:right w:val="single" w:sz="8" w:color="7F7F7F"/>
            </w:tcBorders>
            <w:shd w:val="clear" w:color="auto" w:fill="F2F2F2"/>
          </w:tcPr>
          <w:p>
            <w:pPr>
              <w:jc w:val="center"/>
              <w:ind w:left="85"/>
              <w:spacing w:after="0"/>
              <w:rPr>
                <w:sz w:val="20"/>
                <w:szCs w:val="20"/>
                <w:color w:val="auto"/>
              </w:rPr>
            </w:pPr>
            <w:r>
              <w:rPr>
                <w:rFonts w:ascii="Arial" w:cs="Arial" w:eastAsia="Arial" w:hAnsi="Arial"/>
                <w:sz w:val="18"/>
                <w:szCs w:val="18"/>
                <w:color w:val="auto"/>
              </w:rPr>
              <w:t>26,280</w:t>
            </w:r>
          </w:p>
        </w:tc>
        <w:tc>
          <w:tcPr>
            <w:tcW w:w="2200" w:type="dxa"/>
            <w:vAlign w:val="bottom"/>
            <w:tcBorders>
              <w:bottom w:val="single" w:sz="8" w:color="7F7F7F"/>
              <w:right w:val="single" w:sz="8" w:color="7F7F7F"/>
            </w:tcBorders>
            <w:shd w:val="clear" w:color="auto" w:fill="F2F2F2"/>
          </w:tcPr>
          <w:p>
            <w:pPr>
              <w:jc w:val="center"/>
              <w:ind w:left="85"/>
              <w:spacing w:after="0"/>
              <w:rPr>
                <w:sz w:val="20"/>
                <w:szCs w:val="20"/>
                <w:color w:val="auto"/>
              </w:rPr>
            </w:pPr>
            <w:r>
              <w:rPr>
                <w:rFonts w:ascii="Arial" w:cs="Arial" w:eastAsia="Arial" w:hAnsi="Arial"/>
                <w:sz w:val="18"/>
                <w:szCs w:val="18"/>
                <w:color w:val="auto"/>
              </w:rPr>
              <w:t>26,282</w:t>
            </w:r>
          </w:p>
        </w:tc>
        <w:tc>
          <w:tcPr>
            <w:tcW w:w="2140" w:type="dxa"/>
            <w:vAlign w:val="bottom"/>
            <w:tcBorders>
              <w:bottom w:val="single" w:sz="8" w:color="7F7F7F"/>
            </w:tcBorders>
            <w:shd w:val="clear" w:color="auto" w:fill="F2F2F2"/>
          </w:tcPr>
          <w:p>
            <w:pPr>
              <w:jc w:val="center"/>
              <w:ind w:left="5"/>
              <w:spacing w:after="0"/>
              <w:rPr>
                <w:sz w:val="20"/>
                <w:szCs w:val="20"/>
                <w:color w:val="auto"/>
              </w:rPr>
            </w:pPr>
            <w:r>
              <w:rPr>
                <w:rFonts w:ascii="Arial" w:cs="Arial" w:eastAsia="Arial" w:hAnsi="Arial"/>
                <w:sz w:val="18"/>
                <w:szCs w:val="18"/>
                <w:color w:val="auto"/>
              </w:rPr>
              <w:t>157,684</w:t>
            </w:r>
          </w:p>
        </w:tc>
        <w:tc>
          <w:tcPr>
            <w:tcW w:w="2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2019 Restricted Units.</w:t>
      </w:r>
    </w:p>
    <w:p>
      <w:pPr>
        <w:spacing w:after="0" w:line="113" w:lineRule="exact"/>
        <w:rPr>
          <w:sz w:val="20"/>
          <w:szCs w:val="20"/>
          <w:color w:val="auto"/>
        </w:rPr>
      </w:pPr>
    </w:p>
    <w:p>
      <w:pPr>
        <w:ind w:left="660" w:right="120"/>
        <w:spacing w:after="0" w:line="281" w:lineRule="auto"/>
        <w:rPr>
          <w:sz w:val="20"/>
          <w:szCs w:val="20"/>
          <w:color w:val="auto"/>
        </w:rPr>
      </w:pPr>
      <w:r>
        <w:rPr>
          <w:rFonts w:ascii="Arial" w:cs="Arial" w:eastAsia="Arial" w:hAnsi="Arial"/>
          <w:sz w:val="16"/>
          <w:szCs w:val="16"/>
          <w:i w:val="1"/>
          <w:iCs w:val="1"/>
          <w:u w:val="single" w:color="auto"/>
          <w:color w:val="auto"/>
        </w:rPr>
        <w:t>Time-Based Award</w:t>
      </w:r>
      <w:r>
        <w:rPr>
          <w:rFonts w:ascii="Arial" w:cs="Arial" w:eastAsia="Arial" w:hAnsi="Arial"/>
          <w:sz w:val="16"/>
          <w:szCs w:val="16"/>
          <w:color w:val="auto"/>
        </w:rPr>
        <w:t>. The Company issued to ZelnickMedia 91,543 time-based RSUs (such number determined by dividing $8,775,000 by</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of the closing prices of the Company’s common stock for each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258445</wp:posOffset>
            </wp:positionV>
            <wp:extent cx="291465" cy="2743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205740</wp:posOffset>
            </wp:positionV>
            <wp:extent cx="314579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145790" cy="137160"/>
                    </a:xfrm>
                    <a:prstGeom prst="rect">
                      <a:avLst/>
                    </a:prstGeom>
                    <a:noFill/>
                  </pic:spPr>
                </pic:pic>
              </a:graphicData>
            </a:graphic>
          </wp:anchor>
        </w:drawing>
      </w:r>
    </w:p>
    <w:p>
      <w:pPr>
        <w:spacing w:after="0" w:line="331"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ERTAIN</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ELATIONSHIPS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ELATED</w:t>
      </w:r>
      <w:r>
        <w:rPr>
          <w:rFonts w:ascii="Arial" w:cs="Arial" w:eastAsia="Arial" w:hAnsi="Arial"/>
          <w:sz w:val="14"/>
          <w:szCs w:val="14"/>
          <w:b w:val="1"/>
          <w:bCs w:val="1"/>
          <w:color w:val="005CB9"/>
        </w:rPr>
        <w:t xml:space="preserve"> T</w:t>
      </w:r>
      <w:r>
        <w:rPr>
          <w:rFonts w:ascii="Arial" w:cs="Arial" w:eastAsia="Arial" w:hAnsi="Arial"/>
          <w:sz w:val="11"/>
          <w:szCs w:val="11"/>
          <w:b w:val="1"/>
          <w:bCs w:val="1"/>
          <w:color w:val="005CB9"/>
        </w:rPr>
        <w:t>RANSACTIONS</w:t>
      </w:r>
    </w:p>
    <w:p>
      <w:pPr>
        <w:spacing w:after="0" w:line="200" w:lineRule="exact"/>
        <w:rPr>
          <w:sz w:val="20"/>
          <w:szCs w:val="20"/>
          <w:color w:val="auto"/>
        </w:rPr>
      </w:pPr>
    </w:p>
    <w:p>
      <w:pPr>
        <w:spacing w:after="0" w:line="248"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during the 10 trading day period immediately prior to April 1, 2019), which units will vest on April 13, 2021, provided that the 2017 Management Agreement has not been terminated prior to such date (the “</w:t>
      </w:r>
      <w:r>
        <w:rPr>
          <w:rFonts w:ascii="Arial" w:cs="Arial" w:eastAsia="Arial" w:hAnsi="Arial"/>
          <w:sz w:val="16"/>
          <w:szCs w:val="16"/>
          <w:i w:val="1"/>
          <w:iCs w:val="1"/>
          <w:color w:val="auto"/>
        </w:rPr>
        <w:t>2019 Time-Based Award</w:t>
      </w:r>
      <w:r>
        <w:rPr>
          <w:rFonts w:ascii="Arial" w:cs="Arial" w:eastAsia="Arial" w:hAnsi="Arial"/>
          <w:sz w:val="16"/>
          <w:szCs w:val="16"/>
          <w:color w:val="auto"/>
        </w:rPr>
        <w:t>”). Notwithstanding the foregoing, the 2019 Time-Based Award will immediately vest in full if the 2017 Management Agreement is terminated by the Company without Cause or by ZelnickMedia for Good Reason. Conversely, ZelnickMedia will forfeit to the Company all 2019 Restricted Units under the 2019 Time-Based Award if the 2017 Management Agreement is terminated by the Company for Cause or by ZelnickMedia without Good Reason prior to April 13, 2021.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i w:val="1"/>
          <w:iCs w:val="1"/>
          <w:u w:val="single" w:color="auto"/>
          <w:color w:val="auto"/>
        </w:rPr>
        <w:t>Performance-Based Award</w:t>
      </w:r>
      <w:r>
        <w:rPr>
          <w:rFonts w:ascii="Arial" w:cs="Arial" w:eastAsia="Arial" w:hAnsi="Arial"/>
          <w:sz w:val="16"/>
          <w:szCs w:val="16"/>
          <w:color w:val="auto"/>
        </w:rPr>
        <w:t>. The Company granted ZelnickMedia 223,772 performance-based RSUs (the “</w:t>
      </w:r>
      <w:r>
        <w:rPr>
          <w:rFonts w:ascii="Arial" w:cs="Arial" w:eastAsia="Arial" w:hAnsi="Arial"/>
          <w:sz w:val="16"/>
          <w:szCs w:val="16"/>
          <w:i w:val="1"/>
          <w:iCs w:val="1"/>
          <w:color w:val="auto"/>
        </w:rPr>
        <w:t>2019 Performance Award</w:t>
      </w:r>
      <w:r>
        <w:rPr>
          <w:rFonts w:ascii="Arial" w:cs="Arial" w:eastAsia="Arial" w:hAnsi="Arial"/>
          <w:sz w:val="16"/>
          <w:szCs w:val="16"/>
          <w:color w:val="auto"/>
        </w:rPr>
        <w: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which represents the maximum number of performance-based RSUs that are eligible to vest (with the target number of performance-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RSUs of 111,886 determined by dividing $10,725,000 by the average of the closing prices of the Company’s common stock for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trading day during the 10 trading day period immediately prior to April 1, 2019) and which have been divided into three categories of</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vesting as follows: (i) on April 13, 2021, a number of IP Performance-Based Units (as defined in the 2019 Restricted Unit Agreement) will</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vest equal to the product of (x) the target number of IP Performance-Based Units in such vesting tranche (13,985) multiplied by (y) the IP</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Vesting Percentage (as defined in the 2019 Restricted Unit Agreement) on March 31, 2021, which ranges from 0% to 200%, (ii) on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April 13, 2021, a number of Recurrent Consumer Spending Performance-Based Units (as defined in the 2019 Restricted Unit Agreement)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will vest equal to the product of (x) the target number of Recurrent Consumer Spending Performance-Based Units in such vesting tranche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(13,986) multiplied by (y) the Recurrent Consumer Spending Vesting Percentage (as defined the 2019 Restricted Unit Agreement) on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March 31, 2021, which ranges from 0% to 200%, and (iii) on April 13, 2021, a number of TSR Performance-Based Units (as defined in the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2019 Restricted Unit Agreement) will vest equal to the product of (x) the target number of TSR Performance-Based Units in such vesting</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tranche (83,915) multiplied by (y) the TSR Vesting Percentage (as defined in the 2019 Restricted Unit Agreement) on March 31, 2021,</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which ranges from 0% to 200%.</w:t>
      </w:r>
    </w:p>
    <w:p>
      <w:pPr>
        <w:spacing w:after="0" w:line="221" w:lineRule="exact"/>
        <w:rPr>
          <w:sz w:val="20"/>
          <w:szCs w:val="20"/>
          <w:color w:val="auto"/>
        </w:rPr>
      </w:pPr>
    </w:p>
    <w:p>
      <w:pPr>
        <w:jc w:val="both"/>
        <w:ind w:left="660" w:right="200"/>
        <w:spacing w:after="0" w:line="253" w:lineRule="auto"/>
        <w:rPr>
          <w:sz w:val="20"/>
          <w:szCs w:val="20"/>
          <w:color w:val="auto"/>
        </w:rPr>
      </w:pPr>
      <w:r>
        <w:rPr>
          <w:rFonts w:ascii="Arial" w:cs="Arial" w:eastAsia="Arial" w:hAnsi="Arial"/>
          <w:sz w:val="16"/>
          <w:szCs w:val="16"/>
          <w:color w:val="auto"/>
        </w:rPr>
        <w:t>In the event that any portion of the 2019 Performance Award will not have vested as of April 13, 2021 or upon a termination of the 2017 Management Agreement by the Company for Cause or by ZelnickMedia without Good Reason, ZelnickMedia will forfeit to the Company any and all 2019 Restricted Units that have not vested as of such date.</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2020 Restricted Units.</w:t>
      </w:r>
    </w:p>
    <w:p>
      <w:pPr>
        <w:spacing w:after="0" w:line="113" w:lineRule="exact"/>
        <w:rPr>
          <w:sz w:val="20"/>
          <w:szCs w:val="20"/>
          <w:color w:val="auto"/>
        </w:rPr>
      </w:pPr>
    </w:p>
    <w:p>
      <w:pPr>
        <w:ind w:left="660" w:right="120"/>
        <w:spacing w:after="0" w:line="252" w:lineRule="auto"/>
        <w:rPr>
          <w:sz w:val="20"/>
          <w:szCs w:val="20"/>
          <w:color w:val="auto"/>
        </w:rPr>
      </w:pPr>
      <w:r>
        <w:rPr>
          <w:rFonts w:ascii="Arial" w:cs="Arial" w:eastAsia="Arial" w:hAnsi="Arial"/>
          <w:sz w:val="16"/>
          <w:szCs w:val="16"/>
          <w:i w:val="1"/>
          <w:iCs w:val="1"/>
          <w:u w:val="single" w:color="auto"/>
          <w:color w:val="auto"/>
        </w:rPr>
        <w:t>Time-Based Award</w:t>
      </w:r>
      <w:r>
        <w:rPr>
          <w:rFonts w:ascii="Arial" w:cs="Arial" w:eastAsia="Arial" w:hAnsi="Arial"/>
          <w:sz w:val="16"/>
          <w:szCs w:val="16"/>
          <w:color w:val="auto"/>
        </w:rPr>
        <w:t>. On April 13, 2020, the Company issued to ZelnickMedia 79,128 time-based RSUs (such number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dividing $8,775,000 by the average of the closing prices of the Company’s common stock for each trading day during the 10 trading day period immediately prior to April 1, 2020), which units will vest on April 13, 2022, provided that the 2017 Management Agreement has not been terminated prior to such date (the “</w:t>
      </w:r>
      <w:r>
        <w:rPr>
          <w:rFonts w:ascii="Arial" w:cs="Arial" w:eastAsia="Arial" w:hAnsi="Arial"/>
          <w:sz w:val="16"/>
          <w:szCs w:val="16"/>
          <w:i w:val="1"/>
          <w:iCs w:val="1"/>
          <w:color w:val="auto"/>
        </w:rPr>
        <w:t>2020 Time-Based Award</w:t>
      </w:r>
      <w:r>
        <w:rPr>
          <w:rFonts w:ascii="Arial" w:cs="Arial" w:eastAsia="Arial" w:hAnsi="Arial"/>
          <w:sz w:val="16"/>
          <w:szCs w:val="16"/>
          <w:color w:val="auto"/>
        </w:rPr>
        <w:t>”). Notwithstanding the foregoing, the 2020 Time-Based Award will immediately vest in full if the 2017 Management Agreement is terminated by the Company without Cause or by ZelnickMedia for Good Reason. Conversely, ZelnickMedia will forfeit to the Company all 2020 Restricted Units under the 2020 Time-Based Award if the 2017 Management Agreement is terminated by the Company for Cause or by ZelnickMedia without Good Reason prior to April 13, 2022.</w:t>
      </w:r>
    </w:p>
    <w:p>
      <w:pPr>
        <w:spacing w:after="0" w:line="187"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i w:val="1"/>
          <w:iCs w:val="1"/>
          <w:u w:val="single" w:color="auto"/>
          <w:color w:val="auto"/>
        </w:rPr>
        <w:t>Performance-Based Award</w:t>
      </w:r>
      <w:r>
        <w:rPr>
          <w:rFonts w:ascii="Arial" w:cs="Arial" w:eastAsia="Arial" w:hAnsi="Arial"/>
          <w:sz w:val="16"/>
          <w:szCs w:val="16"/>
          <w:color w:val="auto"/>
        </w:rPr>
        <w:t>. On April 13, 2020, the Company issued to ZelnickMedia 193,424 performance-based RSUs (the “</w:t>
      </w:r>
      <w:r>
        <w:rPr>
          <w:rFonts w:ascii="Arial" w:cs="Arial" w:eastAsia="Arial" w:hAnsi="Arial"/>
          <w:sz w:val="16"/>
          <w:szCs w:val="16"/>
          <w:i w:val="1"/>
          <w:iCs w:val="1"/>
          <w:color w:val="auto"/>
        </w:rPr>
        <w:t>2020 Performance Award</w:t>
      </w:r>
      <w:r>
        <w:rPr>
          <w:rFonts w:ascii="Arial" w:cs="Arial" w:eastAsia="Arial" w:hAnsi="Arial"/>
          <w:sz w:val="16"/>
          <w:szCs w:val="16"/>
          <w:color w:val="auto"/>
        </w:rPr>
        <w:t>”), representing the maximum number of performance-based RSUs that are eligible to vest (with the target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RSUs of 96,712 based on $10,725,000 divided by the average of the closing prices of the Company’s common stock for each trading day during the 10 trading day period immediately prior to April 1, 2020), which units have been divided into three categories of vesting as follows: (i) on April 13, 2022, a number of Recurrent Consumer Spending Performance-Based Units (as defined in the 2020 Restricted Unit Agreement) will vest equal to the product of (x) the target number of Recurrent Consumer Spending Performance-Based Units in such vesting tranche (12,089) multiplied by (y) the Recurrent Consumer Spending Vesting Percentage (as defined the 2020 Restricted Unit Agreement) on March 31, 2022, which ranges from 0% to 200%, (ii) on April 13, 2022, a number of IP Performance-Based Units (as defined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276860</wp:posOffset>
            </wp:positionV>
            <wp:extent cx="291465" cy="2743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63</w:t>
            </w:r>
          </w:p>
        </w:tc>
      </w:tr>
    </w:tbl>
    <w:p>
      <w:pPr>
        <w:sectPr>
          <w:pgSz w:w="11900" w:h="16838" w:orient="portrait"/>
          <w:cols w:equalWidth="0" w:num="1">
            <w:col w:w="10580"/>
          </w:cols>
          <w:pgMar w:left="320" w:top="459" w:right="9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08610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08610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ERTAIN</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ELATIONSHIPS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ELATED</w:t>
      </w:r>
      <w:r>
        <w:rPr>
          <w:rFonts w:ascii="Arial" w:cs="Arial" w:eastAsia="Arial" w:hAnsi="Arial"/>
          <w:sz w:val="14"/>
          <w:szCs w:val="14"/>
          <w:b w:val="1"/>
          <w:bCs w:val="1"/>
          <w:color w:val="005CB9"/>
        </w:rPr>
        <w:t xml:space="preserve"> T</w:t>
      </w:r>
      <w:r>
        <w:rPr>
          <w:rFonts w:ascii="Arial" w:cs="Arial" w:eastAsia="Arial" w:hAnsi="Arial"/>
          <w:sz w:val="11"/>
          <w:szCs w:val="11"/>
          <w:b w:val="1"/>
          <w:bCs w:val="1"/>
          <w:color w:val="005CB9"/>
        </w:rPr>
        <w:t>RANSACTIONS</w:t>
      </w:r>
    </w:p>
    <w:p>
      <w:pPr>
        <w:spacing w:after="0" w:line="200" w:lineRule="exact"/>
        <w:rPr>
          <w:sz w:val="20"/>
          <w:szCs w:val="20"/>
          <w:color w:val="auto"/>
        </w:rPr>
      </w:pPr>
    </w:p>
    <w:p>
      <w:pPr>
        <w:spacing w:after="0" w:line="248" w:lineRule="exact"/>
        <w:rPr>
          <w:sz w:val="20"/>
          <w:szCs w:val="20"/>
          <w:color w:val="auto"/>
        </w:rPr>
      </w:pPr>
    </w:p>
    <w:p>
      <w:pPr>
        <w:ind w:left="660"/>
        <w:spacing w:after="0" w:line="246" w:lineRule="auto"/>
        <w:rPr>
          <w:sz w:val="20"/>
          <w:szCs w:val="20"/>
          <w:color w:val="auto"/>
        </w:rPr>
      </w:pPr>
      <w:r>
        <w:rPr>
          <w:rFonts w:ascii="Arial" w:cs="Arial" w:eastAsia="Arial" w:hAnsi="Arial"/>
          <w:sz w:val="16"/>
          <w:szCs w:val="16"/>
          <w:color w:val="auto"/>
        </w:rPr>
        <w:t>2020 Restricted Unit Agreement) will vest equal to the product of (x) the target number of IP Performance-Based Units in such vesting tranche (12,089) multiplied by (y) the IP Vesting Percentage (as defined in the 2020 Restricted Unit Agreement) on March 31, 2022, which ranges from 0% to 200%, and (iii) on April 13, 2022, a number of TSR Performance-Based Units (as defined in the 2019 Restricted Unit Agreement) will vest equal to the product of (x) the target number of TSR Performance-Based Units in such vesting tranche</w:t>
      </w:r>
    </w:p>
    <w:p>
      <w:pPr>
        <w:spacing w:after="0" w:line="2" w:lineRule="exact"/>
        <w:rPr>
          <w:sz w:val="20"/>
          <w:szCs w:val="20"/>
          <w:color w:val="auto"/>
        </w:rPr>
      </w:pPr>
    </w:p>
    <w:p>
      <w:pPr>
        <w:ind w:left="660" w:right="400"/>
        <w:spacing w:after="0" w:line="260" w:lineRule="auto"/>
        <w:rPr>
          <w:sz w:val="20"/>
          <w:szCs w:val="20"/>
          <w:color w:val="auto"/>
        </w:rPr>
      </w:pPr>
      <w:r>
        <w:rPr>
          <w:rFonts w:ascii="Arial" w:cs="Arial" w:eastAsia="Arial" w:hAnsi="Arial"/>
          <w:sz w:val="16"/>
          <w:szCs w:val="16"/>
          <w:color w:val="auto"/>
        </w:rPr>
        <w:t>(72,534) multiplied by (y) the TSR Vesting Percentage (as defined in the 2020 Restricted Unit Agreement) on March 31, 2022, which ranges from 0% to 200%.</w:t>
      </w:r>
    </w:p>
    <w:p>
      <w:pPr>
        <w:spacing w:after="0" w:line="195" w:lineRule="exact"/>
        <w:rPr>
          <w:sz w:val="20"/>
          <w:szCs w:val="20"/>
          <w:color w:val="auto"/>
        </w:rPr>
      </w:pPr>
    </w:p>
    <w:p>
      <w:pPr>
        <w:jc w:val="both"/>
        <w:ind w:left="660" w:right="160"/>
        <w:spacing w:after="0" w:line="253" w:lineRule="auto"/>
        <w:rPr>
          <w:sz w:val="20"/>
          <w:szCs w:val="20"/>
          <w:color w:val="auto"/>
        </w:rPr>
      </w:pPr>
      <w:r>
        <w:rPr>
          <w:rFonts w:ascii="Arial" w:cs="Arial" w:eastAsia="Arial" w:hAnsi="Arial"/>
          <w:sz w:val="16"/>
          <w:szCs w:val="16"/>
          <w:color w:val="auto"/>
        </w:rPr>
        <w:t>In the event that any portion of the 2020 Performance Award will not have vested as of April 13, 2022 or upon a termination of the 2017 Management Agreement by the Company for Cause or by ZelnickMedia without Good Reason, ZelnickMedia will forfeit to the Company any and all 2020 Restricted Units that have not vested as of such date.</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Awards under the 2014 Management Agreement</w:t>
      </w:r>
    </w:p>
    <w:p>
      <w:pPr>
        <w:spacing w:after="0" w:line="133" w:lineRule="exact"/>
        <w:rPr>
          <w:sz w:val="20"/>
          <w:szCs w:val="20"/>
          <w:color w:val="auto"/>
        </w:rPr>
      </w:pPr>
    </w:p>
    <w:p>
      <w:pPr>
        <w:ind w:left="660" w:right="20"/>
        <w:spacing w:after="0" w:line="247" w:lineRule="auto"/>
        <w:rPr>
          <w:sz w:val="20"/>
          <w:szCs w:val="20"/>
          <w:color w:val="auto"/>
        </w:rPr>
      </w:pPr>
      <w:r>
        <w:rPr>
          <w:rFonts w:ascii="Arial" w:cs="Arial" w:eastAsia="Arial" w:hAnsi="Arial"/>
          <w:sz w:val="16"/>
          <w:szCs w:val="16"/>
          <w:color w:val="auto"/>
        </w:rPr>
        <w:t>Under the 2014 Management Agreement, as further described below, the Company has granted RSUs to ZelnickMedia on April 1, 2014 (the “</w:t>
      </w:r>
      <w:r>
        <w:rPr>
          <w:rFonts w:ascii="Arial" w:cs="Arial" w:eastAsia="Arial" w:hAnsi="Arial"/>
          <w:sz w:val="16"/>
          <w:szCs w:val="16"/>
          <w:i w:val="1"/>
          <w:iCs w:val="1"/>
          <w:color w:val="auto"/>
        </w:rPr>
        <w:t>2014 Restricted Units</w:t>
      </w:r>
      <w:r>
        <w:rPr>
          <w:rFonts w:ascii="Arial" w:cs="Arial" w:eastAsia="Arial" w:hAnsi="Arial"/>
          <w:sz w:val="16"/>
          <w:szCs w:val="16"/>
          <w:color w:val="auto"/>
        </w:rPr>
        <w:t>”), May 20, 2015 (the “</w:t>
      </w:r>
      <w:r>
        <w:rPr>
          <w:rFonts w:ascii="Arial" w:cs="Arial" w:eastAsia="Arial" w:hAnsi="Arial"/>
          <w:sz w:val="16"/>
          <w:szCs w:val="16"/>
          <w:i w:val="1"/>
          <w:iCs w:val="1"/>
          <w:color w:val="auto"/>
        </w:rPr>
        <w:t>2015 Restricted Units</w:t>
      </w:r>
      <w:r>
        <w:rPr>
          <w:rFonts w:ascii="Arial" w:cs="Arial" w:eastAsia="Arial" w:hAnsi="Arial"/>
          <w:sz w:val="16"/>
          <w:szCs w:val="16"/>
          <w:color w:val="auto"/>
        </w:rPr>
        <w:t>”), May 20, 2016 (the “</w:t>
      </w:r>
      <w:r>
        <w:rPr>
          <w:rFonts w:ascii="Arial" w:cs="Arial" w:eastAsia="Arial" w:hAnsi="Arial"/>
          <w:sz w:val="16"/>
          <w:szCs w:val="16"/>
          <w:i w:val="1"/>
          <w:iCs w:val="1"/>
          <w:color w:val="auto"/>
        </w:rPr>
        <w:t>2016 Restricted Units</w:t>
      </w:r>
      <w:r>
        <w:rPr>
          <w:rFonts w:ascii="Arial" w:cs="Arial" w:eastAsia="Arial" w:hAnsi="Arial"/>
          <w:sz w:val="16"/>
          <w:szCs w:val="16"/>
          <w:color w:val="auto"/>
        </w:rPr>
        <w:t>”) and May 25, 2017 (the “</w:t>
      </w:r>
      <w:r>
        <w:rPr>
          <w:rFonts w:ascii="Arial" w:cs="Arial" w:eastAsia="Arial" w:hAnsi="Arial"/>
          <w:sz w:val="16"/>
          <w:szCs w:val="16"/>
          <w:i w:val="1"/>
          <w:iCs w:val="1"/>
          <w:color w:val="auto"/>
        </w:rPr>
        <w:t>2017 Restricted Units</w:t>
      </w:r>
      <w:r>
        <w:rPr>
          <w:rFonts w:ascii="Arial" w:cs="Arial" w:eastAsia="Arial" w:hAnsi="Arial"/>
          <w:sz w:val="16"/>
          <w:szCs w:val="16"/>
          <w:color w:val="auto"/>
        </w:rPr>
        <w:t>”, and together with the 2014 Restricted Units, the 2015 Restricted Units, the 2016 Restricted Units, the 2018 Restricted Units, the 2019 Restricted Units and the 2020 Restricted Units, the “</w:t>
      </w:r>
      <w:r>
        <w:rPr>
          <w:rFonts w:ascii="Arial" w:cs="Arial" w:eastAsia="Arial" w:hAnsi="Arial"/>
          <w:sz w:val="16"/>
          <w:szCs w:val="16"/>
          <w:i w:val="1"/>
          <w:iCs w:val="1"/>
          <w:color w:val="auto"/>
        </w:rPr>
        <w:t>Restricted Units</w:t>
      </w:r>
      <w:r>
        <w:rPr>
          <w:rFonts w:ascii="Arial" w:cs="Arial" w:eastAsia="Arial" w:hAnsi="Arial"/>
          <w:sz w:val="16"/>
          <w:szCs w:val="16"/>
          <w:color w:val="auto"/>
        </w:rPr>
        <w:t>”) under the 2009 Plan. The 2014 Restricted Units, comprised of both time-based and performance-based RSUs, were granted pursuant to the terms of a Restricted Unit Agreement, dated April 1, 2014, as amended, by and between the Company and ZelnickMedia (the “</w:t>
      </w:r>
      <w:r>
        <w:rPr>
          <w:rFonts w:ascii="Arial" w:cs="Arial" w:eastAsia="Arial" w:hAnsi="Arial"/>
          <w:sz w:val="16"/>
          <w:szCs w:val="16"/>
          <w:i w:val="1"/>
          <w:iCs w:val="1"/>
          <w:color w:val="auto"/>
        </w:rPr>
        <w:t>2014 Restricted Unit Agreement</w:t>
      </w:r>
      <w:r>
        <w:rPr>
          <w:rFonts w:ascii="Arial" w:cs="Arial" w:eastAsia="Arial" w:hAnsi="Arial"/>
          <w:sz w:val="16"/>
          <w:szCs w:val="16"/>
          <w:color w:val="auto"/>
        </w:rPr>
        <w:t xml:space="preserve">”). The 2015 Restricted Units, comprised of both time-based and performance-based RSUs, were granted pursuant to the terms of a Restricted Unit Agreement, dated May 20, 2015, as amended, by and between the Company and ZelnickMedia (the “ </w:t>
      </w:r>
      <w:r>
        <w:rPr>
          <w:rFonts w:ascii="Arial" w:cs="Arial" w:eastAsia="Arial" w:hAnsi="Arial"/>
          <w:sz w:val="16"/>
          <w:szCs w:val="16"/>
          <w:i w:val="1"/>
          <w:iCs w:val="1"/>
          <w:color w:val="auto"/>
        </w:rPr>
        <w:t>2015 Restricted Unit</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The 2016 Restricted Units, comprised of both time-based and performance-based RSUs, were granted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a Restricted Unit Agreement, dated May 20, 2016, by and between the Company and ZelnickMedia (the “</w:t>
      </w:r>
      <w:r>
        <w:rPr>
          <w:rFonts w:ascii="Arial" w:cs="Arial" w:eastAsia="Arial" w:hAnsi="Arial"/>
          <w:sz w:val="16"/>
          <w:szCs w:val="16"/>
          <w:i w:val="1"/>
          <w:iCs w:val="1"/>
          <w:color w:val="auto"/>
        </w:rPr>
        <w:t>2016 Restricted Unit</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The 2017 Restricted Units, comprised of both time-based and performance-based RSUs as described below, were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terms of a Restricted Unit Agreement, dated May 25, 2017, by and between the Company and ZelnickMedia (the “</w:t>
      </w:r>
      <w:r>
        <w:rPr>
          <w:rFonts w:ascii="Arial" w:cs="Arial" w:eastAsia="Arial" w:hAnsi="Arial"/>
          <w:sz w:val="16"/>
          <w:szCs w:val="16"/>
          <w:i w:val="1"/>
          <w:iCs w:val="1"/>
          <w:color w:val="auto"/>
        </w:rPr>
        <w:t>2017</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Restricted Unit Agreement</w:t>
      </w:r>
      <w:r>
        <w:rPr>
          <w:rFonts w:ascii="Arial" w:cs="Arial" w:eastAsia="Arial" w:hAnsi="Arial"/>
          <w:sz w:val="16"/>
          <w:szCs w:val="16"/>
          <w:color w:val="auto"/>
        </w:rPr>
        <w:t>”, and together with the 2014 Restricted Unit Agreement, the 2015 Restricted Unit Agreement, the 2016</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Unit Agreement, the 2018 Restricted Unit Agreement, the 2019 Restricted Unit Agreement and the 2020 Restricted Unit Agreement, the “</w:t>
      </w:r>
      <w:r>
        <w:rPr>
          <w:rFonts w:ascii="Arial" w:cs="Arial" w:eastAsia="Arial" w:hAnsi="Arial"/>
          <w:sz w:val="16"/>
          <w:szCs w:val="16"/>
          <w:i w:val="1"/>
          <w:iCs w:val="1"/>
          <w:color w:val="auto"/>
        </w:rPr>
        <w:t>Restricted Unit Agreements</w:t>
      </w:r>
      <w:r>
        <w:rPr>
          <w:rFonts w:ascii="Arial" w:cs="Arial" w:eastAsia="Arial" w:hAnsi="Arial"/>
          <w:sz w:val="16"/>
          <w:szCs w:val="16"/>
          <w:color w:val="auto"/>
        </w:rPr>
        <w:t>”). As of the date of this Proxy Statement the 2014 Restricted Units, 2015 Restricted Units and 2016 Restricted Units all vested, or failed to vest, in accordance with their terms prior to fiscal 2020.</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2017 Restricted Units.</w:t>
      </w:r>
    </w:p>
    <w:p>
      <w:pPr>
        <w:spacing w:after="0" w:line="113" w:lineRule="exact"/>
        <w:rPr>
          <w:sz w:val="20"/>
          <w:szCs w:val="20"/>
          <w:color w:val="auto"/>
        </w:rPr>
      </w:pPr>
    </w:p>
    <w:p>
      <w:pPr>
        <w:ind w:left="660" w:right="60"/>
        <w:spacing w:after="0" w:line="258" w:lineRule="auto"/>
        <w:rPr>
          <w:sz w:val="20"/>
          <w:szCs w:val="20"/>
          <w:color w:val="auto"/>
        </w:rPr>
      </w:pPr>
      <w:r>
        <w:rPr>
          <w:rFonts w:ascii="Arial" w:cs="Arial" w:eastAsia="Arial" w:hAnsi="Arial"/>
          <w:sz w:val="16"/>
          <w:szCs w:val="16"/>
          <w:i w:val="1"/>
          <w:iCs w:val="1"/>
          <w:u w:val="single" w:color="auto"/>
          <w:color w:val="auto"/>
        </w:rPr>
        <w:t>Time-Based Award</w:t>
      </w:r>
      <w:r>
        <w:rPr>
          <w:rFonts w:ascii="Arial" w:cs="Arial" w:eastAsia="Arial" w:hAnsi="Arial"/>
          <w:sz w:val="16"/>
          <w:szCs w:val="16"/>
          <w:color w:val="auto"/>
        </w:rPr>
        <w:t>. The Company issued to ZelnickMedia 66,122 time-based RSUs (such number determined by dividing $3,850,000 by</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of the closing prices of the Company’s common stock for each trading day during the 10 trading day period immediately prior to April 1, 2017), all of which units vested on April 4, 2019 (the “</w:t>
      </w:r>
      <w:r>
        <w:rPr>
          <w:rFonts w:ascii="Arial" w:cs="Arial" w:eastAsia="Arial" w:hAnsi="Arial"/>
          <w:sz w:val="16"/>
          <w:szCs w:val="16"/>
          <w:i w:val="1"/>
          <w:iCs w:val="1"/>
          <w:color w:val="auto"/>
        </w:rPr>
        <w:t>2017 Time-Based Award</w:t>
      </w:r>
      <w:r>
        <w:rPr>
          <w:rFonts w:ascii="Arial" w:cs="Arial" w:eastAsia="Arial" w:hAnsi="Arial"/>
          <w:sz w:val="16"/>
          <w:szCs w:val="16"/>
          <w:color w:val="auto"/>
        </w:rPr>
        <w:t>”, and together with the 2018 Time-Based Awards, the 2019 Time-Based Awards and the 2020 Time-Based Awards, the “</w:t>
      </w:r>
      <w:r>
        <w:rPr>
          <w:rFonts w:ascii="Arial" w:cs="Arial" w:eastAsia="Arial" w:hAnsi="Arial"/>
          <w:sz w:val="16"/>
          <w:szCs w:val="16"/>
          <w:i w:val="1"/>
          <w:iCs w:val="1"/>
          <w:color w:val="auto"/>
        </w:rPr>
        <w:t>Time-Based Awards</w:t>
      </w:r>
      <w:r>
        <w:rPr>
          <w:rFonts w:ascii="Arial" w:cs="Arial" w:eastAsia="Arial" w:hAnsi="Arial"/>
          <w:sz w:val="16"/>
          <w:szCs w:val="16"/>
          <w:color w:val="auto"/>
        </w:rPr>
        <w:t>”).</w:t>
      </w:r>
    </w:p>
    <w:p>
      <w:pPr>
        <w:spacing w:after="0" w:line="181" w:lineRule="exact"/>
        <w:rPr>
          <w:sz w:val="20"/>
          <w:szCs w:val="20"/>
          <w:color w:val="auto"/>
        </w:rPr>
      </w:pPr>
    </w:p>
    <w:p>
      <w:pPr>
        <w:ind w:left="660" w:right="20"/>
        <w:spacing w:after="0" w:line="252" w:lineRule="auto"/>
        <w:rPr>
          <w:sz w:val="20"/>
          <w:szCs w:val="20"/>
          <w:color w:val="auto"/>
        </w:rPr>
      </w:pPr>
      <w:r>
        <w:rPr>
          <w:rFonts w:ascii="Arial" w:cs="Arial" w:eastAsia="Arial" w:hAnsi="Arial"/>
          <w:sz w:val="16"/>
          <w:szCs w:val="16"/>
          <w:i w:val="1"/>
          <w:iCs w:val="1"/>
          <w:u w:val="single" w:color="auto"/>
          <w:color w:val="auto"/>
        </w:rPr>
        <w:t>Performance-Based Award</w:t>
      </w:r>
      <w:r>
        <w:rPr>
          <w:rFonts w:ascii="Arial" w:cs="Arial" w:eastAsia="Arial" w:hAnsi="Arial"/>
          <w:sz w:val="16"/>
          <w:szCs w:val="16"/>
          <w:color w:val="auto"/>
        </w:rPr>
        <w:t>. The Company granted ZelnickMedia 163,160 performance-based RSUs (the “</w:t>
      </w:r>
      <w:r>
        <w:rPr>
          <w:rFonts w:ascii="Arial" w:cs="Arial" w:eastAsia="Arial" w:hAnsi="Arial"/>
          <w:sz w:val="16"/>
          <w:szCs w:val="16"/>
          <w:i w:val="1"/>
          <w:iCs w:val="1"/>
          <w:color w:val="auto"/>
        </w:rPr>
        <w:t>2017 Performance Award</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with the 2018 Performance Award, the 2019 Performance Award and the 2020 Performance Award, the “</w:t>
      </w:r>
      <w:r>
        <w:rPr>
          <w:rFonts w:ascii="Arial" w:cs="Arial" w:eastAsia="Arial" w:hAnsi="Arial"/>
          <w:sz w:val="16"/>
          <w:szCs w:val="16"/>
          <w:i w:val="1"/>
          <w:iCs w:val="1"/>
          <w:color w:val="auto"/>
        </w:rPr>
        <w:t>Performance Awards</w:t>
      </w:r>
      <w:r>
        <w:rPr>
          <w:rFonts w:ascii="Arial" w:cs="Arial" w:eastAsia="Arial" w:hAnsi="Arial"/>
          <w:sz w:val="16"/>
          <w:szCs w:val="16"/>
          <w:color w:val="auto"/>
        </w:rPr>
        <w:t>”), which represents the maximum number of performance-based RSUs that are eligible to vest (with the target number of performance-based RSUs of 81,580 determined by dividing $4,750,000 by the average of the closing prices of the Company’s common stock for each trading day during the 10 trading day period immediately prior to April 1, 2017). The 2017 Performance Award was divided into the following three categories based on the applicable performance-vesting criteria (as described in the 2017 Restricted Unit Agreement): New IP Performance-Based Units, Major IP Performance-Based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273050</wp:posOffset>
            </wp:positionV>
            <wp:extent cx="291465" cy="274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40"/>
          </w:cols>
          <w:pgMar w:left="320" w:top="459"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205740</wp:posOffset>
            </wp:positionV>
            <wp:extent cx="314579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145790" cy="137160"/>
                    </a:xfrm>
                    <a:prstGeom prst="rect">
                      <a:avLst/>
                    </a:prstGeom>
                    <a:noFill/>
                  </pic:spPr>
                </pic:pic>
              </a:graphicData>
            </a:graphic>
          </wp:anchor>
        </w:drawing>
      </w:r>
    </w:p>
    <w:p>
      <w:pPr>
        <w:spacing w:after="0" w:line="331"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ERTAIN</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ELATIONSHIPS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ELATED</w:t>
      </w:r>
      <w:r>
        <w:rPr>
          <w:rFonts w:ascii="Arial" w:cs="Arial" w:eastAsia="Arial" w:hAnsi="Arial"/>
          <w:sz w:val="14"/>
          <w:szCs w:val="14"/>
          <w:b w:val="1"/>
          <w:bCs w:val="1"/>
          <w:color w:val="005CB9"/>
        </w:rPr>
        <w:t xml:space="preserve"> T</w:t>
      </w:r>
      <w:r>
        <w:rPr>
          <w:rFonts w:ascii="Arial" w:cs="Arial" w:eastAsia="Arial" w:hAnsi="Arial"/>
          <w:sz w:val="11"/>
          <w:szCs w:val="11"/>
          <w:b w:val="1"/>
          <w:bCs w:val="1"/>
          <w:color w:val="005CB9"/>
        </w:rPr>
        <w:t>RANSACTIONS</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TSR Performance-Based Units. The results and payout levels for the 2017 Performance Award, which vested, or failed to vest, on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April 4, 2019, are as follows:</w:t>
      </w:r>
    </w:p>
    <w:p>
      <w:pPr>
        <w:spacing w:after="0" w:line="246" w:lineRule="exact"/>
        <w:rPr>
          <w:sz w:val="20"/>
          <w:szCs w:val="20"/>
          <w:color w:val="auto"/>
        </w:rPr>
      </w:pPr>
    </w:p>
    <w:tbl>
      <w:tblPr>
        <w:tblLayout w:type="fixed"/>
        <w:tblInd w:w="670" w:type="dxa"/>
        <w:tblCellMar>
          <w:top w:w="0" w:type="dxa"/>
          <w:left w:w="0" w:type="dxa"/>
          <w:bottom w:w="0" w:type="dxa"/>
          <w:right w:w="0" w:type="dxa"/>
        </w:tblCellMar>
      </w:tblPr>
      <w:tr>
        <w:trPr>
          <w:trHeight w:val="176"/>
        </w:trPr>
        <w:tc>
          <w:tcPr>
            <w:tcW w:w="1420" w:type="dxa"/>
            <w:vAlign w:val="bottom"/>
            <w:tcBorders>
              <w:left w:val="single" w:sz="8" w:color="7F7F7F"/>
            </w:tcBorders>
            <w:shd w:val="clear" w:color="auto" w:fill="005CB9"/>
          </w:tcPr>
          <w:p>
            <w:pPr>
              <w:spacing w:after="0"/>
              <w:rPr>
                <w:sz w:val="15"/>
                <w:szCs w:val="15"/>
                <w:color w:val="auto"/>
              </w:rPr>
            </w:pPr>
          </w:p>
        </w:tc>
        <w:tc>
          <w:tcPr>
            <w:tcW w:w="3540" w:type="dxa"/>
            <w:vAlign w:val="bottom"/>
            <w:tcBorders>
              <w:right w:val="single" w:sz="8" w:color="7F7F7F"/>
            </w:tcBorders>
            <w:gridSpan w:val="3"/>
            <w:shd w:val="clear" w:color="auto" w:fill="005CB9"/>
          </w:tcPr>
          <w:p>
            <w:pPr>
              <w:jc w:val="center"/>
              <w:ind w:right="1205"/>
              <w:spacing w:after="0"/>
              <w:rPr>
                <w:sz w:val="20"/>
                <w:szCs w:val="20"/>
                <w:color w:val="auto"/>
              </w:rPr>
            </w:pPr>
            <w:r>
              <w:rPr>
                <w:rFonts w:ascii="Arial" w:cs="Arial" w:eastAsia="Arial" w:hAnsi="Arial"/>
                <w:sz w:val="14"/>
                <w:szCs w:val="14"/>
                <w:b w:val="1"/>
                <w:bCs w:val="1"/>
                <w:color w:val="FFFFFF"/>
              </w:rPr>
              <w:t>2017 Performance Award Vested</w:t>
            </w:r>
          </w:p>
        </w:tc>
        <w:tc>
          <w:tcPr>
            <w:tcW w:w="4960" w:type="dxa"/>
            <w:vAlign w:val="bottom"/>
            <w:gridSpan w:val="3"/>
            <w:shd w:val="clear" w:color="auto" w:fill="005CB9"/>
          </w:tcPr>
          <w:p>
            <w:pPr>
              <w:jc w:val="center"/>
              <w:spacing w:after="0"/>
              <w:rPr>
                <w:sz w:val="20"/>
                <w:szCs w:val="20"/>
                <w:color w:val="auto"/>
              </w:rPr>
            </w:pPr>
            <w:r>
              <w:rPr>
                <w:rFonts w:ascii="Arial" w:cs="Arial" w:eastAsia="Arial" w:hAnsi="Arial"/>
                <w:sz w:val="14"/>
                <w:szCs w:val="14"/>
                <w:b w:val="1"/>
                <w:bCs w:val="1"/>
                <w:color w:val="FFFFFF"/>
              </w:rPr>
              <w:t>2017 Performance Award Forfeited</w:t>
            </w:r>
          </w:p>
        </w:tc>
      </w:tr>
      <w:tr>
        <w:trPr>
          <w:trHeight w:val="202"/>
        </w:trPr>
        <w:tc>
          <w:tcPr>
            <w:tcW w:w="1420" w:type="dxa"/>
            <w:vAlign w:val="bottom"/>
            <w:tcBorders>
              <w:left w:val="single" w:sz="8" w:color="7F7F7F"/>
            </w:tcBorders>
            <w:shd w:val="clear" w:color="auto" w:fill="005CB9"/>
          </w:tcPr>
          <w:p>
            <w:pPr>
              <w:spacing w:after="0"/>
              <w:rPr>
                <w:sz w:val="17"/>
                <w:szCs w:val="17"/>
                <w:color w:val="auto"/>
              </w:rPr>
            </w:pPr>
          </w:p>
        </w:tc>
        <w:tc>
          <w:tcPr>
            <w:tcW w:w="1840" w:type="dxa"/>
            <w:vAlign w:val="bottom"/>
            <w:tcBorders>
              <w:right w:val="single" w:sz="8" w:color="005CB9"/>
            </w:tcBorders>
            <w:gridSpan w:val="2"/>
            <w:shd w:val="clear" w:color="auto" w:fill="005CB9"/>
          </w:tcPr>
          <w:p>
            <w:pPr>
              <w:jc w:val="right"/>
              <w:ind w:right="545"/>
              <w:spacing w:after="0"/>
              <w:rPr>
                <w:sz w:val="20"/>
                <w:szCs w:val="20"/>
                <w:color w:val="auto"/>
              </w:rPr>
            </w:pPr>
            <w:r>
              <w:rPr>
                <w:rFonts w:ascii="Arial" w:cs="Arial" w:eastAsia="Arial" w:hAnsi="Arial"/>
                <w:sz w:val="14"/>
                <w:szCs w:val="14"/>
                <w:b w:val="1"/>
                <w:bCs w:val="1"/>
                <w:color w:val="FFFFFF"/>
              </w:rPr>
              <w:t>(#)</w:t>
            </w:r>
          </w:p>
        </w:tc>
        <w:tc>
          <w:tcPr>
            <w:tcW w:w="1700" w:type="dxa"/>
            <w:vAlign w:val="bottom"/>
            <w:tcBorders>
              <w:right w:val="single" w:sz="8" w:color="7F7F7F"/>
            </w:tcBorders>
            <w:shd w:val="clear" w:color="auto" w:fill="005CB9"/>
          </w:tcPr>
          <w:p>
            <w:pPr>
              <w:spacing w:after="0"/>
              <w:rPr>
                <w:sz w:val="17"/>
                <w:szCs w:val="17"/>
                <w:color w:val="auto"/>
              </w:rPr>
            </w:pPr>
          </w:p>
        </w:tc>
        <w:tc>
          <w:tcPr>
            <w:tcW w:w="1680" w:type="dxa"/>
            <w:vAlign w:val="bottom"/>
            <w:tcBorders>
              <w:right w:val="single" w:sz="8" w:color="005CB9"/>
            </w:tcBorders>
            <w:shd w:val="clear" w:color="auto" w:fill="005CB9"/>
          </w:tcPr>
          <w:p>
            <w:pPr>
              <w:spacing w:after="0"/>
              <w:rPr>
                <w:sz w:val="17"/>
                <w:szCs w:val="17"/>
                <w:color w:val="auto"/>
              </w:rPr>
            </w:pPr>
          </w:p>
        </w:tc>
        <w:tc>
          <w:tcPr>
            <w:tcW w:w="1700" w:type="dxa"/>
            <w:vAlign w:val="bottom"/>
            <w:tcBorders>
              <w:right w:val="single" w:sz="8" w:color="005CB9"/>
            </w:tcBorders>
            <w:shd w:val="clear" w:color="auto" w:fill="005CB9"/>
          </w:tcPr>
          <w:p>
            <w:pPr>
              <w:jc w:val="right"/>
              <w:ind w:right="705"/>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005CB9"/>
          </w:tcPr>
          <w:p>
            <w:pPr>
              <w:spacing w:after="0"/>
              <w:rPr>
                <w:sz w:val="17"/>
                <w:szCs w:val="17"/>
                <w:color w:val="auto"/>
              </w:rPr>
            </w:pPr>
          </w:p>
        </w:tc>
      </w:tr>
      <w:tr>
        <w:trPr>
          <w:trHeight w:val="149"/>
        </w:trPr>
        <w:tc>
          <w:tcPr>
            <w:tcW w:w="1420" w:type="dxa"/>
            <w:vAlign w:val="bottom"/>
            <w:tcBorders>
              <w:left w:val="single" w:sz="8" w:color="7F7F7F"/>
            </w:tcBorders>
          </w:tcPr>
          <w:p>
            <w:pPr>
              <w:jc w:val="center"/>
              <w:ind w:left="225"/>
              <w:spacing w:after="0" w:line="149" w:lineRule="exact"/>
              <w:rPr>
                <w:sz w:val="20"/>
                <w:szCs w:val="20"/>
                <w:color w:val="auto"/>
              </w:rPr>
            </w:pPr>
            <w:r>
              <w:rPr>
                <w:rFonts w:ascii="Arial" w:cs="Arial" w:eastAsia="Arial" w:hAnsi="Arial"/>
                <w:sz w:val="14"/>
                <w:szCs w:val="14"/>
                <w:b w:val="1"/>
                <w:bCs w:val="1"/>
                <w:color w:val="auto"/>
              </w:rPr>
              <w:t>Based on</w:t>
            </w:r>
          </w:p>
        </w:tc>
        <w:tc>
          <w:tcPr>
            <w:tcW w:w="160" w:type="dxa"/>
            <w:vAlign w:val="bottom"/>
            <w:tcBorders>
              <w:right w:val="single" w:sz="8" w:color="7F7F7F"/>
            </w:tcBorders>
          </w:tcPr>
          <w:p>
            <w:pPr>
              <w:spacing w:after="0"/>
              <w:rPr>
                <w:sz w:val="12"/>
                <w:szCs w:val="12"/>
                <w:color w:val="auto"/>
              </w:rPr>
            </w:pPr>
          </w:p>
        </w:tc>
        <w:tc>
          <w:tcPr>
            <w:tcW w:w="1680" w:type="dxa"/>
            <w:vAlign w:val="bottom"/>
            <w:tcBorders>
              <w:right w:val="single" w:sz="8" w:color="7F7F7F"/>
            </w:tcBorders>
          </w:tcPr>
          <w:p>
            <w:pPr>
              <w:jc w:val="center"/>
              <w:ind w:left="5"/>
              <w:spacing w:after="0" w:line="149" w:lineRule="exact"/>
              <w:rPr>
                <w:sz w:val="20"/>
                <w:szCs w:val="20"/>
                <w:color w:val="auto"/>
              </w:rPr>
            </w:pPr>
            <w:r>
              <w:rPr>
                <w:rFonts w:ascii="Arial" w:cs="Arial" w:eastAsia="Arial" w:hAnsi="Arial"/>
                <w:sz w:val="14"/>
                <w:szCs w:val="14"/>
                <w:b w:val="1"/>
                <w:bCs w:val="1"/>
                <w:color w:val="auto"/>
              </w:rPr>
              <w:t>Based on</w:t>
            </w:r>
          </w:p>
        </w:tc>
        <w:tc>
          <w:tcPr>
            <w:tcW w:w="1700" w:type="dxa"/>
            <w:vAlign w:val="bottom"/>
            <w:tcBorders>
              <w:right w:val="single" w:sz="8" w:color="7F7F7F"/>
            </w:tcBorders>
          </w:tcPr>
          <w:p>
            <w:pPr>
              <w:jc w:val="center"/>
              <w:ind w:left="5"/>
              <w:spacing w:after="0" w:line="149" w:lineRule="exact"/>
              <w:rPr>
                <w:sz w:val="20"/>
                <w:szCs w:val="20"/>
                <w:color w:val="auto"/>
              </w:rPr>
            </w:pPr>
            <w:r>
              <w:rPr>
                <w:rFonts w:ascii="Arial" w:cs="Arial" w:eastAsia="Arial" w:hAnsi="Arial"/>
                <w:sz w:val="14"/>
                <w:szCs w:val="14"/>
                <w:b w:val="1"/>
                <w:bCs w:val="1"/>
                <w:color w:val="auto"/>
              </w:rPr>
              <w:t>Based on</w:t>
            </w:r>
          </w:p>
        </w:tc>
        <w:tc>
          <w:tcPr>
            <w:tcW w:w="1680" w:type="dxa"/>
            <w:vAlign w:val="bottom"/>
            <w:tcBorders>
              <w:right w:val="single" w:sz="8" w:color="7F7F7F"/>
            </w:tcBorders>
          </w:tcPr>
          <w:p>
            <w:pPr>
              <w:jc w:val="center"/>
              <w:ind w:left="5"/>
              <w:spacing w:after="0" w:line="149" w:lineRule="exact"/>
              <w:rPr>
                <w:sz w:val="20"/>
                <w:szCs w:val="20"/>
                <w:color w:val="auto"/>
              </w:rPr>
            </w:pPr>
            <w:r>
              <w:rPr>
                <w:rFonts w:ascii="Arial" w:cs="Arial" w:eastAsia="Arial" w:hAnsi="Arial"/>
                <w:sz w:val="14"/>
                <w:szCs w:val="14"/>
                <w:b w:val="1"/>
                <w:bCs w:val="1"/>
                <w:color w:val="auto"/>
              </w:rPr>
              <w:t>Based on</w:t>
            </w:r>
          </w:p>
        </w:tc>
        <w:tc>
          <w:tcPr>
            <w:tcW w:w="1700" w:type="dxa"/>
            <w:vAlign w:val="bottom"/>
            <w:tcBorders>
              <w:right w:val="single" w:sz="8" w:color="7F7F7F"/>
            </w:tcBorders>
          </w:tcPr>
          <w:p>
            <w:pPr>
              <w:jc w:val="center"/>
              <w:ind w:left="5"/>
              <w:spacing w:after="0" w:line="149" w:lineRule="exact"/>
              <w:rPr>
                <w:sz w:val="20"/>
                <w:szCs w:val="20"/>
                <w:color w:val="auto"/>
              </w:rPr>
            </w:pPr>
            <w:r>
              <w:rPr>
                <w:rFonts w:ascii="Arial" w:cs="Arial" w:eastAsia="Arial" w:hAnsi="Arial"/>
                <w:sz w:val="14"/>
                <w:szCs w:val="14"/>
                <w:b w:val="1"/>
                <w:bCs w:val="1"/>
                <w:color w:val="auto"/>
              </w:rPr>
              <w:t>Based on</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Based on</w:t>
            </w:r>
          </w:p>
        </w:tc>
      </w:tr>
      <w:tr>
        <w:trPr>
          <w:trHeight w:val="162"/>
        </w:trPr>
        <w:tc>
          <w:tcPr>
            <w:tcW w:w="1420" w:type="dxa"/>
            <w:vAlign w:val="bottom"/>
            <w:tcBorders>
              <w:left w:val="single" w:sz="8" w:color="7F7F7F"/>
            </w:tcBorders>
          </w:tcPr>
          <w:p>
            <w:pPr>
              <w:jc w:val="center"/>
              <w:ind w:left="225"/>
              <w:spacing w:after="0"/>
              <w:rPr>
                <w:sz w:val="20"/>
                <w:szCs w:val="20"/>
                <w:color w:val="auto"/>
              </w:rPr>
            </w:pPr>
            <w:r>
              <w:rPr>
                <w:rFonts w:ascii="Arial" w:cs="Arial" w:eastAsia="Arial" w:hAnsi="Arial"/>
                <w:sz w:val="14"/>
                <w:szCs w:val="14"/>
                <w:b w:val="1"/>
                <w:bCs w:val="1"/>
                <w:color w:val="auto"/>
              </w:rPr>
              <w:t>Achievement of</w:t>
            </w:r>
          </w:p>
        </w:tc>
        <w:tc>
          <w:tcPr>
            <w:tcW w:w="160" w:type="dxa"/>
            <w:vAlign w:val="bottom"/>
            <w:tcBorders>
              <w:right w:val="single" w:sz="8" w:color="7F7F7F"/>
            </w:tcBorders>
          </w:tcPr>
          <w:p>
            <w:pPr>
              <w:spacing w:after="0"/>
              <w:rPr>
                <w:sz w:val="14"/>
                <w:szCs w:val="14"/>
                <w:color w:val="auto"/>
              </w:rPr>
            </w:pPr>
          </w:p>
        </w:tc>
        <w:tc>
          <w:tcPr>
            <w:tcW w:w="1680" w:type="dxa"/>
            <w:vAlign w:val="bottom"/>
            <w:tcBorders>
              <w:right w:val="single" w:sz="8" w:color="7F7F7F"/>
            </w:tcBorders>
          </w:tcPr>
          <w:p>
            <w:pPr>
              <w:jc w:val="center"/>
              <w:ind w:left="25"/>
              <w:spacing w:after="0"/>
              <w:rPr>
                <w:sz w:val="20"/>
                <w:szCs w:val="20"/>
                <w:color w:val="auto"/>
              </w:rPr>
            </w:pPr>
            <w:r>
              <w:rPr>
                <w:rFonts w:ascii="Arial" w:cs="Arial" w:eastAsia="Arial" w:hAnsi="Arial"/>
                <w:sz w:val="14"/>
                <w:szCs w:val="14"/>
                <w:b w:val="1"/>
                <w:bCs w:val="1"/>
                <w:color w:val="auto"/>
              </w:rPr>
              <w:t>Achievement of</w:t>
            </w:r>
          </w:p>
        </w:tc>
        <w:tc>
          <w:tcPr>
            <w:tcW w:w="1700" w:type="dxa"/>
            <w:vAlign w:val="bottom"/>
            <w:tcBorders>
              <w:right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Achievement of</w:t>
            </w:r>
          </w:p>
        </w:tc>
        <w:tc>
          <w:tcPr>
            <w:tcW w:w="1680" w:type="dxa"/>
            <w:vAlign w:val="bottom"/>
            <w:tcBorders>
              <w:right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Achievement of</w:t>
            </w:r>
          </w:p>
        </w:tc>
        <w:tc>
          <w:tcPr>
            <w:tcW w:w="1700" w:type="dxa"/>
            <w:vAlign w:val="bottom"/>
            <w:tcBorders>
              <w:right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Achievement of</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Achievement of</w:t>
            </w:r>
          </w:p>
        </w:tc>
      </w:tr>
      <w:tr>
        <w:trPr>
          <w:trHeight w:val="162"/>
        </w:trPr>
        <w:tc>
          <w:tcPr>
            <w:tcW w:w="1420" w:type="dxa"/>
            <w:vAlign w:val="bottom"/>
            <w:tcBorders>
              <w:left w:val="single" w:sz="8" w:color="7F7F7F"/>
            </w:tcBorders>
          </w:tcPr>
          <w:p>
            <w:pPr>
              <w:jc w:val="center"/>
              <w:ind w:left="225"/>
              <w:spacing w:after="0"/>
              <w:rPr>
                <w:sz w:val="20"/>
                <w:szCs w:val="20"/>
                <w:color w:val="auto"/>
              </w:rPr>
            </w:pPr>
            <w:r>
              <w:rPr>
                <w:rFonts w:ascii="Arial" w:cs="Arial" w:eastAsia="Arial" w:hAnsi="Arial"/>
                <w:sz w:val="14"/>
                <w:szCs w:val="14"/>
                <w:b w:val="1"/>
                <w:bCs w:val="1"/>
                <w:color w:val="auto"/>
              </w:rPr>
              <w:t>New IP</w:t>
            </w:r>
          </w:p>
        </w:tc>
        <w:tc>
          <w:tcPr>
            <w:tcW w:w="160" w:type="dxa"/>
            <w:vAlign w:val="bottom"/>
            <w:tcBorders>
              <w:right w:val="single" w:sz="8" w:color="7F7F7F"/>
            </w:tcBorders>
          </w:tcPr>
          <w:p>
            <w:pPr>
              <w:spacing w:after="0"/>
              <w:rPr>
                <w:sz w:val="14"/>
                <w:szCs w:val="14"/>
                <w:color w:val="auto"/>
              </w:rPr>
            </w:pPr>
          </w:p>
        </w:tc>
        <w:tc>
          <w:tcPr>
            <w:tcW w:w="1680" w:type="dxa"/>
            <w:vAlign w:val="bottom"/>
            <w:tcBorders>
              <w:right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Major IP</w:t>
            </w:r>
          </w:p>
        </w:tc>
        <w:tc>
          <w:tcPr>
            <w:tcW w:w="1700" w:type="dxa"/>
            <w:vAlign w:val="bottom"/>
            <w:tcBorders>
              <w:right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TSR</w:t>
            </w:r>
          </w:p>
        </w:tc>
        <w:tc>
          <w:tcPr>
            <w:tcW w:w="1680" w:type="dxa"/>
            <w:vAlign w:val="bottom"/>
            <w:tcBorders>
              <w:right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New IP</w:t>
            </w:r>
          </w:p>
        </w:tc>
        <w:tc>
          <w:tcPr>
            <w:tcW w:w="1700" w:type="dxa"/>
            <w:vAlign w:val="bottom"/>
            <w:tcBorders>
              <w:right w:val="single" w:sz="8" w:color="7F7F7F"/>
            </w:tcBorders>
          </w:tcPr>
          <w:p>
            <w:pPr>
              <w:jc w:val="center"/>
              <w:spacing w:after="0"/>
              <w:rPr>
                <w:sz w:val="20"/>
                <w:szCs w:val="20"/>
                <w:color w:val="auto"/>
              </w:rPr>
            </w:pPr>
            <w:r>
              <w:rPr>
                <w:rFonts w:ascii="Arial" w:cs="Arial" w:eastAsia="Arial" w:hAnsi="Arial"/>
                <w:sz w:val="14"/>
                <w:szCs w:val="14"/>
                <w:b w:val="1"/>
                <w:bCs w:val="1"/>
                <w:color w:val="auto"/>
              </w:rPr>
              <w:t>Major IP</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9"/>
              </w:rPr>
              <w:t>TSR</w:t>
            </w:r>
          </w:p>
        </w:tc>
      </w:tr>
      <w:tr>
        <w:trPr>
          <w:trHeight w:val="162"/>
        </w:trPr>
        <w:tc>
          <w:tcPr>
            <w:tcW w:w="1420" w:type="dxa"/>
            <w:vAlign w:val="bottom"/>
            <w:tcBorders>
              <w:left w:val="single" w:sz="8" w:color="7F7F7F"/>
            </w:tcBorders>
          </w:tcPr>
          <w:p>
            <w:pPr>
              <w:jc w:val="center"/>
              <w:ind w:left="225"/>
              <w:spacing w:after="0"/>
              <w:rPr>
                <w:sz w:val="20"/>
                <w:szCs w:val="20"/>
                <w:color w:val="auto"/>
              </w:rPr>
            </w:pPr>
            <w:r>
              <w:rPr>
                <w:rFonts w:ascii="Arial" w:cs="Arial" w:eastAsia="Arial" w:hAnsi="Arial"/>
                <w:sz w:val="14"/>
                <w:szCs w:val="14"/>
                <w:b w:val="1"/>
                <w:bCs w:val="1"/>
                <w:color w:val="auto"/>
              </w:rPr>
              <w:t>Performance-</w:t>
            </w:r>
          </w:p>
        </w:tc>
        <w:tc>
          <w:tcPr>
            <w:tcW w:w="160" w:type="dxa"/>
            <w:vAlign w:val="bottom"/>
            <w:tcBorders>
              <w:right w:val="single" w:sz="8" w:color="7F7F7F"/>
            </w:tcBorders>
          </w:tcPr>
          <w:p>
            <w:pPr>
              <w:spacing w:after="0"/>
              <w:rPr>
                <w:sz w:val="14"/>
                <w:szCs w:val="14"/>
                <w:color w:val="auto"/>
              </w:rPr>
            </w:pPr>
          </w:p>
        </w:tc>
        <w:tc>
          <w:tcPr>
            <w:tcW w:w="1680" w:type="dxa"/>
            <w:vAlign w:val="bottom"/>
            <w:tcBorders>
              <w:right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Performance-</w:t>
            </w:r>
          </w:p>
        </w:tc>
        <w:tc>
          <w:tcPr>
            <w:tcW w:w="1700" w:type="dxa"/>
            <w:vAlign w:val="bottom"/>
            <w:tcBorders>
              <w:right w:val="single" w:sz="8" w:color="7F7F7F"/>
            </w:tcBorders>
          </w:tcPr>
          <w:p>
            <w:pPr>
              <w:jc w:val="center"/>
              <w:ind w:left="25"/>
              <w:spacing w:after="0"/>
              <w:rPr>
                <w:sz w:val="20"/>
                <w:szCs w:val="20"/>
                <w:color w:val="auto"/>
              </w:rPr>
            </w:pPr>
            <w:r>
              <w:rPr>
                <w:rFonts w:ascii="Arial" w:cs="Arial" w:eastAsia="Arial" w:hAnsi="Arial"/>
                <w:sz w:val="14"/>
                <w:szCs w:val="14"/>
                <w:b w:val="1"/>
                <w:bCs w:val="1"/>
                <w:color w:val="auto"/>
              </w:rPr>
              <w:t>Performance-</w:t>
            </w:r>
          </w:p>
        </w:tc>
        <w:tc>
          <w:tcPr>
            <w:tcW w:w="1680" w:type="dxa"/>
            <w:vAlign w:val="bottom"/>
            <w:tcBorders>
              <w:right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Performance-</w:t>
            </w:r>
          </w:p>
        </w:tc>
        <w:tc>
          <w:tcPr>
            <w:tcW w:w="1700" w:type="dxa"/>
            <w:vAlign w:val="bottom"/>
            <w:tcBorders>
              <w:right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Performance-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r>
      <w:tr>
        <w:trPr>
          <w:trHeight w:val="189"/>
        </w:trPr>
        <w:tc>
          <w:tcPr>
            <w:tcW w:w="1420" w:type="dxa"/>
            <w:vAlign w:val="bottom"/>
            <w:tcBorders>
              <w:left w:val="single" w:sz="8" w:color="7F7F7F"/>
              <w:bottom w:val="single" w:sz="8" w:color="7F7F7F"/>
            </w:tcBorders>
          </w:tcPr>
          <w:p>
            <w:pPr>
              <w:jc w:val="center"/>
              <w:ind w:left="245"/>
              <w:spacing w:after="0"/>
              <w:rPr>
                <w:sz w:val="20"/>
                <w:szCs w:val="20"/>
                <w:color w:val="auto"/>
              </w:rPr>
            </w:pPr>
            <w:r>
              <w:rPr>
                <w:rFonts w:ascii="Arial" w:cs="Arial" w:eastAsia="Arial" w:hAnsi="Arial"/>
                <w:sz w:val="14"/>
                <w:szCs w:val="14"/>
                <w:b w:val="1"/>
                <w:bCs w:val="1"/>
                <w:color w:val="auto"/>
              </w:rPr>
              <w:t>Vesting Criteria</w:t>
            </w:r>
          </w:p>
        </w:tc>
        <w:tc>
          <w:tcPr>
            <w:tcW w:w="160" w:type="dxa"/>
            <w:vAlign w:val="bottom"/>
            <w:tcBorders>
              <w:bottom w:val="single" w:sz="8" w:color="7F7F7F"/>
              <w:right w:val="single" w:sz="8" w:color="7F7F7F"/>
            </w:tcBorders>
          </w:tcPr>
          <w:p>
            <w:pPr>
              <w:spacing w:after="0"/>
              <w:rPr>
                <w:sz w:val="16"/>
                <w:szCs w:val="16"/>
                <w:color w:val="auto"/>
              </w:rPr>
            </w:pPr>
          </w:p>
        </w:tc>
        <w:tc>
          <w:tcPr>
            <w:tcW w:w="1680" w:type="dxa"/>
            <w:vAlign w:val="bottom"/>
            <w:tcBorders>
              <w:bottom w:val="single" w:sz="8" w:color="7F7F7F"/>
              <w:right w:val="single" w:sz="8" w:color="7F7F7F"/>
            </w:tcBorders>
          </w:tcPr>
          <w:p>
            <w:pPr>
              <w:jc w:val="center"/>
              <w:ind w:left="25"/>
              <w:spacing w:after="0"/>
              <w:rPr>
                <w:sz w:val="20"/>
                <w:szCs w:val="20"/>
                <w:color w:val="auto"/>
              </w:rPr>
            </w:pPr>
            <w:r>
              <w:rPr>
                <w:rFonts w:ascii="Arial" w:cs="Arial" w:eastAsia="Arial" w:hAnsi="Arial"/>
                <w:sz w:val="14"/>
                <w:szCs w:val="14"/>
                <w:b w:val="1"/>
                <w:bCs w:val="1"/>
                <w:color w:val="auto"/>
              </w:rPr>
              <w:t>Vesting Criteria</w:t>
            </w:r>
          </w:p>
        </w:tc>
        <w:tc>
          <w:tcPr>
            <w:tcW w:w="1700" w:type="dxa"/>
            <w:vAlign w:val="bottom"/>
            <w:tcBorders>
              <w:bottom w:val="single" w:sz="8" w:color="7F7F7F"/>
              <w:right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Vesting Criteria</w:t>
            </w:r>
          </w:p>
        </w:tc>
        <w:tc>
          <w:tcPr>
            <w:tcW w:w="1680" w:type="dxa"/>
            <w:vAlign w:val="bottom"/>
            <w:tcBorders>
              <w:bottom w:val="single" w:sz="8" w:color="7F7F7F"/>
              <w:right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Vesting Criteria</w:t>
            </w:r>
          </w:p>
        </w:tc>
        <w:tc>
          <w:tcPr>
            <w:tcW w:w="1700" w:type="dxa"/>
            <w:vAlign w:val="bottom"/>
            <w:tcBorders>
              <w:bottom w:val="single" w:sz="8" w:color="7F7F7F"/>
              <w:right w:val="single" w:sz="8" w:color="7F7F7F"/>
            </w:tcBorders>
          </w:tcPr>
          <w:p>
            <w:pPr>
              <w:jc w:val="center"/>
              <w:ind w:left="5"/>
              <w:spacing w:after="0"/>
              <w:rPr>
                <w:sz w:val="20"/>
                <w:szCs w:val="20"/>
                <w:color w:val="auto"/>
              </w:rPr>
            </w:pPr>
            <w:r>
              <w:rPr>
                <w:rFonts w:ascii="Arial" w:cs="Arial" w:eastAsia="Arial" w:hAnsi="Arial"/>
                <w:sz w:val="14"/>
                <w:szCs w:val="14"/>
                <w:b w:val="1"/>
                <w:bCs w:val="1"/>
                <w:color w:val="auto"/>
              </w:rPr>
              <w:t>Vesting Criteria</w:t>
            </w:r>
          </w:p>
        </w:tc>
        <w:tc>
          <w:tcPr>
            <w:tcW w:w="1580" w:type="dxa"/>
            <w:vAlign w:val="bottom"/>
            <w:tcBorders>
              <w:bottom w:val="single" w:sz="8" w:color="7F7F7F"/>
            </w:tcBorders>
          </w:tcPr>
          <w:p>
            <w:pPr>
              <w:jc w:val="center"/>
              <w:spacing w:after="0"/>
              <w:rPr>
                <w:sz w:val="20"/>
                <w:szCs w:val="20"/>
                <w:color w:val="auto"/>
              </w:rPr>
            </w:pPr>
            <w:r>
              <w:rPr>
                <w:rFonts w:ascii="Arial" w:cs="Arial" w:eastAsia="Arial" w:hAnsi="Arial"/>
                <w:sz w:val="14"/>
                <w:szCs w:val="14"/>
                <w:b w:val="1"/>
                <w:bCs w:val="1"/>
                <w:color w:val="auto"/>
              </w:rPr>
              <w:t>Vesting Criteria</w:t>
            </w:r>
          </w:p>
        </w:tc>
      </w:tr>
      <w:tr>
        <w:trPr>
          <w:trHeight w:val="209"/>
        </w:trPr>
        <w:tc>
          <w:tcPr>
            <w:tcW w:w="1420" w:type="dxa"/>
            <w:vAlign w:val="bottom"/>
            <w:tcBorders>
              <w:left w:val="single" w:sz="8" w:color="7F7F7F"/>
              <w:bottom w:val="single" w:sz="8" w:color="7F7F7F"/>
            </w:tcBorders>
            <w:shd w:val="clear" w:color="auto" w:fill="F2F2F2"/>
          </w:tcPr>
          <w:p>
            <w:pPr>
              <w:jc w:val="center"/>
              <w:ind w:left="245"/>
              <w:spacing w:after="0"/>
              <w:rPr>
                <w:sz w:val="20"/>
                <w:szCs w:val="20"/>
                <w:color w:val="auto"/>
              </w:rPr>
            </w:pPr>
            <w:r>
              <w:rPr>
                <w:rFonts w:ascii="Arial" w:cs="Arial" w:eastAsia="Arial" w:hAnsi="Arial"/>
                <w:sz w:val="18"/>
                <w:szCs w:val="18"/>
                <w:color w:val="auto"/>
                <w:w w:val="99"/>
              </w:rPr>
              <w:t>0</w:t>
            </w:r>
          </w:p>
        </w:tc>
        <w:tc>
          <w:tcPr>
            <w:tcW w:w="160" w:type="dxa"/>
            <w:vAlign w:val="bottom"/>
            <w:tcBorders>
              <w:bottom w:val="single" w:sz="8" w:color="7F7F7F"/>
              <w:right w:val="single" w:sz="8" w:color="7F7F7F"/>
            </w:tcBorders>
            <w:shd w:val="clear" w:color="auto" w:fill="F2F2F2"/>
          </w:tcPr>
          <w:p>
            <w:pPr>
              <w:spacing w:after="0"/>
              <w:rPr>
                <w:sz w:val="18"/>
                <w:szCs w:val="18"/>
                <w:color w:val="auto"/>
              </w:rPr>
            </w:pPr>
          </w:p>
        </w:tc>
        <w:tc>
          <w:tcPr>
            <w:tcW w:w="1680" w:type="dxa"/>
            <w:vAlign w:val="bottom"/>
            <w:tcBorders>
              <w:bottom w:val="single" w:sz="8" w:color="7F7F7F"/>
              <w:right w:val="single" w:sz="8" w:color="7F7F7F"/>
            </w:tcBorders>
            <w:shd w:val="clear" w:color="auto" w:fill="F2F2F2"/>
          </w:tcPr>
          <w:p>
            <w:pPr>
              <w:jc w:val="center"/>
              <w:ind w:left="25"/>
              <w:spacing w:after="0"/>
              <w:rPr>
                <w:sz w:val="20"/>
                <w:szCs w:val="20"/>
                <w:color w:val="auto"/>
              </w:rPr>
            </w:pPr>
            <w:r>
              <w:rPr>
                <w:rFonts w:ascii="Arial" w:cs="Arial" w:eastAsia="Arial" w:hAnsi="Arial"/>
                <w:sz w:val="18"/>
                <w:szCs w:val="18"/>
                <w:color w:val="auto"/>
                <w:w w:val="98"/>
              </w:rPr>
              <w:t>20,394</w:t>
            </w:r>
          </w:p>
        </w:tc>
        <w:tc>
          <w:tcPr>
            <w:tcW w:w="1700" w:type="dxa"/>
            <w:vAlign w:val="bottom"/>
            <w:tcBorders>
              <w:bottom w:val="single" w:sz="8" w:color="7F7F7F"/>
              <w:right w:val="single" w:sz="8" w:color="7F7F7F"/>
            </w:tcBorders>
            <w:shd w:val="clear" w:color="auto" w:fill="F2F2F2"/>
          </w:tcPr>
          <w:p>
            <w:pPr>
              <w:jc w:val="center"/>
              <w:ind w:left="5"/>
              <w:spacing w:after="0"/>
              <w:rPr>
                <w:sz w:val="20"/>
                <w:szCs w:val="20"/>
                <w:color w:val="auto"/>
              </w:rPr>
            </w:pPr>
            <w:r>
              <w:rPr>
                <w:rFonts w:ascii="Arial" w:cs="Arial" w:eastAsia="Arial" w:hAnsi="Arial"/>
                <w:sz w:val="18"/>
                <w:szCs w:val="18"/>
                <w:color w:val="auto"/>
              </w:rPr>
              <w:t>122,370</w:t>
            </w:r>
          </w:p>
        </w:tc>
        <w:tc>
          <w:tcPr>
            <w:tcW w:w="1680" w:type="dxa"/>
            <w:vAlign w:val="bottom"/>
            <w:tcBorders>
              <w:bottom w:val="single" w:sz="8" w:color="7F7F7F"/>
              <w:right w:val="single" w:sz="8" w:color="7F7F7F"/>
            </w:tcBorders>
            <w:shd w:val="clear" w:color="auto" w:fill="F2F2F2"/>
          </w:tcPr>
          <w:p>
            <w:pPr>
              <w:jc w:val="center"/>
              <w:ind w:left="5"/>
              <w:spacing w:after="0"/>
              <w:rPr>
                <w:sz w:val="20"/>
                <w:szCs w:val="20"/>
                <w:color w:val="auto"/>
              </w:rPr>
            </w:pPr>
            <w:r>
              <w:rPr>
                <w:rFonts w:ascii="Arial" w:cs="Arial" w:eastAsia="Arial" w:hAnsi="Arial"/>
                <w:sz w:val="18"/>
                <w:szCs w:val="18"/>
                <w:color w:val="auto"/>
              </w:rPr>
              <w:t>20,396</w:t>
            </w:r>
          </w:p>
        </w:tc>
        <w:tc>
          <w:tcPr>
            <w:tcW w:w="1700" w:type="dxa"/>
            <w:vAlign w:val="bottom"/>
            <w:tcBorders>
              <w:bottom w:val="single" w:sz="8" w:color="7F7F7F"/>
              <w:right w:val="single" w:sz="8" w:color="7F7F7F"/>
            </w:tcBorders>
            <w:shd w:val="clear" w:color="auto" w:fill="F2F2F2"/>
          </w:tcPr>
          <w:p>
            <w:pPr>
              <w:jc w:val="center"/>
              <w:ind w:left="5"/>
              <w:spacing w:after="0"/>
              <w:rPr>
                <w:sz w:val="20"/>
                <w:szCs w:val="20"/>
                <w:color w:val="auto"/>
              </w:rPr>
            </w:pPr>
            <w:r>
              <w:rPr>
                <w:rFonts w:ascii="Arial" w:cs="Arial" w:eastAsia="Arial" w:hAnsi="Arial"/>
                <w:sz w:val="18"/>
                <w:szCs w:val="18"/>
                <w:color w:val="auto"/>
                <w:w w:val="99"/>
              </w:rPr>
              <w:t>0</w:t>
            </w:r>
          </w:p>
        </w:tc>
        <w:tc>
          <w:tcPr>
            <w:tcW w:w="1580" w:type="dxa"/>
            <w:vAlign w:val="bottom"/>
            <w:tcBorders>
              <w:bottom w:val="single" w:sz="8" w:color="7F7F7F"/>
            </w:tcBorders>
            <w:shd w:val="clear" w:color="auto" w:fill="F2F2F2"/>
          </w:tcPr>
          <w:p>
            <w:pPr>
              <w:jc w:val="center"/>
              <w:spacing w:after="0"/>
              <w:rPr>
                <w:sz w:val="20"/>
                <w:szCs w:val="20"/>
                <w:color w:val="auto"/>
              </w:rPr>
            </w:pPr>
            <w:r>
              <w:rPr>
                <w:rFonts w:ascii="Arial" w:cs="Arial" w:eastAsia="Arial" w:hAnsi="Arial"/>
                <w:sz w:val="18"/>
                <w:szCs w:val="18"/>
                <w:color w:val="auto"/>
                <w:w w:val="99"/>
              </w:rPr>
              <w:t>0</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Treatment of Awards.</w:t>
      </w:r>
    </w:p>
    <w:p>
      <w:pPr>
        <w:spacing w:after="0" w:line="129"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Upon a termination of the 2017 Management Agreement by the Company without Cause or by ZelnickMedia for Good Reason, any then-unvested restricted stock or units granted pursuant to the Performance Awards (including any restricted stock or units granted to ZelnickMedia during the term of the 2017 Management Agreement on or after January 1, 2018) will vest on the assumption that the applicable performance measure was achieved at the target level of performance for the applicable performance period or, prior to a Change in Control (as defined in the 2017 Management Agreement), for TSR Performance-Based Units (as defined in the applicable Restricted Unit Agreement), based on the actual level of performance achieved for each applicable performance measure as of the date of termination.</w:t>
      </w:r>
    </w:p>
    <w:p>
      <w:pPr>
        <w:spacing w:after="0" w:line="208"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If the Company and ZelnickMedia fail to enter into a new management agreement on substantially similar terms in the aggregate as those provided under the 2017 Management Agreement upon the expiration of the term of the 2017 Management Agreement or otherwise fail to agree to extend the term of the 2017 Management Agreement, all unvested time-vesting restricted stock or units granted during the term of the 2017 Management Agreement on or after January 1, 2018 will vest upon such expiration and all then-unvested performance-vesting restricted stock or units will vest based on the assumption that the applicable performance measure was achieved at the target level of performance for the applicable performance period or, prior to a Change in Control, for TSR Performance-Based Units (as defined in the applicable Restricted Unit Agreement), based on the actual level of performance achieved for each applicable performance measure as of the date of termination.</w:t>
      </w:r>
    </w:p>
    <w:p>
      <w:pPr>
        <w:spacing w:after="0" w:line="207"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If a Change in Control occurs during the term of the 2017 Management Agreement, the 2017 Management Agreement will not automatically terminate and all unvested RSUs granted pursuant to the applicable Restricted Unit Agreement will vest as set forth in the applicable Restricted Unit Agreement, except that any restricted stock or units granted to ZelnickMedia on or after April 1, 2014 will vest upon the earlier to occur of (x) a termination of the 2017 Management Agreement by the Company without Cause or by ZelnickMedia for Good Reason or (y) the second anniversary of the applicable date of grant, and, with respect to any performance-based restricted stock or units, in each case, based on the assumption of that the applicable performance measure was achieved at the target level of performance for the applicable performance period. As of March 31, 2020, all shares of restricted stock or units granted prior to April 1, 2017 have vested and/or have been forfeited pursuant to their terms.</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Settlement of Restricted Units.</w:t>
      </w:r>
    </w:p>
    <w:p>
      <w:pPr>
        <w:spacing w:after="0" w:line="129" w:lineRule="exact"/>
        <w:rPr>
          <w:sz w:val="20"/>
          <w:szCs w:val="20"/>
          <w:color w:val="auto"/>
        </w:rPr>
      </w:pPr>
    </w:p>
    <w:p>
      <w:pPr>
        <w:ind w:left="660" w:right="240"/>
        <w:spacing w:after="0" w:line="260" w:lineRule="auto"/>
        <w:rPr>
          <w:sz w:val="20"/>
          <w:szCs w:val="20"/>
          <w:color w:val="auto"/>
        </w:rPr>
      </w:pPr>
      <w:r>
        <w:rPr>
          <w:rFonts w:ascii="Arial" w:cs="Arial" w:eastAsia="Arial" w:hAnsi="Arial"/>
          <w:sz w:val="16"/>
          <w:szCs w:val="16"/>
          <w:color w:val="auto"/>
        </w:rPr>
        <w:t>Pursuant to the 2017 Management Agreement, the Company will have the right to elect to settle the RSUs granted to ZelnickMedia pursuant to the 2017 Management Agreement in shares of the Company’s common stock that will be issued pursuant to the 2017 Plan.</w:t>
      </w:r>
    </w:p>
    <w:p>
      <w:pPr>
        <w:spacing w:after="0" w:line="179" w:lineRule="exact"/>
        <w:rPr>
          <w:sz w:val="20"/>
          <w:szCs w:val="20"/>
          <w:color w:val="auto"/>
        </w:rPr>
      </w:pPr>
    </w:p>
    <w:p>
      <w:pPr>
        <w:ind w:left="660" w:right="80"/>
        <w:spacing w:after="0" w:line="258" w:lineRule="auto"/>
        <w:rPr>
          <w:sz w:val="20"/>
          <w:szCs w:val="20"/>
          <w:color w:val="auto"/>
        </w:rPr>
      </w:pPr>
      <w:r>
        <w:rPr>
          <w:rFonts w:ascii="Arial" w:cs="Arial" w:eastAsia="Arial" w:hAnsi="Arial"/>
          <w:sz w:val="16"/>
          <w:szCs w:val="16"/>
          <w:i w:val="1"/>
          <w:iCs w:val="1"/>
          <w:u w:val="single" w:color="auto"/>
          <w:color w:val="auto"/>
        </w:rPr>
        <w:t>Registration Statement</w:t>
      </w:r>
      <w:r>
        <w:rPr>
          <w:rFonts w:ascii="Arial" w:cs="Arial" w:eastAsia="Arial" w:hAnsi="Arial"/>
          <w:sz w:val="16"/>
          <w:szCs w:val="16"/>
          <w:color w:val="auto"/>
        </w:rPr>
        <w:t>. Pursuant to the 2017 Management Agreement, within 45 days following the request of ZelnickMedia,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file a Registration Statement on Form S-3 registering for resale any of the shares of the Company’s common stock issuable pursuant to awards granted to ZelnickMedia under the Restricted Unit Agreements. The Company most recently filed a registration statement on Form S-3 on April 13, 2020 covering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269240</wp:posOffset>
            </wp:positionV>
            <wp:extent cx="291465" cy="2743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65</w:t>
            </w:r>
          </w:p>
        </w:tc>
      </w:tr>
    </w:tbl>
    <w:p>
      <w:pPr>
        <w:sectPr>
          <w:pgSz w:w="11900" w:h="16838" w:orient="portrait"/>
          <w:cols w:equalWidth="0" w:num="1">
            <w:col w:w="10580"/>
          </w:cols>
          <w:pgMar w:left="320" w:top="459" w:right="9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08610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08610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C</w:t>
      </w:r>
      <w:r>
        <w:rPr>
          <w:rFonts w:ascii="Arial" w:cs="Arial" w:eastAsia="Arial" w:hAnsi="Arial"/>
          <w:sz w:val="11"/>
          <w:szCs w:val="11"/>
          <w:b w:val="1"/>
          <w:bCs w:val="1"/>
          <w:color w:val="005CB9"/>
        </w:rPr>
        <w:t>ERTAIN</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ELATIONSHIPS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ELATED</w:t>
      </w:r>
      <w:r>
        <w:rPr>
          <w:rFonts w:ascii="Arial" w:cs="Arial" w:eastAsia="Arial" w:hAnsi="Arial"/>
          <w:sz w:val="14"/>
          <w:szCs w:val="14"/>
          <w:b w:val="1"/>
          <w:bCs w:val="1"/>
          <w:color w:val="005CB9"/>
        </w:rPr>
        <w:t xml:space="preserve"> T</w:t>
      </w:r>
      <w:r>
        <w:rPr>
          <w:rFonts w:ascii="Arial" w:cs="Arial" w:eastAsia="Arial" w:hAnsi="Arial"/>
          <w:sz w:val="11"/>
          <w:szCs w:val="11"/>
          <w:b w:val="1"/>
          <w:bCs w:val="1"/>
          <w:color w:val="005CB9"/>
        </w:rPr>
        <w:t>RANSACTIONS</w:t>
      </w:r>
    </w:p>
    <w:p>
      <w:pPr>
        <w:spacing w:after="0" w:line="200" w:lineRule="exact"/>
        <w:rPr>
          <w:sz w:val="20"/>
          <w:szCs w:val="20"/>
          <w:color w:val="auto"/>
        </w:rPr>
      </w:pPr>
    </w:p>
    <w:p>
      <w:pPr>
        <w:spacing w:after="0" w:line="248"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foregoing descriptions of the 2017 Management Agreement, the 2014 Management Agreement and the Restricted Unit Agreements (including the Time-Based Awards and the Performance Awards issuable to ZelnickMedia thereunder) are only a summary and are qualified in their entirety by reference to the full text of the 2017 Management Agreement (and the 2018 Restricted Unit Agreement attached as Exhibit A thereto), which is attached as Exhibit 10.1 to the Company’s Current Report on Form 8-K dated November 22, 2017 and incorporated herein by reference, the 2014 Management Agreement (and the 2014 Restricted Unit Agreement attached as Exhibit A thereto), which is attached as Exhibit 10.1 to the Company’s Current Report on Form 8-K dated March 10, 2014 and incorporated herein by reference, the 2015 Restricted Unit Agreement, which is attached as Exhibit 10.2 to the Company’s Registration Statement on Form S-3 dated May 20, 2015 and incorporated herein by reference, the 2016 Restricted Unit Agreement, which is attached as Exhibit 10.2 to the Company’s Registration Statement on Form S-3 dated May 20, 2016 and incorporated herein by reference, the 2017 Restricted Unit Agreement, which is attached as Exhibit 10.2 to the Company’s Registration Statement on Form S-3 dated May 25, 2017 and incorporated herein by reference, the 2019 Restricted Unit Agreement, which is attached as Exhibit 10.2 to the Company’s Registration Statement on Form S-3 dated April 15, 2019 and incorporated herein by reference, and the 2020 Restricted Unit Agreement, which is attached as Exhibit 10.2 to the Company’s Registration Statement on Form S-3 dated April 13, 2020 and incorporated herein by reference.</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Policy on Transactions with Related Persons</w:t>
      </w:r>
    </w:p>
    <w:p>
      <w:pPr>
        <w:spacing w:after="0" w:line="133" w:lineRule="exact"/>
        <w:rPr>
          <w:sz w:val="20"/>
          <w:szCs w:val="20"/>
          <w:color w:val="auto"/>
        </w:rPr>
      </w:pPr>
    </w:p>
    <w:p>
      <w:pPr>
        <w:ind w:left="660" w:right="140"/>
        <w:spacing w:after="0" w:line="251" w:lineRule="auto"/>
        <w:rPr>
          <w:sz w:val="20"/>
          <w:szCs w:val="20"/>
          <w:color w:val="auto"/>
        </w:rPr>
      </w:pPr>
      <w:r>
        <w:rPr>
          <w:rFonts w:ascii="Arial" w:cs="Arial" w:eastAsia="Arial" w:hAnsi="Arial"/>
          <w:sz w:val="16"/>
          <w:szCs w:val="16"/>
          <w:color w:val="auto"/>
        </w:rPr>
        <w:t>The Board of Directors has adopted a policy requiring that any transaction: (1) involving the Company or any of its subsidiaries and (2) in which one of our directors, nominees for director, executive officers, or greater than five percent shareholders, or their immediate family members, have a direct or indirect material interest; be approved or ratified by a majority of the independent directors of the full Board of Directors.</w:t>
      </w:r>
    </w:p>
    <w:p>
      <w:pPr>
        <w:spacing w:after="0" w:line="202" w:lineRule="exact"/>
        <w:rPr>
          <w:sz w:val="20"/>
          <w:szCs w:val="20"/>
          <w:color w:val="auto"/>
        </w:rPr>
      </w:pPr>
    </w:p>
    <w:p>
      <w:pPr>
        <w:ind w:left="660" w:right="80"/>
        <w:spacing w:after="0" w:line="251" w:lineRule="auto"/>
        <w:rPr>
          <w:sz w:val="20"/>
          <w:szCs w:val="20"/>
          <w:color w:val="auto"/>
        </w:rPr>
      </w:pPr>
      <w:r>
        <w:rPr>
          <w:rFonts w:ascii="Arial" w:cs="Arial" w:eastAsia="Arial" w:hAnsi="Arial"/>
          <w:sz w:val="16"/>
          <w:szCs w:val="16"/>
          <w:color w:val="auto"/>
        </w:rPr>
        <w:t>In determining whether to approve or ratify any such transaction, the independent directors of the Board of Directors must consider, in addition to other factors deemed appropriate, whether the transaction is on terms no less favorable to the Company than those for transactions involving unrelated parties. No director may participate in any review, approval or ratification of any transaction if the director, or an immediate family member of such director, has a direct or indirect material interest in the transaction.</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Transactions with Related Persons</w:t>
      </w:r>
    </w:p>
    <w:p>
      <w:pPr>
        <w:spacing w:after="0" w:line="133" w:lineRule="exact"/>
        <w:rPr>
          <w:sz w:val="20"/>
          <w:szCs w:val="20"/>
          <w:color w:val="auto"/>
        </w:rPr>
      </w:pPr>
    </w:p>
    <w:p>
      <w:pPr>
        <w:ind w:left="660" w:right="60"/>
        <w:spacing w:after="0" w:line="251" w:lineRule="auto"/>
        <w:rPr>
          <w:sz w:val="20"/>
          <w:szCs w:val="20"/>
          <w:color w:val="auto"/>
        </w:rPr>
      </w:pPr>
      <w:r>
        <w:rPr>
          <w:rFonts w:ascii="Arial" w:cs="Arial" w:eastAsia="Arial" w:hAnsi="Arial"/>
          <w:sz w:val="16"/>
          <w:szCs w:val="16"/>
          <w:color w:val="auto"/>
        </w:rPr>
        <w:t>During fiscal 2020, we did not enter into any financial transaction, arrangement or relationship in which a related person had or will have a direct or indirect material interest, in an amount exceeding $120,000, except for the transactions described above with ZelnickMedia and the following transaction which the independent directors of the Board of Directors reviewed, approved and ratified in accordance with its policy on transactions with related persons:</w:t>
      </w:r>
    </w:p>
    <w:p>
      <w:pPr>
        <w:spacing w:after="0" w:line="202" w:lineRule="exact"/>
        <w:rPr>
          <w:sz w:val="20"/>
          <w:szCs w:val="20"/>
          <w:color w:val="auto"/>
        </w:rPr>
      </w:pPr>
    </w:p>
    <w:p>
      <w:pPr>
        <w:ind w:left="660" w:right="240"/>
        <w:spacing w:after="0" w:line="253" w:lineRule="auto"/>
        <w:rPr>
          <w:sz w:val="20"/>
          <w:szCs w:val="20"/>
          <w:color w:val="auto"/>
        </w:rPr>
      </w:pPr>
      <w:r>
        <w:rPr>
          <w:rFonts w:ascii="Arial" w:cs="Arial" w:eastAsia="Arial" w:hAnsi="Arial"/>
          <w:sz w:val="16"/>
          <w:szCs w:val="16"/>
          <w:color w:val="auto"/>
        </w:rPr>
        <w:t>Mr. Zelnick is the Company’s Chairman and Chief Executive Officer and is the founder of and a partner in Zelnick Media Capital. During fiscal 2020, the Company purchased an aggregate of approximately $165,295 of computer server equipment from ITRenew, Inc., a company in which affiliates of Zelnick Media Capital have a controlling stake.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272415</wp:posOffset>
            </wp:positionV>
            <wp:extent cx="291465" cy="2743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66</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0287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39"/>
        <w:spacing w:after="0"/>
        <w:rPr>
          <w:sz w:val="20"/>
          <w:szCs w:val="20"/>
          <w:color w:val="auto"/>
        </w:rPr>
      </w:pPr>
      <w:r>
        <w:rPr>
          <w:rFonts w:ascii="Arial" w:cs="Arial" w:eastAsia="Arial" w:hAnsi="Arial"/>
          <w:sz w:val="40"/>
          <w:szCs w:val="40"/>
          <w:b w:val="1"/>
          <w:bCs w:val="1"/>
          <w:color w:val="FFFFFF"/>
        </w:rPr>
        <w:t>Section 16(a) Beneficial Ownership</w:t>
      </w:r>
    </w:p>
    <w:p>
      <w:pPr>
        <w:spacing w:after="0" w:line="49" w:lineRule="exact"/>
        <w:rPr>
          <w:sz w:val="20"/>
          <w:szCs w:val="20"/>
          <w:color w:val="auto"/>
        </w:rPr>
      </w:pPr>
    </w:p>
    <w:p>
      <w:pPr>
        <w:jc w:val="center"/>
        <w:ind w:right="-739"/>
        <w:spacing w:after="0"/>
        <w:rPr>
          <w:sz w:val="20"/>
          <w:szCs w:val="20"/>
          <w:color w:val="auto"/>
        </w:rPr>
      </w:pPr>
      <w:r>
        <w:rPr>
          <w:rFonts w:ascii="Arial" w:cs="Arial" w:eastAsia="Arial" w:hAnsi="Arial"/>
          <w:sz w:val="40"/>
          <w:szCs w:val="40"/>
          <w:b w:val="1"/>
          <w:bCs w:val="1"/>
          <w:color w:val="FFFFFF"/>
        </w:rPr>
        <w:t>Compliance</w:t>
      </w:r>
    </w:p>
    <w:p>
      <w:pPr>
        <w:spacing w:after="0" w:line="200" w:lineRule="exact"/>
        <w:rPr>
          <w:sz w:val="20"/>
          <w:szCs w:val="20"/>
          <w:color w:val="auto"/>
        </w:rPr>
      </w:pPr>
    </w:p>
    <w:p>
      <w:pPr>
        <w:spacing w:after="0" w:line="348" w:lineRule="exact"/>
        <w:rPr>
          <w:sz w:val="20"/>
          <w:szCs w:val="20"/>
          <w:color w:val="auto"/>
        </w:rPr>
      </w:pPr>
    </w:p>
    <w:p>
      <w:pPr>
        <w:ind w:left="660" w:right="260"/>
        <w:spacing w:after="0" w:line="248" w:lineRule="auto"/>
        <w:rPr>
          <w:sz w:val="20"/>
          <w:szCs w:val="20"/>
          <w:color w:val="auto"/>
        </w:rPr>
      </w:pPr>
      <w:r>
        <w:rPr>
          <w:rFonts w:ascii="Arial" w:cs="Arial" w:eastAsia="Arial" w:hAnsi="Arial"/>
          <w:sz w:val="16"/>
          <w:szCs w:val="16"/>
          <w:color w:val="auto"/>
        </w:rPr>
        <w:t>The members of our Board of Directors, our executive officers and persons who beneficially own more than 10% of our outstanding common stock are subject to the reporting requirements of Section 16(a) of the Securities Exchange Act of 1934, as amended, which requires them to file reports with respect to their ownership of our common stock and their transactions in such common stock. Based solely upon a review of the copies of Section 16(a) reports that we have received from such persons or entities for transactions in our common stock and their common stock holdings for fiscal 2020, we believe that all reporting requirements under Section 16(a) for such fiscal year were met in a timely manner by our directors, executive officers and persons who beneficially own more than 10%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276860</wp:posOffset>
            </wp:positionV>
            <wp:extent cx="291465" cy="274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67</w:t>
            </w:r>
          </w:p>
        </w:tc>
      </w:tr>
    </w:tbl>
    <w:p>
      <w:pPr>
        <w:sectPr>
          <w:pgSz w:w="11900" w:h="16838" w:orient="portrait"/>
          <w:cols w:equalWidth="0" w:num="1">
            <w:col w:w="10580"/>
          </w:cols>
          <w:pgMar w:left="320" w:top="459" w:right="9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577"/>
        </w:trPr>
        <w:tc>
          <w:tcPr>
            <w:tcW w:w="3580" w:type="dxa"/>
            <w:vAlign w:val="bottom"/>
            <w:shd w:val="clear" w:color="auto" w:fill="005CB9"/>
          </w:tcPr>
          <w:p>
            <w:pPr>
              <w:spacing w:after="0"/>
              <w:rPr>
                <w:sz w:val="24"/>
                <w:szCs w:val="24"/>
                <w:color w:val="auto"/>
              </w:rPr>
            </w:pPr>
          </w:p>
        </w:tc>
        <w:tc>
          <w:tcPr>
            <w:tcW w:w="7440" w:type="dxa"/>
            <w:vAlign w:val="bottom"/>
            <w:shd w:val="clear" w:color="auto" w:fill="005CB9"/>
          </w:tcPr>
          <w:p>
            <w:pPr>
              <w:jc w:val="center"/>
              <w:ind w:right="3474"/>
              <w:spacing w:after="0"/>
              <w:rPr>
                <w:sz w:val="20"/>
                <w:szCs w:val="20"/>
                <w:color w:val="auto"/>
              </w:rPr>
            </w:pPr>
            <w:r>
              <w:rPr>
                <w:rFonts w:ascii="Arial" w:cs="Arial" w:eastAsia="Arial" w:hAnsi="Arial"/>
                <w:sz w:val="25"/>
                <w:szCs w:val="25"/>
                <w:b w:val="1"/>
                <w:bCs w:val="1"/>
                <w:color w:val="FFFFFF"/>
              </w:rPr>
              <w:t>Approval of the</w:t>
            </w:r>
          </w:p>
        </w:tc>
      </w:tr>
      <w:tr>
        <w:trPr>
          <w:trHeight w:val="295"/>
        </w:trPr>
        <w:tc>
          <w:tcPr>
            <w:tcW w:w="11020" w:type="dxa"/>
            <w:vAlign w:val="bottom"/>
            <w:gridSpan w:val="2"/>
            <w:shd w:val="clear" w:color="auto" w:fill="005CB9"/>
          </w:tcPr>
          <w:p>
            <w:pPr>
              <w:jc w:val="center"/>
              <w:spacing w:after="0"/>
              <w:rPr>
                <w:sz w:val="20"/>
                <w:szCs w:val="20"/>
                <w:color w:val="auto"/>
              </w:rPr>
            </w:pPr>
            <w:r>
              <w:rPr>
                <w:rFonts w:ascii="Arial" w:cs="Arial" w:eastAsia="Arial" w:hAnsi="Arial"/>
                <w:sz w:val="25"/>
                <w:szCs w:val="25"/>
                <w:b w:val="1"/>
                <w:bCs w:val="1"/>
                <w:color w:val="FFFFFF"/>
              </w:rPr>
              <w:t>Amended and Restated 2017 Stock Incentive Plan</w:t>
            </w:r>
          </w:p>
        </w:tc>
      </w:tr>
      <w:tr>
        <w:trPr>
          <w:trHeight w:val="285"/>
        </w:trPr>
        <w:tc>
          <w:tcPr>
            <w:tcW w:w="3580" w:type="dxa"/>
            <w:vAlign w:val="bottom"/>
            <w:shd w:val="clear" w:color="auto" w:fill="005CB9"/>
          </w:tcPr>
          <w:p>
            <w:pPr>
              <w:spacing w:after="0"/>
              <w:rPr>
                <w:sz w:val="24"/>
                <w:szCs w:val="24"/>
                <w:color w:val="auto"/>
              </w:rPr>
            </w:pPr>
          </w:p>
        </w:tc>
        <w:tc>
          <w:tcPr>
            <w:tcW w:w="7440" w:type="dxa"/>
            <w:vAlign w:val="bottom"/>
            <w:shd w:val="clear" w:color="auto" w:fill="005CB9"/>
          </w:tcPr>
          <w:p>
            <w:pPr>
              <w:jc w:val="center"/>
              <w:ind w:right="3474"/>
              <w:spacing w:after="0"/>
              <w:rPr>
                <w:sz w:val="20"/>
                <w:szCs w:val="20"/>
                <w:color w:val="auto"/>
              </w:rPr>
            </w:pPr>
            <w:r>
              <w:rPr>
                <w:rFonts w:ascii="Arial" w:cs="Arial" w:eastAsia="Arial" w:hAnsi="Arial"/>
                <w:sz w:val="22"/>
                <w:szCs w:val="22"/>
                <w:b w:val="1"/>
                <w:bCs w:val="1"/>
                <w:color w:val="FFFFFF"/>
                <w:w w:val="97"/>
              </w:rPr>
              <w:t>(Proposal 3)</w:t>
            </w:r>
          </w:p>
        </w:tc>
      </w:tr>
      <w:tr>
        <w:trPr>
          <w:trHeight w:val="246"/>
        </w:trPr>
        <w:tc>
          <w:tcPr>
            <w:tcW w:w="3580" w:type="dxa"/>
            <w:vAlign w:val="bottom"/>
            <w:shd w:val="clear" w:color="auto" w:fill="005CB9"/>
          </w:tcPr>
          <w:p>
            <w:pPr>
              <w:spacing w:after="0"/>
              <w:rPr>
                <w:sz w:val="21"/>
                <w:szCs w:val="21"/>
                <w:color w:val="auto"/>
              </w:rPr>
            </w:pPr>
          </w:p>
        </w:tc>
        <w:tc>
          <w:tcPr>
            <w:tcW w:w="7440" w:type="dxa"/>
            <w:vAlign w:val="bottom"/>
            <w:shd w:val="clear" w:color="auto" w:fill="005CB9"/>
          </w:tcPr>
          <w:p>
            <w:pPr>
              <w:spacing w:after="0"/>
              <w:rPr>
                <w:sz w:val="21"/>
                <w:szCs w:val="21"/>
                <w:color w:val="auto"/>
              </w:rPr>
            </w:pPr>
          </w:p>
        </w:tc>
      </w:tr>
      <w:tr>
        <w:trPr>
          <w:trHeight w:val="534"/>
        </w:trPr>
        <w:tc>
          <w:tcPr>
            <w:tcW w:w="3580" w:type="dxa"/>
            <w:vAlign w:val="bottom"/>
          </w:tcPr>
          <w:p>
            <w:pPr>
              <w:spacing w:after="0"/>
              <w:rPr>
                <w:sz w:val="24"/>
                <w:szCs w:val="24"/>
                <w:color w:val="auto"/>
              </w:rPr>
            </w:pPr>
          </w:p>
        </w:tc>
        <w:tc>
          <w:tcPr>
            <w:tcW w:w="7440" w:type="dxa"/>
            <w:vAlign w:val="bottom"/>
          </w:tcPr>
          <w:p>
            <w:pPr>
              <w:jc w:val="center"/>
              <w:ind w:right="3494"/>
              <w:spacing w:after="0"/>
              <w:rPr>
                <w:sz w:val="20"/>
                <w:szCs w:val="20"/>
                <w:color w:val="auto"/>
              </w:rPr>
            </w:pPr>
            <w:r>
              <w:rPr>
                <w:rFonts w:ascii="Arial" w:cs="Arial" w:eastAsia="Arial" w:hAnsi="Arial"/>
                <w:sz w:val="16"/>
                <w:szCs w:val="16"/>
                <w:b w:val="1"/>
                <w:bCs w:val="1"/>
                <w:color w:val="auto"/>
              </w:rPr>
              <w:t>EXECUTIVE SUMMARY OF PROPOSAL</w:t>
            </w:r>
          </w:p>
        </w:tc>
      </w:tr>
      <w:tr>
        <w:trPr>
          <w:trHeight w:val="305"/>
        </w:trPr>
        <w:tc>
          <w:tcPr>
            <w:tcW w:w="3580" w:type="dxa"/>
            <w:vAlign w:val="bottom"/>
          </w:tcPr>
          <w:p>
            <w:pPr>
              <w:ind w:left="640"/>
              <w:spacing w:after="0"/>
              <w:rPr>
                <w:sz w:val="20"/>
                <w:szCs w:val="20"/>
                <w:color w:val="auto"/>
              </w:rPr>
            </w:pPr>
            <w:r>
              <w:rPr>
                <w:rFonts w:ascii="Arial" w:cs="Arial" w:eastAsia="Arial" w:hAnsi="Arial"/>
                <w:sz w:val="16"/>
                <w:szCs w:val="16"/>
                <w:b w:val="1"/>
                <w:bCs w:val="1"/>
                <w:i w:val="1"/>
                <w:iCs w:val="1"/>
                <w:color w:val="auto"/>
              </w:rPr>
              <w:t>Summary of Proposal:</w:t>
            </w:r>
          </w:p>
        </w:tc>
        <w:tc>
          <w:tcPr>
            <w:tcW w:w="7440" w:type="dxa"/>
            <w:vAlign w:val="bottom"/>
          </w:tcPr>
          <w:p>
            <w:pPr>
              <w:ind w:left="40"/>
              <w:spacing w:after="0"/>
              <w:rPr>
                <w:sz w:val="20"/>
                <w:szCs w:val="20"/>
                <w:color w:val="auto"/>
              </w:rPr>
            </w:pPr>
            <w:r>
              <w:rPr>
                <w:rFonts w:ascii="Arial" w:cs="Arial" w:eastAsia="Arial" w:hAnsi="Arial"/>
                <w:sz w:val="16"/>
                <w:szCs w:val="16"/>
                <w:color w:val="auto"/>
              </w:rPr>
              <w:t>Amend and restate our 2017 Stock Incentive Plan (the “Amended and Restated 2017 Plan”)</w:t>
            </w:r>
          </w:p>
        </w:tc>
      </w:tr>
      <w:tr>
        <w:trPr>
          <w:trHeight w:val="189"/>
        </w:trPr>
        <w:tc>
          <w:tcPr>
            <w:tcW w:w="3580" w:type="dxa"/>
            <w:vAlign w:val="bottom"/>
          </w:tcPr>
          <w:p>
            <w:pPr>
              <w:spacing w:after="0"/>
              <w:rPr>
                <w:sz w:val="16"/>
                <w:szCs w:val="16"/>
                <w:color w:val="auto"/>
              </w:rPr>
            </w:pPr>
          </w:p>
        </w:tc>
        <w:tc>
          <w:tcPr>
            <w:tcW w:w="7440" w:type="dxa"/>
            <w:vAlign w:val="bottom"/>
          </w:tcPr>
          <w:p>
            <w:pPr>
              <w:ind w:left="40"/>
              <w:spacing w:after="0"/>
              <w:rPr>
                <w:sz w:val="20"/>
                <w:szCs w:val="20"/>
                <w:color w:val="auto"/>
              </w:rPr>
            </w:pPr>
            <w:r>
              <w:rPr>
                <w:rFonts w:ascii="Arial" w:cs="Arial" w:eastAsia="Arial" w:hAnsi="Arial"/>
                <w:sz w:val="16"/>
                <w:szCs w:val="16"/>
                <w:color w:val="auto"/>
              </w:rPr>
              <w:t>to increase the share reserve under the Amended and Restated 2017 Plan by 2,000,000</w:t>
            </w:r>
          </w:p>
        </w:tc>
      </w:tr>
      <w:tr>
        <w:trPr>
          <w:trHeight w:val="189"/>
        </w:trPr>
        <w:tc>
          <w:tcPr>
            <w:tcW w:w="3580" w:type="dxa"/>
            <w:vAlign w:val="bottom"/>
          </w:tcPr>
          <w:p>
            <w:pPr>
              <w:spacing w:after="0"/>
              <w:rPr>
                <w:sz w:val="16"/>
                <w:szCs w:val="16"/>
                <w:color w:val="auto"/>
              </w:rPr>
            </w:pPr>
          </w:p>
        </w:tc>
        <w:tc>
          <w:tcPr>
            <w:tcW w:w="7440" w:type="dxa"/>
            <w:vAlign w:val="bottom"/>
          </w:tcPr>
          <w:p>
            <w:pPr>
              <w:ind w:left="40"/>
              <w:spacing w:after="0"/>
              <w:rPr>
                <w:sz w:val="20"/>
                <w:szCs w:val="20"/>
                <w:color w:val="auto"/>
              </w:rPr>
            </w:pPr>
            <w:r>
              <w:rPr>
                <w:rFonts w:ascii="Arial" w:cs="Arial" w:eastAsia="Arial" w:hAnsi="Arial"/>
                <w:sz w:val="16"/>
                <w:szCs w:val="16"/>
                <w:color w:val="auto"/>
              </w:rPr>
              <w:t>shares of common stock. In addition, the Amended and Restated 2017 Plan also reflects</w:t>
            </w:r>
          </w:p>
        </w:tc>
      </w:tr>
      <w:tr>
        <w:trPr>
          <w:trHeight w:val="189"/>
        </w:trPr>
        <w:tc>
          <w:tcPr>
            <w:tcW w:w="3580" w:type="dxa"/>
            <w:vAlign w:val="bottom"/>
          </w:tcPr>
          <w:p>
            <w:pPr>
              <w:spacing w:after="0"/>
              <w:rPr>
                <w:sz w:val="16"/>
                <w:szCs w:val="16"/>
                <w:color w:val="auto"/>
              </w:rPr>
            </w:pPr>
          </w:p>
        </w:tc>
        <w:tc>
          <w:tcPr>
            <w:tcW w:w="7440" w:type="dxa"/>
            <w:vAlign w:val="bottom"/>
          </w:tcPr>
          <w:p>
            <w:pPr>
              <w:ind w:left="40"/>
              <w:spacing w:after="0"/>
              <w:rPr>
                <w:sz w:val="20"/>
                <w:szCs w:val="20"/>
                <w:color w:val="auto"/>
              </w:rPr>
            </w:pPr>
            <w:r>
              <w:rPr>
                <w:rFonts w:ascii="Arial" w:cs="Arial" w:eastAsia="Arial" w:hAnsi="Arial"/>
                <w:sz w:val="16"/>
                <w:szCs w:val="16"/>
                <w:color w:val="auto"/>
              </w:rPr>
              <w:t>updates to certain plan provisions to address the Tax Cuts and Jobs Act of 2017, which</w:t>
            </w:r>
          </w:p>
        </w:tc>
      </w:tr>
      <w:tr>
        <w:trPr>
          <w:trHeight w:val="189"/>
        </w:trPr>
        <w:tc>
          <w:tcPr>
            <w:tcW w:w="3580" w:type="dxa"/>
            <w:vAlign w:val="bottom"/>
          </w:tcPr>
          <w:p>
            <w:pPr>
              <w:spacing w:after="0"/>
              <w:rPr>
                <w:sz w:val="16"/>
                <w:szCs w:val="16"/>
                <w:color w:val="auto"/>
              </w:rPr>
            </w:pPr>
          </w:p>
        </w:tc>
        <w:tc>
          <w:tcPr>
            <w:tcW w:w="7440" w:type="dxa"/>
            <w:vAlign w:val="bottom"/>
          </w:tcPr>
          <w:p>
            <w:pPr>
              <w:ind w:left="40"/>
              <w:spacing w:after="0"/>
              <w:rPr>
                <w:sz w:val="20"/>
                <w:szCs w:val="20"/>
                <w:color w:val="auto"/>
              </w:rPr>
            </w:pPr>
            <w:r>
              <w:rPr>
                <w:rFonts w:ascii="Arial" w:cs="Arial" w:eastAsia="Arial" w:hAnsi="Arial"/>
                <w:sz w:val="16"/>
                <w:szCs w:val="16"/>
                <w:color w:val="auto"/>
              </w:rPr>
              <w:t>repealed the qualified performance-based exemption from the deduction limitations on</w:t>
            </w:r>
          </w:p>
        </w:tc>
      </w:tr>
      <w:tr>
        <w:trPr>
          <w:trHeight w:val="195"/>
        </w:trPr>
        <w:tc>
          <w:tcPr>
            <w:tcW w:w="3580" w:type="dxa"/>
            <w:vAlign w:val="bottom"/>
          </w:tcPr>
          <w:p>
            <w:pPr>
              <w:spacing w:after="0"/>
              <w:rPr>
                <w:sz w:val="16"/>
                <w:szCs w:val="16"/>
                <w:color w:val="auto"/>
              </w:rPr>
            </w:pPr>
          </w:p>
        </w:tc>
        <w:tc>
          <w:tcPr>
            <w:tcW w:w="7440" w:type="dxa"/>
            <w:vAlign w:val="bottom"/>
          </w:tcPr>
          <w:p>
            <w:pPr>
              <w:ind w:left="40"/>
              <w:spacing w:after="0"/>
              <w:rPr>
                <w:sz w:val="20"/>
                <w:szCs w:val="20"/>
                <w:color w:val="auto"/>
              </w:rPr>
            </w:pPr>
            <w:r>
              <w:rPr>
                <w:rFonts w:ascii="Arial" w:cs="Arial" w:eastAsia="Arial" w:hAnsi="Arial"/>
                <w:sz w:val="16"/>
                <w:szCs w:val="16"/>
                <w:color w:val="auto"/>
              </w:rPr>
              <w:t>compensation paid to certain executives under Section 162(m) of the Code.</w:t>
            </w:r>
          </w:p>
        </w:tc>
      </w:tr>
      <w:tr>
        <w:trPr>
          <w:trHeight w:val="271"/>
        </w:trPr>
        <w:tc>
          <w:tcPr>
            <w:tcW w:w="3580" w:type="dxa"/>
            <w:vAlign w:val="bottom"/>
          </w:tcPr>
          <w:p>
            <w:pPr>
              <w:ind w:left="640"/>
              <w:spacing w:after="0"/>
              <w:rPr>
                <w:sz w:val="20"/>
                <w:szCs w:val="20"/>
                <w:color w:val="auto"/>
              </w:rPr>
            </w:pPr>
            <w:r>
              <w:rPr>
                <w:rFonts w:ascii="Arial" w:cs="Arial" w:eastAsia="Arial" w:hAnsi="Arial"/>
                <w:sz w:val="16"/>
                <w:szCs w:val="16"/>
                <w:b w:val="1"/>
                <w:bCs w:val="1"/>
                <w:i w:val="1"/>
                <w:iCs w:val="1"/>
                <w:color w:val="auto"/>
              </w:rPr>
              <w:t>Number of Shares Available for Grant</w:t>
            </w:r>
          </w:p>
        </w:tc>
        <w:tc>
          <w:tcPr>
            <w:tcW w:w="7440" w:type="dxa"/>
            <w:vAlign w:val="bottom"/>
          </w:tcPr>
          <w:p>
            <w:pPr>
              <w:ind w:left="40"/>
              <w:spacing w:after="0"/>
              <w:rPr>
                <w:sz w:val="20"/>
                <w:szCs w:val="20"/>
                <w:color w:val="auto"/>
              </w:rPr>
            </w:pPr>
            <w:r>
              <w:rPr>
                <w:rFonts w:ascii="Arial" w:cs="Arial" w:eastAsia="Arial" w:hAnsi="Arial"/>
                <w:sz w:val="16"/>
                <w:szCs w:val="16"/>
                <w:color w:val="auto"/>
              </w:rPr>
              <w:t>4,744,253 as of June 30, 2020</w:t>
            </w:r>
          </w:p>
        </w:tc>
      </w:tr>
      <w:tr>
        <w:trPr>
          <w:trHeight w:val="215"/>
        </w:trPr>
        <w:tc>
          <w:tcPr>
            <w:tcW w:w="3580" w:type="dxa"/>
            <w:vAlign w:val="bottom"/>
          </w:tcPr>
          <w:p>
            <w:pPr>
              <w:ind w:left="640"/>
              <w:spacing w:after="0"/>
              <w:rPr>
                <w:sz w:val="20"/>
                <w:szCs w:val="20"/>
                <w:color w:val="auto"/>
              </w:rPr>
            </w:pPr>
            <w:r>
              <w:rPr>
                <w:rFonts w:ascii="Arial" w:cs="Arial" w:eastAsia="Arial" w:hAnsi="Arial"/>
                <w:sz w:val="16"/>
                <w:szCs w:val="16"/>
                <w:b w:val="1"/>
                <w:bCs w:val="1"/>
                <w:i w:val="1"/>
                <w:iCs w:val="1"/>
                <w:color w:val="auto"/>
              </w:rPr>
              <w:t>under the existing 2017 Plan:</w:t>
            </w:r>
          </w:p>
        </w:tc>
        <w:tc>
          <w:tcPr>
            <w:tcW w:w="7440" w:type="dxa"/>
            <w:vAlign w:val="bottom"/>
          </w:tcPr>
          <w:p>
            <w:pPr>
              <w:spacing w:after="0"/>
              <w:rPr>
                <w:sz w:val="18"/>
                <w:szCs w:val="18"/>
                <w:color w:val="auto"/>
              </w:rPr>
            </w:pPr>
          </w:p>
        </w:tc>
      </w:tr>
      <w:tr>
        <w:trPr>
          <w:trHeight w:val="271"/>
        </w:trPr>
        <w:tc>
          <w:tcPr>
            <w:tcW w:w="3580" w:type="dxa"/>
            <w:vAlign w:val="bottom"/>
          </w:tcPr>
          <w:p>
            <w:pPr>
              <w:ind w:left="640"/>
              <w:spacing w:after="0"/>
              <w:rPr>
                <w:sz w:val="20"/>
                <w:szCs w:val="20"/>
                <w:color w:val="auto"/>
              </w:rPr>
            </w:pPr>
            <w:r>
              <w:rPr>
                <w:rFonts w:ascii="Arial" w:cs="Arial" w:eastAsia="Arial" w:hAnsi="Arial"/>
                <w:sz w:val="16"/>
                <w:szCs w:val="16"/>
                <w:b w:val="1"/>
                <w:bCs w:val="1"/>
                <w:i w:val="1"/>
                <w:iCs w:val="1"/>
                <w:color w:val="auto"/>
              </w:rPr>
              <w:t>Number of Shares Subject to</w:t>
            </w:r>
          </w:p>
        </w:tc>
        <w:tc>
          <w:tcPr>
            <w:tcW w:w="7440" w:type="dxa"/>
            <w:vAlign w:val="bottom"/>
          </w:tcPr>
          <w:p>
            <w:pPr>
              <w:ind w:left="40"/>
              <w:spacing w:after="0"/>
              <w:rPr>
                <w:sz w:val="20"/>
                <w:szCs w:val="20"/>
                <w:color w:val="auto"/>
              </w:rPr>
            </w:pPr>
            <w:r>
              <w:rPr>
                <w:rFonts w:ascii="Arial" w:cs="Arial" w:eastAsia="Arial" w:hAnsi="Arial"/>
                <w:sz w:val="16"/>
                <w:szCs w:val="16"/>
                <w:color w:val="auto"/>
              </w:rPr>
              <w:t>2,474,473 as of June 30, 2020</w:t>
            </w:r>
          </w:p>
        </w:tc>
      </w:tr>
      <w:tr>
        <w:trPr>
          <w:trHeight w:val="189"/>
        </w:trPr>
        <w:tc>
          <w:tcPr>
            <w:tcW w:w="3580" w:type="dxa"/>
            <w:vAlign w:val="bottom"/>
          </w:tcPr>
          <w:p>
            <w:pPr>
              <w:ind w:left="640"/>
              <w:spacing w:after="0"/>
              <w:rPr>
                <w:sz w:val="20"/>
                <w:szCs w:val="20"/>
                <w:color w:val="auto"/>
              </w:rPr>
            </w:pPr>
            <w:r>
              <w:rPr>
                <w:rFonts w:ascii="Arial" w:cs="Arial" w:eastAsia="Arial" w:hAnsi="Arial"/>
                <w:sz w:val="16"/>
                <w:szCs w:val="16"/>
                <w:b w:val="1"/>
                <w:bCs w:val="1"/>
                <w:i w:val="1"/>
                <w:iCs w:val="1"/>
                <w:color w:val="auto"/>
              </w:rPr>
              <w:t>Outstanding Awards under the</w:t>
            </w:r>
          </w:p>
        </w:tc>
        <w:tc>
          <w:tcPr>
            <w:tcW w:w="7440" w:type="dxa"/>
            <w:vAlign w:val="bottom"/>
          </w:tcPr>
          <w:p>
            <w:pPr>
              <w:spacing w:after="0"/>
              <w:rPr>
                <w:sz w:val="16"/>
                <w:szCs w:val="16"/>
                <w:color w:val="auto"/>
              </w:rPr>
            </w:pPr>
          </w:p>
        </w:tc>
      </w:tr>
      <w:tr>
        <w:trPr>
          <w:trHeight w:val="215"/>
        </w:trPr>
        <w:tc>
          <w:tcPr>
            <w:tcW w:w="3580" w:type="dxa"/>
            <w:vAlign w:val="bottom"/>
          </w:tcPr>
          <w:p>
            <w:pPr>
              <w:ind w:left="640"/>
              <w:spacing w:after="0"/>
              <w:rPr>
                <w:sz w:val="20"/>
                <w:szCs w:val="20"/>
                <w:color w:val="auto"/>
              </w:rPr>
            </w:pPr>
            <w:r>
              <w:rPr>
                <w:rFonts w:ascii="Arial" w:cs="Arial" w:eastAsia="Arial" w:hAnsi="Arial"/>
                <w:sz w:val="16"/>
                <w:szCs w:val="16"/>
                <w:b w:val="1"/>
                <w:bCs w:val="1"/>
                <w:i w:val="1"/>
                <w:iCs w:val="1"/>
                <w:color w:val="auto"/>
              </w:rPr>
              <w:t>existing 2017 Plan:</w:t>
            </w:r>
          </w:p>
        </w:tc>
        <w:tc>
          <w:tcPr>
            <w:tcW w:w="7440" w:type="dxa"/>
            <w:vAlign w:val="bottom"/>
          </w:tcPr>
          <w:p>
            <w:pPr>
              <w:spacing w:after="0"/>
              <w:rPr>
                <w:sz w:val="18"/>
                <w:szCs w:val="18"/>
                <w:color w:val="auto"/>
              </w:rPr>
            </w:pPr>
          </w:p>
        </w:tc>
      </w:tr>
      <w:tr>
        <w:trPr>
          <w:trHeight w:val="271"/>
        </w:trPr>
        <w:tc>
          <w:tcPr>
            <w:tcW w:w="3580" w:type="dxa"/>
            <w:vAlign w:val="bottom"/>
          </w:tcPr>
          <w:p>
            <w:pPr>
              <w:ind w:left="640"/>
              <w:spacing w:after="0"/>
              <w:rPr>
                <w:sz w:val="20"/>
                <w:szCs w:val="20"/>
                <w:color w:val="auto"/>
              </w:rPr>
            </w:pPr>
            <w:r>
              <w:rPr>
                <w:rFonts w:ascii="Arial" w:cs="Arial" w:eastAsia="Arial" w:hAnsi="Arial"/>
                <w:sz w:val="16"/>
                <w:szCs w:val="16"/>
                <w:b w:val="1"/>
                <w:bCs w:val="1"/>
                <w:i w:val="1"/>
                <w:iCs w:val="1"/>
                <w:color w:val="auto"/>
              </w:rPr>
              <w:t>Number of Total Shares of Common</w:t>
            </w:r>
          </w:p>
        </w:tc>
        <w:tc>
          <w:tcPr>
            <w:tcW w:w="7440" w:type="dxa"/>
            <w:vAlign w:val="bottom"/>
          </w:tcPr>
          <w:p>
            <w:pPr>
              <w:ind w:left="40"/>
              <w:spacing w:after="0"/>
              <w:rPr>
                <w:sz w:val="20"/>
                <w:szCs w:val="20"/>
                <w:color w:val="auto"/>
              </w:rPr>
            </w:pPr>
            <w:r>
              <w:rPr>
                <w:rFonts w:ascii="Arial" w:cs="Arial" w:eastAsia="Arial" w:hAnsi="Arial"/>
                <w:sz w:val="16"/>
                <w:szCs w:val="16"/>
                <w:color w:val="auto"/>
              </w:rPr>
              <w:t>114,338,764 as of June 30, 2020</w:t>
            </w:r>
          </w:p>
        </w:tc>
      </w:tr>
      <w:tr>
        <w:trPr>
          <w:trHeight w:val="215"/>
        </w:trPr>
        <w:tc>
          <w:tcPr>
            <w:tcW w:w="3580" w:type="dxa"/>
            <w:vAlign w:val="bottom"/>
          </w:tcPr>
          <w:p>
            <w:pPr>
              <w:ind w:left="640"/>
              <w:spacing w:after="0"/>
              <w:rPr>
                <w:sz w:val="20"/>
                <w:szCs w:val="20"/>
                <w:color w:val="auto"/>
              </w:rPr>
            </w:pPr>
            <w:r>
              <w:rPr>
                <w:rFonts w:ascii="Arial" w:cs="Arial" w:eastAsia="Arial" w:hAnsi="Arial"/>
                <w:sz w:val="16"/>
                <w:szCs w:val="16"/>
                <w:b w:val="1"/>
                <w:bCs w:val="1"/>
                <w:i w:val="1"/>
                <w:iCs w:val="1"/>
                <w:color w:val="auto"/>
              </w:rPr>
              <w:t>Stock Outstanding:</w:t>
            </w:r>
          </w:p>
        </w:tc>
        <w:tc>
          <w:tcPr>
            <w:tcW w:w="7440" w:type="dxa"/>
            <w:vAlign w:val="bottom"/>
          </w:tcPr>
          <w:p>
            <w:pPr>
              <w:spacing w:after="0"/>
              <w:rPr>
                <w:sz w:val="18"/>
                <w:szCs w:val="18"/>
                <w:color w:val="auto"/>
              </w:rPr>
            </w:pPr>
          </w:p>
        </w:tc>
      </w:tr>
      <w:tr>
        <w:trPr>
          <w:trHeight w:val="291"/>
        </w:trPr>
        <w:tc>
          <w:tcPr>
            <w:tcW w:w="3580" w:type="dxa"/>
            <w:vAlign w:val="bottom"/>
          </w:tcPr>
          <w:p>
            <w:pPr>
              <w:ind w:left="640"/>
              <w:spacing w:after="0"/>
              <w:rPr>
                <w:sz w:val="20"/>
                <w:szCs w:val="20"/>
                <w:color w:val="auto"/>
              </w:rPr>
            </w:pPr>
            <w:r>
              <w:rPr>
                <w:rFonts w:ascii="Arial" w:cs="Arial" w:eastAsia="Arial" w:hAnsi="Arial"/>
                <w:sz w:val="16"/>
                <w:szCs w:val="16"/>
                <w:b w:val="1"/>
                <w:bCs w:val="1"/>
                <w:i w:val="1"/>
                <w:iCs w:val="1"/>
                <w:color w:val="auto"/>
              </w:rPr>
              <w:t>Uses of Equity Compensation:</w:t>
            </w:r>
          </w:p>
        </w:tc>
        <w:tc>
          <w:tcPr>
            <w:tcW w:w="7440" w:type="dxa"/>
            <w:vAlign w:val="bottom"/>
          </w:tcPr>
          <w:p>
            <w:pPr>
              <w:ind w:left="40"/>
              <w:spacing w:after="0"/>
              <w:rPr>
                <w:sz w:val="20"/>
                <w:szCs w:val="20"/>
                <w:color w:val="auto"/>
              </w:rPr>
            </w:pPr>
            <w:r>
              <w:rPr>
                <w:rFonts w:ascii="Arial" w:cs="Arial" w:eastAsia="Arial" w:hAnsi="Arial"/>
                <w:sz w:val="16"/>
                <w:szCs w:val="16"/>
                <w:color w:val="005CB9"/>
              </w:rPr>
              <w:t xml:space="preserve">•  </w:t>
            </w:r>
            <w:r>
              <w:rPr>
                <w:rFonts w:ascii="Arial" w:cs="Arial" w:eastAsia="Arial" w:hAnsi="Arial"/>
                <w:sz w:val="16"/>
                <w:szCs w:val="16"/>
                <w:color w:val="000000"/>
              </w:rPr>
              <w:t>Equity is an essential tool to attract and retain highly-skilled creative talent, and it aligns the</w:t>
            </w:r>
          </w:p>
        </w:tc>
      </w:tr>
      <w:tr>
        <w:trPr>
          <w:trHeight w:val="195"/>
        </w:trPr>
        <w:tc>
          <w:tcPr>
            <w:tcW w:w="3580" w:type="dxa"/>
            <w:vAlign w:val="bottom"/>
          </w:tcPr>
          <w:p>
            <w:pPr>
              <w:spacing w:after="0"/>
              <w:rPr>
                <w:sz w:val="16"/>
                <w:szCs w:val="16"/>
                <w:color w:val="auto"/>
              </w:rPr>
            </w:pPr>
          </w:p>
        </w:tc>
        <w:tc>
          <w:tcPr>
            <w:tcW w:w="7440" w:type="dxa"/>
            <w:vAlign w:val="bottom"/>
          </w:tcPr>
          <w:p>
            <w:pPr>
              <w:ind w:left="300"/>
              <w:spacing w:after="0"/>
              <w:rPr>
                <w:sz w:val="20"/>
                <w:szCs w:val="20"/>
                <w:color w:val="auto"/>
              </w:rPr>
            </w:pPr>
            <w:r>
              <w:rPr>
                <w:rFonts w:ascii="Arial" w:cs="Arial" w:eastAsia="Arial" w:hAnsi="Arial"/>
                <w:sz w:val="16"/>
                <w:szCs w:val="16"/>
                <w:color w:val="auto"/>
              </w:rPr>
              <w:t>interests of creative employees with shareholders.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-2301240</wp:posOffset>
            </wp:positionV>
            <wp:extent cx="6292215" cy="60775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92215" cy="6077585"/>
                    </a:xfrm>
                    <a:prstGeom prst="rect">
                      <a:avLst/>
                    </a:prstGeom>
                    <a:noFill/>
                  </pic:spPr>
                </pic:pic>
              </a:graphicData>
            </a:graphic>
          </wp:anchor>
        </w:drawing>
      </w:r>
    </w:p>
    <w:p>
      <w:pPr>
        <w:spacing w:after="0" w:line="96" w:lineRule="exact"/>
        <w:rPr>
          <w:sz w:val="20"/>
          <w:szCs w:val="20"/>
          <w:color w:val="auto"/>
        </w:rPr>
      </w:pPr>
    </w:p>
    <w:p>
      <w:pPr>
        <w:ind w:left="4280" w:right="900" w:hanging="242"/>
        <w:spacing w:after="0" w:line="253" w:lineRule="auto"/>
        <w:tabs>
          <w:tab w:leader="none" w:pos="4260" w:val="left"/>
        </w:tabs>
        <w:rPr>
          <w:sz w:val="20"/>
          <w:szCs w:val="20"/>
          <w:color w:val="auto"/>
        </w:rPr>
      </w:pPr>
      <w:r>
        <w:rPr>
          <w:rFonts w:ascii="Arial" w:cs="Arial" w:eastAsia="Arial" w:hAnsi="Arial"/>
          <w:sz w:val="16"/>
          <w:szCs w:val="16"/>
          <w:color w:val="005CB9"/>
        </w:rPr>
        <w:t>•</w:t>
      </w:r>
      <w:r>
        <w:rPr>
          <w:rFonts w:ascii="Arial" w:cs="Arial" w:eastAsia="Arial" w:hAnsi="Arial"/>
          <w:sz w:val="16"/>
          <w:szCs w:val="16"/>
          <w:color w:val="auto"/>
        </w:rPr>
        <w:tab/>
        <w:t>Our creative employees at Rockstar Games, 2K, Private Division, and Social Point, drive our business, are critical to our continued success, and help us build shareholder value.</w:t>
      </w:r>
    </w:p>
    <w:p>
      <w:pPr>
        <w:spacing w:after="0" w:line="107" w:lineRule="exact"/>
        <w:rPr>
          <w:sz w:val="20"/>
          <w:szCs w:val="20"/>
          <w:color w:val="auto"/>
        </w:rPr>
      </w:pPr>
    </w:p>
    <w:p>
      <w:pPr>
        <w:ind w:left="4280" w:right="780" w:hanging="242"/>
        <w:spacing w:after="0" w:line="260" w:lineRule="auto"/>
        <w:tabs>
          <w:tab w:leader="none" w:pos="4260" w:val="left"/>
        </w:tabs>
        <w:rPr>
          <w:sz w:val="20"/>
          <w:szCs w:val="20"/>
          <w:color w:val="auto"/>
        </w:rPr>
      </w:pPr>
      <w:r>
        <w:rPr>
          <w:rFonts w:ascii="Arial" w:cs="Arial" w:eastAsia="Arial" w:hAnsi="Arial"/>
          <w:sz w:val="16"/>
          <w:szCs w:val="16"/>
          <w:color w:val="005CB9"/>
        </w:rPr>
        <w:t>•</w:t>
      </w:r>
      <w:r>
        <w:rPr>
          <w:rFonts w:ascii="Arial" w:cs="Arial" w:eastAsia="Arial" w:hAnsi="Arial"/>
          <w:sz w:val="16"/>
          <w:szCs w:val="16"/>
          <w:color w:val="auto"/>
        </w:rPr>
        <w:tab/>
        <w:t>We believe our use of equity throughout Take-Two, and beyond the executive level is a strategic advantage and vital to our ownership culture.</w:t>
      </w:r>
    </w:p>
    <w:p>
      <w:pPr>
        <w:spacing w:after="0" w:line="101" w:lineRule="exact"/>
        <w:rPr>
          <w:sz w:val="20"/>
          <w:szCs w:val="20"/>
          <w:color w:val="auto"/>
        </w:rPr>
      </w:pPr>
    </w:p>
    <w:p>
      <w:pPr>
        <w:ind w:left="4280" w:right="780" w:hanging="242"/>
        <w:spacing w:after="0" w:line="260" w:lineRule="auto"/>
        <w:tabs>
          <w:tab w:leader="none" w:pos="4260" w:val="left"/>
        </w:tabs>
        <w:rPr>
          <w:sz w:val="20"/>
          <w:szCs w:val="20"/>
          <w:color w:val="auto"/>
        </w:rPr>
      </w:pPr>
      <w:r>
        <w:rPr>
          <w:rFonts w:ascii="Arial" w:cs="Arial" w:eastAsia="Arial" w:hAnsi="Arial"/>
          <w:sz w:val="16"/>
          <w:szCs w:val="16"/>
          <w:color w:val="005CB9"/>
        </w:rPr>
        <w:t>•</w:t>
      </w:r>
      <w:r>
        <w:rPr>
          <w:rFonts w:ascii="Arial" w:cs="Arial" w:eastAsia="Arial" w:hAnsi="Arial"/>
          <w:sz w:val="16"/>
          <w:szCs w:val="16"/>
          <w:color w:val="auto"/>
        </w:rPr>
        <w:tab/>
        <w:t>Almost two-thirds of our employees work in our development studios and have highly specialized technical capabilities to develop software titles for multiple platforms.</w:t>
      </w:r>
    </w:p>
    <w:p>
      <w:pPr>
        <w:spacing w:after="0" w:line="101" w:lineRule="exact"/>
        <w:rPr>
          <w:sz w:val="20"/>
          <w:szCs w:val="20"/>
          <w:color w:val="auto"/>
        </w:rPr>
      </w:pPr>
    </w:p>
    <w:p>
      <w:pPr>
        <w:jc w:val="center"/>
        <w:ind w:left="2880"/>
        <w:spacing w:after="0"/>
        <w:tabs>
          <w:tab w:leader="none" w:pos="140" w:val="left"/>
        </w:tabs>
        <w:rPr>
          <w:sz w:val="20"/>
          <w:szCs w:val="20"/>
          <w:color w:val="auto"/>
        </w:rPr>
      </w:pPr>
      <w:r>
        <w:rPr>
          <w:rFonts w:ascii="Arial" w:cs="Arial" w:eastAsia="Arial" w:hAnsi="Arial"/>
          <w:sz w:val="16"/>
          <w:szCs w:val="16"/>
          <w:color w:val="005CB9"/>
        </w:rPr>
        <w:t>•</w:t>
      </w:r>
      <w:r>
        <w:rPr>
          <w:rFonts w:ascii="Arial" w:cs="Arial" w:eastAsia="Arial" w:hAnsi="Arial"/>
          <w:sz w:val="16"/>
          <w:szCs w:val="16"/>
          <w:color w:val="auto"/>
        </w:rPr>
        <w:tab/>
        <w:t>Two-thirds of equity grants to non-ZelnickMedia NEOs, and more than half of the</w:t>
      </w:r>
    </w:p>
    <w:p>
      <w:pPr>
        <w:spacing w:after="0" w:line="5"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equity grants to ZelnickMedia, are performance-based and, therefore, at risk.</w:t>
      </w:r>
    </w:p>
    <w:p>
      <w:pPr>
        <w:spacing w:after="0" w:line="127" w:lineRule="exact"/>
        <w:rPr>
          <w:sz w:val="20"/>
          <w:szCs w:val="20"/>
          <w:color w:val="auto"/>
        </w:rPr>
      </w:pPr>
    </w:p>
    <w:p>
      <w:pPr>
        <w:ind w:left="4280" w:right="960" w:hanging="242"/>
        <w:spacing w:after="0" w:line="260" w:lineRule="auto"/>
        <w:tabs>
          <w:tab w:leader="none" w:pos="4260" w:val="left"/>
        </w:tabs>
        <w:rPr>
          <w:sz w:val="20"/>
          <w:szCs w:val="20"/>
          <w:color w:val="auto"/>
        </w:rPr>
      </w:pPr>
      <w:r>
        <w:rPr>
          <w:rFonts w:ascii="Arial" w:cs="Arial" w:eastAsia="Arial" w:hAnsi="Arial"/>
          <w:sz w:val="16"/>
          <w:szCs w:val="16"/>
          <w:color w:val="005CB9"/>
        </w:rPr>
        <w:t>•</w:t>
      </w:r>
      <w:r>
        <w:rPr>
          <w:rFonts w:ascii="Arial" w:cs="Arial" w:eastAsia="Arial" w:hAnsi="Arial"/>
          <w:sz w:val="16"/>
          <w:szCs w:val="16"/>
          <w:color w:val="auto"/>
        </w:rPr>
        <w:tab/>
        <w:t>In fiscal 2020, 62% of equity awards granted were used to retain employees at our labels.</w:t>
      </w:r>
    </w:p>
    <w:p>
      <w:pPr>
        <w:spacing w:after="0" w:line="14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Fiscal 2020 Share Grant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2136775</wp:posOffset>
            </wp:positionV>
            <wp:extent cx="291465" cy="2743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68</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205740</wp:posOffset>
            </wp:positionV>
            <wp:extent cx="3985895"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985895" cy="137160"/>
                    </a:xfrm>
                    <a:prstGeom prst="rect">
                      <a:avLst/>
                    </a:prstGeom>
                    <a:noFill/>
                  </pic:spPr>
                </pic:pic>
              </a:graphicData>
            </a:graphic>
          </wp:anchor>
        </w:drawing>
      </w:r>
    </w:p>
    <w:p>
      <w:pPr>
        <w:spacing w:after="0" w:line="33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28" w:lineRule="exact"/>
        <w:rPr>
          <w:sz w:val="20"/>
          <w:szCs w:val="20"/>
          <w:color w:val="auto"/>
        </w:rPr>
      </w:pPr>
    </w:p>
    <w:p>
      <w:pPr>
        <w:ind w:left="760"/>
        <w:spacing w:after="0"/>
        <w:tabs>
          <w:tab w:leader="none" w:pos="3720" w:val="left"/>
          <w:tab w:leader="none" w:pos="3940" w:val="left"/>
        </w:tabs>
        <w:rPr>
          <w:sz w:val="20"/>
          <w:szCs w:val="20"/>
          <w:color w:val="auto"/>
        </w:rPr>
      </w:pPr>
      <w:r>
        <w:rPr>
          <w:rFonts w:ascii="Arial" w:cs="Arial" w:eastAsia="Arial" w:hAnsi="Arial"/>
          <w:sz w:val="16"/>
          <w:szCs w:val="16"/>
          <w:b w:val="1"/>
          <w:bCs w:val="1"/>
          <w:i w:val="1"/>
          <w:iCs w:val="1"/>
          <w:color w:val="auto"/>
        </w:rPr>
        <w:t>Certain Plan Highlights:</w:t>
      </w:r>
      <w:r>
        <w:rPr>
          <w:sz w:val="20"/>
          <w:szCs w:val="20"/>
          <w:color w:val="auto"/>
        </w:rPr>
        <w:tab/>
      </w:r>
      <w:r>
        <w:rPr>
          <w:rFonts w:ascii="Arial" w:cs="Arial" w:eastAsia="Arial" w:hAnsi="Arial"/>
          <w:sz w:val="16"/>
          <w:szCs w:val="16"/>
          <w:color w:val="005CB9"/>
        </w:rPr>
        <w:t>•</w:t>
      </w:r>
      <w:r>
        <w:rPr>
          <w:rFonts w:ascii="Arial" w:cs="Arial" w:eastAsia="Arial" w:hAnsi="Arial"/>
          <w:sz w:val="16"/>
          <w:szCs w:val="16"/>
          <w:color w:val="auto"/>
        </w:rPr>
        <w:tab/>
        <w:t>Limits on awards to individual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-104775</wp:posOffset>
            </wp:positionV>
            <wp:extent cx="6292215" cy="25114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11425"/>
                    </a:xfrm>
                    <a:prstGeom prst="rect">
                      <a:avLst/>
                    </a:prstGeom>
                    <a:noFill/>
                  </pic:spPr>
                </pic:pic>
              </a:graphicData>
            </a:graphic>
          </wp:anchor>
        </w:drawing>
      </w:r>
    </w:p>
    <w:p>
      <w:pPr>
        <w:spacing w:after="0" w:line="127" w:lineRule="exact"/>
        <w:rPr>
          <w:sz w:val="20"/>
          <w:szCs w:val="20"/>
          <w:color w:val="auto"/>
        </w:rPr>
      </w:pPr>
    </w:p>
    <w:p>
      <w:pPr>
        <w:ind w:left="4000" w:right="120" w:hanging="253"/>
        <w:spacing w:after="0" w:line="260" w:lineRule="auto"/>
        <w:tabs>
          <w:tab w:leader="none" w:pos="3976" w:val="left"/>
        </w:tabs>
        <w:numPr>
          <w:ilvl w:val="0"/>
          <w:numId w:val="79"/>
        </w:numPr>
        <w:rPr>
          <w:rFonts w:ascii="Arial" w:cs="Arial" w:eastAsia="Arial" w:hAnsi="Arial"/>
          <w:sz w:val="16"/>
          <w:szCs w:val="16"/>
          <w:color w:val="005CB9"/>
        </w:rPr>
      </w:pPr>
      <w:r>
        <w:rPr>
          <w:rFonts w:ascii="Arial" w:cs="Arial" w:eastAsia="Arial" w:hAnsi="Arial"/>
          <w:sz w:val="16"/>
          <w:szCs w:val="16"/>
          <w:color w:val="auto"/>
        </w:rPr>
        <w:t>Non-liberal recycling of shares used to satisfy tax withholding obligations or as payment for the exercise price or base price for stock options and SARs</w:t>
      </w:r>
    </w:p>
    <w:p>
      <w:pPr>
        <w:spacing w:after="0" w:line="100" w:lineRule="exact"/>
        <w:rPr>
          <w:rFonts w:ascii="Arial" w:cs="Arial" w:eastAsia="Arial" w:hAnsi="Arial"/>
          <w:sz w:val="16"/>
          <w:szCs w:val="16"/>
          <w:color w:val="005CB9"/>
        </w:rPr>
      </w:pPr>
    </w:p>
    <w:p>
      <w:pPr>
        <w:ind w:left="3960" w:hanging="213"/>
        <w:spacing w:after="0"/>
        <w:tabs>
          <w:tab w:leader="none" w:pos="3960" w:val="left"/>
        </w:tabs>
        <w:numPr>
          <w:ilvl w:val="0"/>
          <w:numId w:val="79"/>
        </w:numPr>
        <w:rPr>
          <w:rFonts w:ascii="Arial" w:cs="Arial" w:eastAsia="Arial" w:hAnsi="Arial"/>
          <w:sz w:val="16"/>
          <w:szCs w:val="16"/>
          <w:color w:val="005CB9"/>
        </w:rPr>
      </w:pPr>
      <w:r>
        <w:rPr>
          <w:rFonts w:ascii="Arial" w:cs="Arial" w:eastAsia="Arial" w:hAnsi="Arial"/>
          <w:sz w:val="16"/>
          <w:szCs w:val="16"/>
          <w:color w:val="auto"/>
        </w:rPr>
        <w:t>No evergreen provision for share reserve</w:t>
      </w:r>
    </w:p>
    <w:p>
      <w:pPr>
        <w:spacing w:after="0" w:line="126" w:lineRule="exact"/>
        <w:rPr>
          <w:rFonts w:ascii="Arial" w:cs="Arial" w:eastAsia="Arial" w:hAnsi="Arial"/>
          <w:sz w:val="16"/>
          <w:szCs w:val="16"/>
          <w:color w:val="005CB9"/>
        </w:rPr>
      </w:pPr>
    </w:p>
    <w:p>
      <w:pPr>
        <w:ind w:left="4000" w:right="140" w:hanging="253"/>
        <w:spacing w:after="0" w:line="260" w:lineRule="auto"/>
        <w:tabs>
          <w:tab w:leader="none" w:pos="3976" w:val="left"/>
        </w:tabs>
        <w:numPr>
          <w:ilvl w:val="0"/>
          <w:numId w:val="79"/>
        </w:numPr>
        <w:rPr>
          <w:rFonts w:ascii="Arial" w:cs="Arial" w:eastAsia="Arial" w:hAnsi="Arial"/>
          <w:sz w:val="16"/>
          <w:szCs w:val="16"/>
          <w:color w:val="005CB9"/>
        </w:rPr>
      </w:pPr>
      <w:r>
        <w:rPr>
          <w:rFonts w:ascii="Arial" w:cs="Arial" w:eastAsia="Arial" w:hAnsi="Arial"/>
          <w:sz w:val="16"/>
          <w:szCs w:val="16"/>
          <w:color w:val="auto"/>
        </w:rPr>
        <w:t>Dividends and dividend equivalents on awards do not vest and are not paid until the award is earned and vested</w:t>
      </w:r>
    </w:p>
    <w:p>
      <w:pPr>
        <w:spacing w:after="0" w:line="100" w:lineRule="exact"/>
        <w:rPr>
          <w:rFonts w:ascii="Arial" w:cs="Arial" w:eastAsia="Arial" w:hAnsi="Arial"/>
          <w:sz w:val="16"/>
          <w:szCs w:val="16"/>
          <w:color w:val="005CB9"/>
        </w:rPr>
      </w:pPr>
    </w:p>
    <w:p>
      <w:pPr>
        <w:ind w:left="3960" w:hanging="213"/>
        <w:spacing w:after="0"/>
        <w:tabs>
          <w:tab w:leader="none" w:pos="3960" w:val="left"/>
        </w:tabs>
        <w:numPr>
          <w:ilvl w:val="0"/>
          <w:numId w:val="79"/>
        </w:numPr>
        <w:rPr>
          <w:rFonts w:ascii="Arial" w:cs="Arial" w:eastAsia="Arial" w:hAnsi="Arial"/>
          <w:sz w:val="16"/>
          <w:szCs w:val="16"/>
          <w:color w:val="005CB9"/>
        </w:rPr>
      </w:pPr>
      <w:r>
        <w:rPr>
          <w:rFonts w:ascii="Arial" w:cs="Arial" w:eastAsia="Arial" w:hAnsi="Arial"/>
          <w:sz w:val="16"/>
          <w:szCs w:val="16"/>
          <w:color w:val="auto"/>
        </w:rPr>
        <w:t>Annual compensation limits for non-employee directors</w:t>
      </w:r>
    </w:p>
    <w:p>
      <w:pPr>
        <w:spacing w:after="0" w:line="126" w:lineRule="exact"/>
        <w:rPr>
          <w:rFonts w:ascii="Arial" w:cs="Arial" w:eastAsia="Arial" w:hAnsi="Arial"/>
          <w:sz w:val="16"/>
          <w:szCs w:val="16"/>
          <w:color w:val="005CB9"/>
        </w:rPr>
      </w:pPr>
    </w:p>
    <w:p>
      <w:pPr>
        <w:ind w:left="3960" w:hanging="213"/>
        <w:spacing w:after="0"/>
        <w:tabs>
          <w:tab w:leader="none" w:pos="3960" w:val="left"/>
        </w:tabs>
        <w:numPr>
          <w:ilvl w:val="0"/>
          <w:numId w:val="79"/>
        </w:numPr>
        <w:rPr>
          <w:rFonts w:ascii="Arial" w:cs="Arial" w:eastAsia="Arial" w:hAnsi="Arial"/>
          <w:sz w:val="16"/>
          <w:szCs w:val="16"/>
          <w:color w:val="005CB9"/>
        </w:rPr>
      </w:pPr>
      <w:r>
        <w:rPr>
          <w:rFonts w:ascii="Arial" w:cs="Arial" w:eastAsia="Arial" w:hAnsi="Arial"/>
          <w:sz w:val="16"/>
          <w:szCs w:val="16"/>
          <w:color w:val="auto"/>
        </w:rPr>
        <w:t>No repricing of underwater stock options or SARs without shareholder approval</w:t>
      </w:r>
    </w:p>
    <w:p>
      <w:pPr>
        <w:spacing w:after="0" w:line="126" w:lineRule="exact"/>
        <w:rPr>
          <w:rFonts w:ascii="Arial" w:cs="Arial" w:eastAsia="Arial" w:hAnsi="Arial"/>
          <w:sz w:val="16"/>
          <w:szCs w:val="16"/>
          <w:color w:val="005CB9"/>
        </w:rPr>
      </w:pPr>
    </w:p>
    <w:p>
      <w:pPr>
        <w:ind w:left="3960" w:hanging="213"/>
        <w:spacing w:after="0"/>
        <w:tabs>
          <w:tab w:leader="none" w:pos="3960" w:val="left"/>
        </w:tabs>
        <w:numPr>
          <w:ilvl w:val="0"/>
          <w:numId w:val="79"/>
        </w:numPr>
        <w:rPr>
          <w:rFonts w:ascii="Arial" w:cs="Arial" w:eastAsia="Arial" w:hAnsi="Arial"/>
          <w:sz w:val="16"/>
          <w:szCs w:val="16"/>
          <w:color w:val="005CB9"/>
        </w:rPr>
      </w:pPr>
      <w:r>
        <w:rPr>
          <w:rFonts w:ascii="Arial" w:cs="Arial" w:eastAsia="Arial" w:hAnsi="Arial"/>
          <w:sz w:val="16"/>
          <w:szCs w:val="16"/>
          <w:color w:val="auto"/>
        </w:rPr>
        <w:t>No discounted stock options or SARs</w:t>
      </w:r>
    </w:p>
    <w:p>
      <w:pPr>
        <w:spacing w:after="0" w:line="126" w:lineRule="exact"/>
        <w:rPr>
          <w:rFonts w:ascii="Arial" w:cs="Arial" w:eastAsia="Arial" w:hAnsi="Arial"/>
          <w:sz w:val="16"/>
          <w:szCs w:val="16"/>
          <w:color w:val="005CB9"/>
        </w:rPr>
      </w:pPr>
    </w:p>
    <w:p>
      <w:pPr>
        <w:ind w:left="3960" w:hanging="213"/>
        <w:spacing w:after="0"/>
        <w:tabs>
          <w:tab w:leader="none" w:pos="3960" w:val="left"/>
        </w:tabs>
        <w:numPr>
          <w:ilvl w:val="0"/>
          <w:numId w:val="79"/>
        </w:numPr>
        <w:rPr>
          <w:rFonts w:ascii="Arial" w:cs="Arial" w:eastAsia="Arial" w:hAnsi="Arial"/>
          <w:sz w:val="16"/>
          <w:szCs w:val="16"/>
          <w:color w:val="005CB9"/>
        </w:rPr>
      </w:pPr>
      <w:r>
        <w:rPr>
          <w:rFonts w:ascii="Arial" w:cs="Arial" w:eastAsia="Arial" w:hAnsi="Arial"/>
          <w:sz w:val="16"/>
          <w:szCs w:val="16"/>
          <w:color w:val="auto"/>
        </w:rPr>
        <w:t>Clawback provisions</w:t>
      </w:r>
    </w:p>
    <w:p>
      <w:pPr>
        <w:spacing w:after="0" w:line="126" w:lineRule="exact"/>
        <w:rPr>
          <w:rFonts w:ascii="Arial" w:cs="Arial" w:eastAsia="Arial" w:hAnsi="Arial"/>
          <w:sz w:val="16"/>
          <w:szCs w:val="16"/>
          <w:color w:val="005CB9"/>
        </w:rPr>
      </w:pPr>
    </w:p>
    <w:p>
      <w:pPr>
        <w:ind w:left="3960" w:hanging="213"/>
        <w:spacing w:after="0"/>
        <w:tabs>
          <w:tab w:leader="none" w:pos="3960" w:val="left"/>
        </w:tabs>
        <w:numPr>
          <w:ilvl w:val="0"/>
          <w:numId w:val="79"/>
        </w:numPr>
        <w:rPr>
          <w:rFonts w:ascii="Arial" w:cs="Arial" w:eastAsia="Arial" w:hAnsi="Arial"/>
          <w:sz w:val="16"/>
          <w:szCs w:val="16"/>
          <w:color w:val="005CB9"/>
        </w:rPr>
      </w:pPr>
      <w:r>
        <w:rPr>
          <w:rFonts w:ascii="Arial" w:cs="Arial" w:eastAsia="Arial" w:hAnsi="Arial"/>
          <w:sz w:val="16"/>
          <w:szCs w:val="16"/>
          <w:color w:val="auto"/>
        </w:rPr>
        <w:t>Non-liberal change in control provisions</w:t>
      </w:r>
    </w:p>
    <w:p>
      <w:pPr>
        <w:spacing w:after="0" w:line="126" w:lineRule="exact"/>
        <w:rPr>
          <w:rFonts w:ascii="Arial" w:cs="Arial" w:eastAsia="Arial" w:hAnsi="Arial"/>
          <w:sz w:val="16"/>
          <w:szCs w:val="16"/>
          <w:color w:val="005CB9"/>
        </w:rPr>
      </w:pPr>
    </w:p>
    <w:p>
      <w:pPr>
        <w:ind w:left="3960" w:hanging="213"/>
        <w:spacing w:after="0"/>
        <w:tabs>
          <w:tab w:leader="none" w:pos="3960" w:val="left"/>
        </w:tabs>
        <w:numPr>
          <w:ilvl w:val="0"/>
          <w:numId w:val="79"/>
        </w:numPr>
        <w:rPr>
          <w:rFonts w:ascii="Arial" w:cs="Arial" w:eastAsia="Arial" w:hAnsi="Arial"/>
          <w:sz w:val="16"/>
          <w:szCs w:val="16"/>
          <w:color w:val="005CB9"/>
        </w:rPr>
      </w:pPr>
      <w:r>
        <w:rPr>
          <w:rFonts w:ascii="Arial" w:cs="Arial" w:eastAsia="Arial" w:hAnsi="Arial"/>
          <w:sz w:val="16"/>
          <w:szCs w:val="16"/>
          <w:color w:val="auto"/>
        </w:rPr>
        <w:t>No automatic grants</w:t>
      </w:r>
    </w:p>
    <w:p>
      <w:pPr>
        <w:spacing w:after="0" w:line="126" w:lineRule="exact"/>
        <w:rPr>
          <w:rFonts w:ascii="Arial" w:cs="Arial" w:eastAsia="Arial" w:hAnsi="Arial"/>
          <w:sz w:val="16"/>
          <w:szCs w:val="16"/>
          <w:color w:val="005CB9"/>
        </w:rPr>
      </w:pPr>
    </w:p>
    <w:p>
      <w:pPr>
        <w:ind w:left="4000" w:right="260" w:hanging="253"/>
        <w:spacing w:after="0" w:line="260" w:lineRule="auto"/>
        <w:tabs>
          <w:tab w:leader="none" w:pos="3976" w:val="left"/>
        </w:tabs>
        <w:numPr>
          <w:ilvl w:val="0"/>
          <w:numId w:val="79"/>
        </w:numPr>
        <w:rPr>
          <w:rFonts w:ascii="Arial" w:cs="Arial" w:eastAsia="Arial" w:hAnsi="Arial"/>
          <w:sz w:val="16"/>
          <w:szCs w:val="16"/>
          <w:color w:val="005CB9"/>
        </w:rPr>
      </w:pPr>
      <w:r>
        <w:rPr>
          <w:rFonts w:ascii="Arial" w:cs="Arial" w:eastAsia="Arial" w:hAnsi="Arial"/>
          <w:sz w:val="16"/>
          <w:szCs w:val="16"/>
          <w:color w:val="auto"/>
        </w:rPr>
        <w:t>Double-trigger acceleration of vesting for equity assumed or substituted for in connection with a change in control</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Proposed Amended and Restated 2017 Plan</w:t>
      </w:r>
    </w:p>
    <w:p>
      <w:pPr>
        <w:spacing w:after="0" w:line="133" w:lineRule="exact"/>
        <w:rPr>
          <w:sz w:val="20"/>
          <w:szCs w:val="20"/>
          <w:color w:val="auto"/>
        </w:rPr>
      </w:pPr>
    </w:p>
    <w:p>
      <w:pPr>
        <w:ind w:left="660" w:right="60"/>
        <w:spacing w:after="0" w:line="249" w:lineRule="auto"/>
        <w:rPr>
          <w:sz w:val="20"/>
          <w:szCs w:val="20"/>
          <w:color w:val="auto"/>
        </w:rPr>
      </w:pPr>
      <w:r>
        <w:rPr>
          <w:rFonts w:ascii="Arial" w:cs="Arial" w:eastAsia="Arial" w:hAnsi="Arial"/>
          <w:sz w:val="16"/>
          <w:szCs w:val="16"/>
          <w:color w:val="auto"/>
        </w:rPr>
        <w:t>At the Annual Meeting, the Company’s shareholders will be asked to approve the Amended and Restated 2017 Plan to increase the available shares reserved thereunder by 2,000,000 shares. The Amended and Restated 2017 Plan was approved unanimously by the Board of Directors at its meeting on July 21, 2020. Shareholders are also being asked to approve certain updates to eliminate plan provisions that were included in order to allow the Company to grant awards that would qualify for the “performance-based” compensation for purposes of the exception to the deduction limitation under Section 162(m) of the Code prior to the repeal of such exception under the Tax Cuts and Jobs Act of 2017. Other than these changes, no other changes are contemplated to the Amended and Restated 2017 Plan.</w:t>
      </w:r>
    </w:p>
    <w:p>
      <w:pPr>
        <w:spacing w:after="0" w:line="205" w:lineRule="exact"/>
        <w:rPr>
          <w:sz w:val="20"/>
          <w:szCs w:val="20"/>
          <w:color w:val="auto"/>
        </w:rPr>
      </w:pPr>
    </w:p>
    <w:p>
      <w:pPr>
        <w:ind w:left="660" w:right="380"/>
        <w:spacing w:after="0" w:line="251" w:lineRule="auto"/>
        <w:rPr>
          <w:sz w:val="20"/>
          <w:szCs w:val="20"/>
          <w:color w:val="auto"/>
        </w:rPr>
      </w:pPr>
      <w:r>
        <w:rPr>
          <w:rFonts w:ascii="Arial" w:cs="Arial" w:eastAsia="Arial" w:hAnsi="Arial"/>
          <w:sz w:val="16"/>
          <w:szCs w:val="16"/>
          <w:color w:val="auto"/>
        </w:rPr>
        <w:t>The existing 2017 Plan was approved by our shareholders in September 2017. The Amended and Restated 2017 Plan is designed to enable the Company to offer eligible employees, consultants and non-employee directors, stock-based incentives in the Company to attract, retain and reward such individuals and strengthen the mutuality of interests between such individuals and the Company’s shareholders.</w:t>
      </w:r>
    </w:p>
    <w:p>
      <w:pPr>
        <w:spacing w:after="0" w:line="202" w:lineRule="exact"/>
        <w:rPr>
          <w:sz w:val="20"/>
          <w:szCs w:val="20"/>
          <w:color w:val="auto"/>
        </w:rPr>
      </w:pPr>
    </w:p>
    <w:p>
      <w:pPr>
        <w:ind w:left="660" w:right="40"/>
        <w:spacing w:after="0" w:line="249" w:lineRule="auto"/>
        <w:rPr>
          <w:sz w:val="20"/>
          <w:szCs w:val="20"/>
          <w:color w:val="auto"/>
        </w:rPr>
      </w:pPr>
      <w:r>
        <w:rPr>
          <w:rFonts w:ascii="Arial" w:cs="Arial" w:eastAsia="Arial" w:hAnsi="Arial"/>
          <w:sz w:val="16"/>
          <w:szCs w:val="16"/>
          <w:color w:val="auto"/>
        </w:rPr>
        <w:t>As discussed below, the Board of Directors believes the Amended and Restated 2017 Plan is essential to the Company’s continued success as it remains committed to the Company’s historical philosophy of incentivizing employees by tying a significant portion of their compensation to the interests of the Company’s shareholders. As of June 30, 2020, there were 4,744,253 shares available for grant under the existing 2017 Plan. The Company has determined that an increase to the shares reserved under the Amended and Restated 2017 Plan by 2,000,000 shares will allow the Company to continue providing meaningful incentives to its service providers under the Amended and Restated 2017 Plan.</w:t>
      </w:r>
    </w:p>
    <w:p>
      <w:pPr>
        <w:spacing w:after="0" w:line="205" w:lineRule="exact"/>
        <w:rPr>
          <w:sz w:val="20"/>
          <w:szCs w:val="20"/>
          <w:color w:val="auto"/>
        </w:rPr>
      </w:pPr>
    </w:p>
    <w:p>
      <w:pPr>
        <w:ind w:left="660" w:right="80"/>
        <w:spacing w:after="0" w:line="248" w:lineRule="auto"/>
        <w:rPr>
          <w:sz w:val="20"/>
          <w:szCs w:val="20"/>
          <w:color w:val="auto"/>
        </w:rPr>
      </w:pPr>
      <w:r>
        <w:rPr>
          <w:rFonts w:ascii="Arial" w:cs="Arial" w:eastAsia="Arial" w:hAnsi="Arial"/>
          <w:sz w:val="16"/>
          <w:szCs w:val="16"/>
          <w:color w:val="auto"/>
        </w:rPr>
        <w:t>If the Amended and Restated 2017 Plan is not approved, the Company would be at a significant disadvantage relative to its competitors for recruiting, retaining and motivating the high caliber individuals critical to our growth and profitability and could be forced to increase cash compensation, thereby reducing resources available to meet our business needs. Since our inception, the Board has sought to align the interests of our employees with the long-term interests of shareholders through, among other things, a determination to place a significant emphasis on equity-based compensation as a component of our compensation programs. The Board of Directors believes that equity compensation of the type available for grant under the Amended and Restated 2017 Plan, a cash- and stock-based incentive plan, furthers the Company’s goal of creating long-term value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276860</wp:posOffset>
            </wp:positionV>
            <wp:extent cx="291465" cy="2743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69</w:t>
            </w:r>
          </w:p>
        </w:tc>
      </w:tr>
    </w:tbl>
    <w:p>
      <w:pPr>
        <w:sectPr>
          <w:pgSz w:w="11900" w:h="16838" w:orient="portrait"/>
          <w:cols w:equalWidth="0" w:num="1">
            <w:col w:w="10580"/>
          </w:cols>
          <w:pgMar w:left="320" w:top="459" w:right="9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926205"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926205"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48" w:lineRule="exact"/>
        <w:rPr>
          <w:sz w:val="20"/>
          <w:szCs w:val="20"/>
          <w:color w:val="auto"/>
        </w:rPr>
      </w:pPr>
    </w:p>
    <w:p>
      <w:pPr>
        <w:ind w:left="660" w:right="60"/>
        <w:spacing w:after="0" w:line="260" w:lineRule="auto"/>
        <w:rPr>
          <w:sz w:val="20"/>
          <w:szCs w:val="20"/>
          <w:color w:val="auto"/>
        </w:rPr>
      </w:pPr>
      <w:r>
        <w:rPr>
          <w:rFonts w:ascii="Arial" w:cs="Arial" w:eastAsia="Arial" w:hAnsi="Arial"/>
          <w:sz w:val="16"/>
          <w:szCs w:val="16"/>
          <w:color w:val="auto"/>
        </w:rPr>
        <w:t>the Company’s shareholders by fostering an ownership culture that encourages a focus on long-term performance, retention, and shareholder value-creation, and exposes the Company’s employees to economic diminishment if the Company’s share performance lags.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Alignment of the Amended and Restated 2017 Plan with the Interests of the Company and Shareholders</w:t>
      </w:r>
    </w:p>
    <w:p>
      <w:pPr>
        <w:spacing w:after="0" w:line="133" w:lineRule="exact"/>
        <w:rPr>
          <w:sz w:val="20"/>
          <w:szCs w:val="20"/>
          <w:color w:val="auto"/>
        </w:rPr>
      </w:pPr>
    </w:p>
    <w:p>
      <w:pPr>
        <w:ind w:left="660" w:right="20"/>
        <w:spacing w:after="0" w:line="253" w:lineRule="auto"/>
        <w:rPr>
          <w:sz w:val="20"/>
          <w:szCs w:val="20"/>
          <w:color w:val="auto"/>
        </w:rPr>
      </w:pPr>
      <w:r>
        <w:rPr>
          <w:rFonts w:ascii="Arial" w:cs="Arial" w:eastAsia="Arial" w:hAnsi="Arial"/>
          <w:sz w:val="16"/>
          <w:szCs w:val="16"/>
          <w:color w:val="auto"/>
        </w:rPr>
        <w:t>The Board of Directors believes that using equity to retain and motivate the Company’s key employees is critical to the achievement of the Company’s long-term goals and it considered the following factors, among other things, when adopting the Amended and Restated 2017 Plan:</w:t>
      </w:r>
    </w:p>
    <w:p>
      <w:pPr>
        <w:spacing w:after="0" w:line="91" w:lineRule="exact"/>
        <w:rPr>
          <w:sz w:val="20"/>
          <w:szCs w:val="20"/>
          <w:color w:val="auto"/>
        </w:rPr>
      </w:pPr>
    </w:p>
    <w:p>
      <w:pPr>
        <w:ind w:left="1360" w:right="100" w:hanging="288"/>
        <w:spacing w:after="0" w:line="263" w:lineRule="auto"/>
        <w:tabs>
          <w:tab w:leader="none" w:pos="1360" w:val="left"/>
        </w:tabs>
        <w:numPr>
          <w:ilvl w:val="0"/>
          <w:numId w:val="80"/>
        </w:numPr>
        <w:rPr>
          <w:rFonts w:ascii="Arial" w:cs="Arial" w:eastAsia="Arial" w:hAnsi="Arial"/>
          <w:sz w:val="16"/>
          <w:szCs w:val="16"/>
          <w:color w:val="005CB9"/>
        </w:rPr>
      </w:pPr>
      <w:r>
        <w:rPr>
          <w:rFonts w:ascii="Arial" w:cs="Arial" w:eastAsia="Arial" w:hAnsi="Arial"/>
          <w:sz w:val="16"/>
          <w:szCs w:val="16"/>
          <w:i w:val="1"/>
          <w:iCs w:val="1"/>
          <w:color w:val="auto"/>
        </w:rPr>
        <w:t>Allows us to recruit and retain top talent</w:t>
      </w:r>
      <w:r>
        <w:rPr>
          <w:rFonts w:ascii="Arial" w:cs="Arial" w:eastAsia="Arial" w:hAnsi="Arial"/>
          <w:sz w:val="16"/>
          <w:szCs w:val="16"/>
          <w:color w:val="auto"/>
        </w:rPr>
        <w:t>. The Board of Directors believes that the proposed increase in the shares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Amended and Restated 2017 Plan will serve a critical role in attracting and retaining high caliber individuals essential to the Company’s success.</w:t>
      </w:r>
    </w:p>
    <w:p>
      <w:pPr>
        <w:spacing w:after="0" w:line="83" w:lineRule="exact"/>
        <w:rPr>
          <w:rFonts w:ascii="Arial" w:cs="Arial" w:eastAsia="Arial" w:hAnsi="Arial"/>
          <w:sz w:val="16"/>
          <w:szCs w:val="16"/>
          <w:color w:val="005CB9"/>
        </w:rPr>
      </w:pPr>
    </w:p>
    <w:p>
      <w:pPr>
        <w:ind w:left="1360" w:right="140" w:hanging="288"/>
        <w:spacing w:after="0" w:line="263" w:lineRule="auto"/>
        <w:tabs>
          <w:tab w:leader="none" w:pos="1360" w:val="left"/>
        </w:tabs>
        <w:numPr>
          <w:ilvl w:val="0"/>
          <w:numId w:val="80"/>
        </w:numPr>
        <w:rPr>
          <w:rFonts w:ascii="Arial" w:cs="Arial" w:eastAsia="Arial" w:hAnsi="Arial"/>
          <w:sz w:val="16"/>
          <w:szCs w:val="16"/>
          <w:color w:val="005CB9"/>
        </w:rPr>
      </w:pPr>
      <w:r>
        <w:rPr>
          <w:rFonts w:ascii="Arial" w:cs="Arial" w:eastAsia="Arial" w:hAnsi="Arial"/>
          <w:sz w:val="16"/>
          <w:szCs w:val="16"/>
          <w:i w:val="1"/>
          <w:iCs w:val="1"/>
          <w:color w:val="auto"/>
        </w:rPr>
        <w:t>Allows us to align participant and shareholder interests</w:t>
      </w:r>
      <w:r>
        <w:rPr>
          <w:rFonts w:ascii="Arial" w:cs="Arial" w:eastAsia="Arial" w:hAnsi="Arial"/>
          <w:sz w:val="16"/>
          <w:szCs w:val="16"/>
          <w:color w:val="auto"/>
        </w:rPr>
        <w:t>. The Board of Directors believes that stock ownership by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consultants and non-employee directors provides performance incentives and fosters long-term commitment to our benefit and to the benefit of our shareholders.</w:t>
      </w:r>
    </w:p>
    <w:p>
      <w:pPr>
        <w:spacing w:after="0" w:line="83" w:lineRule="exact"/>
        <w:rPr>
          <w:rFonts w:ascii="Arial" w:cs="Arial" w:eastAsia="Arial" w:hAnsi="Arial"/>
          <w:sz w:val="16"/>
          <w:szCs w:val="16"/>
          <w:color w:val="005CB9"/>
        </w:rPr>
      </w:pPr>
    </w:p>
    <w:p>
      <w:pPr>
        <w:jc w:val="both"/>
        <w:ind w:left="1360" w:right="40" w:hanging="288"/>
        <w:spacing w:after="0" w:line="263" w:lineRule="auto"/>
        <w:tabs>
          <w:tab w:leader="none" w:pos="1360" w:val="left"/>
        </w:tabs>
        <w:numPr>
          <w:ilvl w:val="0"/>
          <w:numId w:val="80"/>
        </w:numPr>
        <w:rPr>
          <w:rFonts w:ascii="Arial" w:cs="Arial" w:eastAsia="Arial" w:hAnsi="Arial"/>
          <w:sz w:val="16"/>
          <w:szCs w:val="16"/>
          <w:color w:val="005CB9"/>
        </w:rPr>
      </w:pPr>
      <w:r>
        <w:rPr>
          <w:rFonts w:ascii="Arial" w:cs="Arial" w:eastAsia="Arial" w:hAnsi="Arial"/>
          <w:sz w:val="16"/>
          <w:szCs w:val="16"/>
          <w:i w:val="1"/>
          <w:iCs w:val="1"/>
          <w:color w:val="auto"/>
        </w:rPr>
        <w:t>Allows us to pay for performance</w:t>
      </w:r>
      <w:r>
        <w:rPr>
          <w:rFonts w:ascii="Arial" w:cs="Arial" w:eastAsia="Arial" w:hAnsi="Arial"/>
          <w:sz w:val="16"/>
          <w:szCs w:val="16"/>
          <w:color w:val="auto"/>
        </w:rPr>
        <w:t>. The Board of Directors believes that equity compensation, by its very nature, is performance-based compensation and that the Amended and Restated 2017 Plan reflects our pay-for-performance philosophy and motivates our employees, consultants and non-employee directors to enhance our growth and profitability.</w:t>
      </w:r>
    </w:p>
    <w:p>
      <w:pPr>
        <w:spacing w:after="0" w:line="83" w:lineRule="exact"/>
        <w:rPr>
          <w:rFonts w:ascii="Arial" w:cs="Arial" w:eastAsia="Arial" w:hAnsi="Arial"/>
          <w:sz w:val="16"/>
          <w:szCs w:val="16"/>
          <w:color w:val="005CB9"/>
        </w:rPr>
      </w:pPr>
    </w:p>
    <w:p>
      <w:pPr>
        <w:ind w:left="1360" w:right="300" w:hanging="288"/>
        <w:spacing w:after="0" w:line="281" w:lineRule="auto"/>
        <w:tabs>
          <w:tab w:leader="none" w:pos="1360" w:val="left"/>
        </w:tabs>
        <w:numPr>
          <w:ilvl w:val="0"/>
          <w:numId w:val="80"/>
        </w:numPr>
        <w:rPr>
          <w:rFonts w:ascii="Arial" w:cs="Arial" w:eastAsia="Arial" w:hAnsi="Arial"/>
          <w:sz w:val="16"/>
          <w:szCs w:val="16"/>
          <w:color w:val="005CB9"/>
        </w:rPr>
      </w:pPr>
      <w:r>
        <w:rPr>
          <w:rFonts w:ascii="Arial" w:cs="Arial" w:eastAsia="Arial" w:hAnsi="Arial"/>
          <w:sz w:val="16"/>
          <w:szCs w:val="16"/>
          <w:i w:val="1"/>
          <w:iCs w:val="1"/>
          <w:color w:val="auto"/>
        </w:rPr>
        <w:t xml:space="preserve">Allows us to maintain one single comprehensive long-term incentive plan. </w:t>
      </w:r>
      <w:r>
        <w:rPr>
          <w:rFonts w:ascii="Arial" w:cs="Arial" w:eastAsia="Arial" w:hAnsi="Arial"/>
          <w:sz w:val="16"/>
          <w:szCs w:val="16"/>
          <w:color w:val="auto"/>
        </w:rPr>
        <w:t>The Board of Directors believes that the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and Restated 2017 Plan will best serve our long-term goals.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Key Features of the Amended and Restated 2017 Plan</w:t>
      </w:r>
    </w:p>
    <w:p>
      <w:pPr>
        <w:spacing w:after="0" w:line="133"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color w:val="auto"/>
        </w:rPr>
        <w:t xml:space="preserve">The Amended and Restated 2017 Plan and the Company’s related governance practices and policies include many features that are designed to protect shareholder interests. A summary of these features follows, and a more detailed description of the features is included under the heading “Summary of the Amended and Restated 2017 Plan” below. The summaries in this proposal do not provide a complete description of all the provisions of the Amended and Restated 2017 Plan and are qualified in their entirety by reference to the full text of the Amended and Restated 2017 Plan, which is attached to this Proxy Statement as </w:t>
      </w:r>
      <w:r>
        <w:rPr>
          <w:rFonts w:ascii="Arial" w:cs="Arial" w:eastAsia="Arial" w:hAnsi="Arial"/>
          <w:sz w:val="16"/>
          <w:szCs w:val="16"/>
          <w:b w:val="1"/>
          <w:bCs w:val="1"/>
          <w:color w:val="auto"/>
        </w:rPr>
        <w:t>Annex B</w:t>
      </w:r>
      <w:r>
        <w:rPr>
          <w:rFonts w:ascii="Arial" w:cs="Arial" w:eastAsia="Arial" w:hAnsi="Arial"/>
          <w:sz w:val="16"/>
          <w:szCs w:val="16"/>
          <w:color w:val="auto"/>
        </w:rPr>
        <w:t>.</w:t>
      </w:r>
    </w:p>
    <w:p>
      <w:pPr>
        <w:spacing w:after="0" w:line="92" w:lineRule="exact"/>
        <w:rPr>
          <w:sz w:val="20"/>
          <w:szCs w:val="20"/>
          <w:color w:val="auto"/>
        </w:rPr>
      </w:pPr>
    </w:p>
    <w:p>
      <w:pPr>
        <w:ind w:left="1360" w:right="480" w:hanging="288"/>
        <w:spacing w:after="0" w:line="281" w:lineRule="auto"/>
        <w:tabs>
          <w:tab w:leader="none" w:pos="1360" w:val="left"/>
        </w:tabs>
        <w:numPr>
          <w:ilvl w:val="0"/>
          <w:numId w:val="81"/>
        </w:numPr>
        <w:rPr>
          <w:rFonts w:ascii="Arial" w:cs="Arial" w:eastAsia="Arial" w:hAnsi="Arial"/>
          <w:sz w:val="16"/>
          <w:szCs w:val="16"/>
          <w:color w:val="005CB9"/>
        </w:rPr>
      </w:pPr>
      <w:r>
        <w:rPr>
          <w:rFonts w:ascii="Arial" w:cs="Arial" w:eastAsia="Arial" w:hAnsi="Arial"/>
          <w:sz w:val="16"/>
          <w:szCs w:val="16"/>
          <w:i w:val="1"/>
          <w:iCs w:val="1"/>
          <w:color w:val="auto"/>
        </w:rPr>
        <w:t>Annual limits on awards to individual participants</w:t>
      </w:r>
      <w:r>
        <w:rPr>
          <w:rFonts w:ascii="Arial" w:cs="Arial" w:eastAsia="Arial" w:hAnsi="Arial"/>
          <w:sz w:val="16"/>
          <w:szCs w:val="16"/>
          <w:color w:val="auto"/>
        </w:rPr>
        <w:t>. The Amended and Restated 2017 Plan contains limits on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types of awards that may be granted to individual participants in a given fiscal year, as discussed below.</w:t>
      </w:r>
    </w:p>
    <w:p>
      <w:pPr>
        <w:spacing w:after="0" w:line="68" w:lineRule="exact"/>
        <w:rPr>
          <w:rFonts w:ascii="Arial" w:cs="Arial" w:eastAsia="Arial" w:hAnsi="Arial"/>
          <w:sz w:val="16"/>
          <w:szCs w:val="16"/>
          <w:color w:val="005CB9"/>
        </w:rPr>
      </w:pPr>
    </w:p>
    <w:p>
      <w:pPr>
        <w:ind w:left="1360" w:right="120" w:hanging="288"/>
        <w:spacing w:after="0" w:line="258" w:lineRule="auto"/>
        <w:tabs>
          <w:tab w:leader="none" w:pos="1360" w:val="left"/>
        </w:tabs>
        <w:numPr>
          <w:ilvl w:val="0"/>
          <w:numId w:val="81"/>
        </w:numPr>
        <w:rPr>
          <w:rFonts w:ascii="Arial" w:cs="Arial" w:eastAsia="Arial" w:hAnsi="Arial"/>
          <w:sz w:val="16"/>
          <w:szCs w:val="16"/>
          <w:color w:val="005CB9"/>
        </w:rPr>
      </w:pPr>
      <w:r>
        <w:rPr>
          <w:rFonts w:ascii="Arial" w:cs="Arial" w:eastAsia="Arial" w:hAnsi="Arial"/>
          <w:sz w:val="16"/>
          <w:szCs w:val="16"/>
          <w:i w:val="1"/>
          <w:iCs w:val="1"/>
          <w:color w:val="auto"/>
        </w:rPr>
        <w:t xml:space="preserve">Non-liberal recycling for stock options and stock appreciation rights. </w:t>
      </w:r>
      <w:r>
        <w:rPr>
          <w:rFonts w:ascii="Arial" w:cs="Arial" w:eastAsia="Arial" w:hAnsi="Arial"/>
          <w:sz w:val="16"/>
          <w:szCs w:val="16"/>
          <w:color w:val="auto"/>
        </w:rPr>
        <w:t>The Amended and Restated 2017 Plan provides that,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stock options and stock appreciation rights, shares used to satisfy tax withholding obligations or as payment for the exercise price or base price will constitute shares delivered to the participant and will not be available for future grant under the Amended and Restated 2017 Plan.</w:t>
      </w:r>
    </w:p>
    <w:p>
      <w:pPr>
        <w:spacing w:after="0" w:line="86" w:lineRule="exact"/>
        <w:rPr>
          <w:rFonts w:ascii="Arial" w:cs="Arial" w:eastAsia="Arial" w:hAnsi="Arial"/>
          <w:sz w:val="16"/>
          <w:szCs w:val="16"/>
          <w:color w:val="005CB9"/>
        </w:rPr>
      </w:pPr>
    </w:p>
    <w:p>
      <w:pPr>
        <w:ind w:left="1360" w:right="220" w:hanging="288"/>
        <w:spacing w:after="0" w:line="258" w:lineRule="auto"/>
        <w:tabs>
          <w:tab w:leader="none" w:pos="1360" w:val="left"/>
        </w:tabs>
        <w:numPr>
          <w:ilvl w:val="0"/>
          <w:numId w:val="81"/>
        </w:numPr>
        <w:rPr>
          <w:rFonts w:ascii="Arial" w:cs="Arial" w:eastAsia="Arial" w:hAnsi="Arial"/>
          <w:sz w:val="16"/>
          <w:szCs w:val="16"/>
          <w:color w:val="005CB9"/>
        </w:rPr>
      </w:pPr>
      <w:r>
        <w:rPr>
          <w:rFonts w:ascii="Arial" w:cs="Arial" w:eastAsia="Arial" w:hAnsi="Arial"/>
          <w:sz w:val="16"/>
          <w:szCs w:val="16"/>
          <w:i w:val="1"/>
          <w:iCs w:val="1"/>
          <w:color w:val="auto"/>
        </w:rPr>
        <w:t xml:space="preserve">Provides for a fixed reserve of shares of common stock. </w:t>
      </w:r>
      <w:r>
        <w:rPr>
          <w:rFonts w:ascii="Arial" w:cs="Arial" w:eastAsia="Arial" w:hAnsi="Arial"/>
          <w:sz w:val="16"/>
          <w:szCs w:val="16"/>
          <w:color w:val="auto"/>
        </w:rPr>
        <w:t>The number of shares of common stock available for grant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Restated 2017 Plan is fixed and will not automatically increase because of an “evergreen” feature; shareholder approval is required to issue any additional shares, allowing the Company’s shareholders to have direct input on our equity compensation program.</w:t>
      </w:r>
    </w:p>
    <w:p>
      <w:pPr>
        <w:spacing w:after="0" w:line="86" w:lineRule="exact"/>
        <w:rPr>
          <w:rFonts w:ascii="Arial" w:cs="Arial" w:eastAsia="Arial" w:hAnsi="Arial"/>
          <w:sz w:val="16"/>
          <w:szCs w:val="16"/>
          <w:color w:val="005CB9"/>
        </w:rPr>
      </w:pPr>
    </w:p>
    <w:p>
      <w:pPr>
        <w:ind w:left="1360" w:right="280" w:hanging="288"/>
        <w:spacing w:after="0" w:line="263" w:lineRule="auto"/>
        <w:tabs>
          <w:tab w:leader="none" w:pos="1360" w:val="left"/>
        </w:tabs>
        <w:numPr>
          <w:ilvl w:val="0"/>
          <w:numId w:val="81"/>
        </w:numPr>
        <w:rPr>
          <w:rFonts w:ascii="Arial" w:cs="Arial" w:eastAsia="Arial" w:hAnsi="Arial"/>
          <w:sz w:val="16"/>
          <w:szCs w:val="16"/>
          <w:color w:val="005CB9"/>
        </w:rPr>
      </w:pPr>
      <w:r>
        <w:rPr>
          <w:rFonts w:ascii="Arial" w:cs="Arial" w:eastAsia="Arial" w:hAnsi="Arial"/>
          <w:sz w:val="16"/>
          <w:szCs w:val="16"/>
          <w:i w:val="1"/>
          <w:iCs w:val="1"/>
          <w:color w:val="auto"/>
        </w:rPr>
        <w:t xml:space="preserve">Limits annual compensation for non-employee directors. </w:t>
      </w:r>
      <w:r>
        <w:rPr>
          <w:rFonts w:ascii="Arial" w:cs="Arial" w:eastAsia="Arial" w:hAnsi="Arial"/>
          <w:sz w:val="16"/>
          <w:szCs w:val="16"/>
          <w:color w:val="auto"/>
        </w:rPr>
        <w:t>The Amended and Restated 2017 Plan imposes a $750,000 annual</w:t>
      </w:r>
      <w:r>
        <w:rPr>
          <w:rFonts w:ascii="Arial" w:cs="Arial" w:eastAsia="Arial" w:hAnsi="Arial"/>
          <w:sz w:val="16"/>
          <w:szCs w:val="16"/>
          <w:i w:val="1"/>
          <w:iCs w:val="1"/>
          <w:color w:val="auto"/>
        </w:rPr>
        <w:t xml:space="preserve"> </w:t>
      </w:r>
      <w:r>
        <w:rPr>
          <w:rFonts w:ascii="Arial" w:cs="Arial" w:eastAsia="Arial" w:hAnsi="Arial"/>
          <w:sz w:val="16"/>
          <w:szCs w:val="16"/>
          <w:color w:val="auto"/>
        </w:rPr>
        <w:t>limit on the cash and equity compensation payable to the Company’s non-employee directors, subject to certain limited exceptions.</w:t>
      </w:r>
    </w:p>
    <w:p>
      <w:pPr>
        <w:spacing w:after="0" w:line="83" w:lineRule="exact"/>
        <w:rPr>
          <w:rFonts w:ascii="Arial" w:cs="Arial" w:eastAsia="Arial" w:hAnsi="Arial"/>
          <w:sz w:val="16"/>
          <w:szCs w:val="16"/>
          <w:color w:val="005CB9"/>
        </w:rPr>
      </w:pPr>
    </w:p>
    <w:p>
      <w:pPr>
        <w:ind w:left="1360" w:hanging="288"/>
        <w:spacing w:after="0" w:line="281" w:lineRule="auto"/>
        <w:tabs>
          <w:tab w:leader="none" w:pos="1360" w:val="left"/>
        </w:tabs>
        <w:numPr>
          <w:ilvl w:val="0"/>
          <w:numId w:val="81"/>
        </w:numPr>
        <w:rPr>
          <w:rFonts w:ascii="Arial" w:cs="Arial" w:eastAsia="Arial" w:hAnsi="Arial"/>
          <w:sz w:val="16"/>
          <w:szCs w:val="16"/>
          <w:color w:val="005CB9"/>
        </w:rPr>
      </w:pPr>
      <w:r>
        <w:rPr>
          <w:rFonts w:ascii="Arial" w:cs="Arial" w:eastAsia="Arial" w:hAnsi="Arial"/>
          <w:sz w:val="16"/>
          <w:szCs w:val="16"/>
          <w:i w:val="1"/>
          <w:iCs w:val="1"/>
          <w:color w:val="auto"/>
        </w:rPr>
        <w:t xml:space="preserve">Requires minimum vesting periods for certain awards. </w:t>
      </w:r>
      <w:r>
        <w:rPr>
          <w:rFonts w:ascii="Arial" w:cs="Arial" w:eastAsia="Arial" w:hAnsi="Arial"/>
          <w:sz w:val="16"/>
          <w:szCs w:val="16"/>
          <w:color w:val="auto"/>
        </w:rPr>
        <w:t>Awards of stock options and stock appreciation rights under the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and Restated 2017 Plan must vest over a period of not less than one year from the date of grant.</w:t>
      </w:r>
    </w:p>
    <w:p>
      <w:pPr>
        <w:spacing w:after="0" w:line="68" w:lineRule="exact"/>
        <w:rPr>
          <w:rFonts w:ascii="Arial" w:cs="Arial" w:eastAsia="Arial" w:hAnsi="Arial"/>
          <w:sz w:val="16"/>
          <w:szCs w:val="16"/>
          <w:color w:val="005CB9"/>
        </w:rPr>
      </w:pPr>
    </w:p>
    <w:p>
      <w:pPr>
        <w:ind w:left="1360" w:right="280" w:hanging="288"/>
        <w:spacing w:after="0" w:line="281" w:lineRule="auto"/>
        <w:tabs>
          <w:tab w:leader="none" w:pos="1360" w:val="left"/>
        </w:tabs>
        <w:numPr>
          <w:ilvl w:val="0"/>
          <w:numId w:val="81"/>
        </w:numPr>
        <w:rPr>
          <w:rFonts w:ascii="Arial" w:cs="Arial" w:eastAsia="Arial" w:hAnsi="Arial"/>
          <w:sz w:val="16"/>
          <w:szCs w:val="16"/>
          <w:color w:val="005CB9"/>
        </w:rPr>
      </w:pPr>
      <w:r>
        <w:rPr>
          <w:rFonts w:ascii="Arial" w:cs="Arial" w:eastAsia="Arial" w:hAnsi="Arial"/>
          <w:sz w:val="16"/>
          <w:szCs w:val="16"/>
          <w:i w:val="1"/>
          <w:iCs w:val="1"/>
          <w:color w:val="auto"/>
        </w:rPr>
        <w:t xml:space="preserve">Provides for limited terms. </w:t>
      </w:r>
      <w:r>
        <w:rPr>
          <w:rFonts w:ascii="Arial" w:cs="Arial" w:eastAsia="Arial" w:hAnsi="Arial"/>
          <w:sz w:val="16"/>
          <w:szCs w:val="16"/>
          <w:color w:val="auto"/>
        </w:rPr>
        <w:t>The maximum term of a stock option or stock appreciation right under the Amended and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2017 Plan is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258445</wp:posOffset>
            </wp:positionV>
            <wp:extent cx="291465" cy="274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70</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60"/>
          </w:cols>
          <w:pgMar w:left="320" w:top="459" w:right="10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205740</wp:posOffset>
            </wp:positionV>
            <wp:extent cx="3985895"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985895" cy="137160"/>
                    </a:xfrm>
                    <a:prstGeom prst="rect">
                      <a:avLst/>
                    </a:prstGeom>
                    <a:noFill/>
                  </pic:spPr>
                </pic:pic>
              </a:graphicData>
            </a:graphic>
          </wp:anchor>
        </w:drawing>
      </w:r>
    </w:p>
    <w:p>
      <w:pPr>
        <w:spacing w:after="0" w:line="33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32" w:lineRule="exact"/>
        <w:rPr>
          <w:sz w:val="20"/>
          <w:szCs w:val="20"/>
          <w:color w:val="auto"/>
        </w:rPr>
      </w:pPr>
    </w:p>
    <w:p>
      <w:pPr>
        <w:ind w:left="1360" w:right="160" w:hanging="288"/>
        <w:spacing w:after="0" w:line="263" w:lineRule="auto"/>
        <w:tabs>
          <w:tab w:leader="none" w:pos="1360" w:val="left"/>
        </w:tabs>
        <w:numPr>
          <w:ilvl w:val="0"/>
          <w:numId w:val="82"/>
        </w:numPr>
        <w:rPr>
          <w:rFonts w:ascii="Arial" w:cs="Arial" w:eastAsia="Arial" w:hAnsi="Arial"/>
          <w:sz w:val="16"/>
          <w:szCs w:val="16"/>
          <w:color w:val="005CB9"/>
        </w:rPr>
      </w:pPr>
      <w:r>
        <w:rPr>
          <w:rFonts w:ascii="Arial" w:cs="Arial" w:eastAsia="Arial" w:hAnsi="Arial"/>
          <w:sz w:val="16"/>
          <w:szCs w:val="16"/>
          <w:i w:val="1"/>
          <w:iCs w:val="1"/>
          <w:color w:val="auto"/>
        </w:rPr>
        <w:t xml:space="preserve">Prohibits repricing of stock options and stock appreciation rights. </w:t>
      </w:r>
      <w:r>
        <w:rPr>
          <w:rFonts w:ascii="Arial" w:cs="Arial" w:eastAsia="Arial" w:hAnsi="Arial"/>
          <w:sz w:val="16"/>
          <w:szCs w:val="16"/>
          <w:color w:val="auto"/>
        </w:rPr>
        <w:t>The Amended and Restated 2017 Plan prohibits the repricing</w:t>
      </w:r>
      <w:r>
        <w:rPr>
          <w:rFonts w:ascii="Arial" w:cs="Arial" w:eastAsia="Arial" w:hAnsi="Arial"/>
          <w:sz w:val="16"/>
          <w:szCs w:val="16"/>
          <w:i w:val="1"/>
          <w:iCs w:val="1"/>
          <w:color w:val="auto"/>
        </w:rPr>
        <w:t xml:space="preserve"> </w:t>
      </w:r>
      <w:r>
        <w:rPr>
          <w:rFonts w:ascii="Arial" w:cs="Arial" w:eastAsia="Arial" w:hAnsi="Arial"/>
          <w:sz w:val="16"/>
          <w:szCs w:val="16"/>
          <w:color w:val="auto"/>
        </w:rPr>
        <w:t>of stock options and stock appreciation rights, as well as the cash buyout of underwater awards, without prior shareholder approval.</w:t>
      </w:r>
    </w:p>
    <w:p>
      <w:pPr>
        <w:spacing w:after="0" w:line="83" w:lineRule="exact"/>
        <w:rPr>
          <w:rFonts w:ascii="Arial" w:cs="Arial" w:eastAsia="Arial" w:hAnsi="Arial"/>
          <w:sz w:val="16"/>
          <w:szCs w:val="16"/>
          <w:color w:val="005CB9"/>
        </w:rPr>
      </w:pPr>
    </w:p>
    <w:p>
      <w:pPr>
        <w:ind w:left="1360" w:right="180" w:hanging="288"/>
        <w:spacing w:after="0" w:line="281" w:lineRule="auto"/>
        <w:tabs>
          <w:tab w:leader="none" w:pos="1360" w:val="left"/>
        </w:tabs>
        <w:numPr>
          <w:ilvl w:val="0"/>
          <w:numId w:val="82"/>
        </w:numPr>
        <w:rPr>
          <w:rFonts w:ascii="Arial" w:cs="Arial" w:eastAsia="Arial" w:hAnsi="Arial"/>
          <w:sz w:val="16"/>
          <w:szCs w:val="16"/>
          <w:color w:val="005CB9"/>
        </w:rPr>
      </w:pPr>
      <w:r>
        <w:rPr>
          <w:rFonts w:ascii="Arial" w:cs="Arial" w:eastAsia="Arial" w:hAnsi="Arial"/>
          <w:sz w:val="16"/>
          <w:szCs w:val="16"/>
          <w:i w:val="1"/>
          <w:iCs w:val="1"/>
          <w:color w:val="auto"/>
        </w:rPr>
        <w:t xml:space="preserve">No discounted stock options or stock appreciation rights. </w:t>
      </w:r>
      <w:r>
        <w:rPr>
          <w:rFonts w:ascii="Arial" w:cs="Arial" w:eastAsia="Arial" w:hAnsi="Arial"/>
          <w:sz w:val="16"/>
          <w:szCs w:val="16"/>
          <w:color w:val="auto"/>
        </w:rPr>
        <w:t>All stock options and stock appreciation rights must have an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or base price equal to or greater than the fair market value of the underlying shares on the date of grant.</w:t>
      </w:r>
    </w:p>
    <w:p>
      <w:pPr>
        <w:spacing w:after="0" w:line="68" w:lineRule="exact"/>
        <w:rPr>
          <w:rFonts w:ascii="Arial" w:cs="Arial" w:eastAsia="Arial" w:hAnsi="Arial"/>
          <w:sz w:val="16"/>
          <w:szCs w:val="16"/>
          <w:color w:val="005CB9"/>
        </w:rPr>
      </w:pPr>
    </w:p>
    <w:p>
      <w:pPr>
        <w:ind w:left="1360" w:right="800" w:hanging="288"/>
        <w:spacing w:after="0" w:line="263" w:lineRule="auto"/>
        <w:tabs>
          <w:tab w:leader="none" w:pos="1360" w:val="left"/>
        </w:tabs>
        <w:numPr>
          <w:ilvl w:val="0"/>
          <w:numId w:val="82"/>
        </w:numPr>
        <w:rPr>
          <w:rFonts w:ascii="Arial" w:cs="Arial" w:eastAsia="Arial" w:hAnsi="Arial"/>
          <w:sz w:val="16"/>
          <w:szCs w:val="16"/>
          <w:color w:val="005CB9"/>
        </w:rPr>
      </w:pPr>
      <w:r>
        <w:rPr>
          <w:rFonts w:ascii="Arial" w:cs="Arial" w:eastAsia="Arial" w:hAnsi="Arial"/>
          <w:sz w:val="16"/>
          <w:szCs w:val="16"/>
          <w:i w:val="1"/>
          <w:iCs w:val="1"/>
          <w:color w:val="auto"/>
        </w:rPr>
        <w:t xml:space="preserve">Double-trigger vesting. </w:t>
      </w:r>
      <w:r>
        <w:rPr>
          <w:rFonts w:ascii="Arial" w:cs="Arial" w:eastAsia="Arial" w:hAnsi="Arial"/>
          <w:sz w:val="16"/>
          <w:szCs w:val="16"/>
          <w:color w:val="auto"/>
        </w:rPr>
        <w:t>Pursuant to the Amended and Restated 2017 Plan, the vesting of awards that are assumed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substituted in connection with a change in control only accelerates as a result of the change in control if a participant experiences a qualifying termination within one year following the change in control.</w:t>
      </w:r>
    </w:p>
    <w:p>
      <w:pPr>
        <w:spacing w:after="0" w:line="83" w:lineRule="exact"/>
        <w:rPr>
          <w:rFonts w:ascii="Arial" w:cs="Arial" w:eastAsia="Arial" w:hAnsi="Arial"/>
          <w:sz w:val="16"/>
          <w:szCs w:val="16"/>
          <w:color w:val="005CB9"/>
        </w:rPr>
      </w:pPr>
    </w:p>
    <w:p>
      <w:pPr>
        <w:ind w:left="1360" w:right="340" w:hanging="288"/>
        <w:spacing w:after="0" w:line="281" w:lineRule="auto"/>
        <w:tabs>
          <w:tab w:leader="none" w:pos="1360" w:val="left"/>
        </w:tabs>
        <w:numPr>
          <w:ilvl w:val="0"/>
          <w:numId w:val="82"/>
        </w:numPr>
        <w:rPr>
          <w:rFonts w:ascii="Arial" w:cs="Arial" w:eastAsia="Arial" w:hAnsi="Arial"/>
          <w:sz w:val="16"/>
          <w:szCs w:val="16"/>
          <w:color w:val="005CB9"/>
        </w:rPr>
      </w:pPr>
      <w:r>
        <w:rPr>
          <w:rFonts w:ascii="Arial" w:cs="Arial" w:eastAsia="Arial" w:hAnsi="Arial"/>
          <w:sz w:val="16"/>
          <w:szCs w:val="16"/>
          <w:i w:val="1"/>
          <w:iCs w:val="1"/>
          <w:color w:val="auto"/>
        </w:rPr>
        <w:t xml:space="preserve">No dividends or dividend equivalents on unearned awards. </w:t>
      </w:r>
      <w:r>
        <w:rPr>
          <w:rFonts w:ascii="Arial" w:cs="Arial" w:eastAsia="Arial" w:hAnsi="Arial"/>
          <w:sz w:val="16"/>
          <w:szCs w:val="16"/>
          <w:color w:val="auto"/>
        </w:rPr>
        <w:t>The Amended and Restated 2017 Plan also prohibits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dividends or dividend equivalent rights on unvested or unearned awards, including performance awards.</w:t>
      </w:r>
    </w:p>
    <w:p>
      <w:pPr>
        <w:spacing w:after="0" w:line="68" w:lineRule="exact"/>
        <w:rPr>
          <w:rFonts w:ascii="Arial" w:cs="Arial" w:eastAsia="Arial" w:hAnsi="Arial"/>
          <w:sz w:val="16"/>
          <w:szCs w:val="16"/>
          <w:color w:val="005CB9"/>
        </w:rPr>
      </w:pPr>
    </w:p>
    <w:p>
      <w:pPr>
        <w:ind w:left="1360" w:right="520" w:hanging="288"/>
        <w:spacing w:after="0" w:line="281" w:lineRule="auto"/>
        <w:tabs>
          <w:tab w:leader="none" w:pos="1360" w:val="left"/>
        </w:tabs>
        <w:numPr>
          <w:ilvl w:val="0"/>
          <w:numId w:val="82"/>
        </w:numPr>
        <w:rPr>
          <w:rFonts w:ascii="Arial" w:cs="Arial" w:eastAsia="Arial" w:hAnsi="Arial"/>
          <w:sz w:val="16"/>
          <w:szCs w:val="16"/>
          <w:color w:val="005CB9"/>
        </w:rPr>
      </w:pPr>
      <w:r>
        <w:rPr>
          <w:rFonts w:ascii="Arial" w:cs="Arial" w:eastAsia="Arial" w:hAnsi="Arial"/>
          <w:sz w:val="16"/>
          <w:szCs w:val="16"/>
          <w:i w:val="1"/>
          <w:iCs w:val="1"/>
          <w:color w:val="auto"/>
        </w:rPr>
        <w:t>Prohibits certain detrimental activities by participants</w:t>
      </w:r>
      <w:r>
        <w:rPr>
          <w:rFonts w:ascii="Arial" w:cs="Arial" w:eastAsia="Arial" w:hAnsi="Arial"/>
          <w:sz w:val="16"/>
          <w:szCs w:val="16"/>
          <w:color w:val="auto"/>
        </w:rPr>
        <w:t>. The Amended and Restated 2017 Plan provides that awards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forfeiture or recovery in the event that a participant engages in detrimental activities, as discussed below.</w:t>
      </w:r>
    </w:p>
    <w:p>
      <w:pPr>
        <w:spacing w:after="0" w:line="68" w:lineRule="exact"/>
        <w:rPr>
          <w:rFonts w:ascii="Arial" w:cs="Arial" w:eastAsia="Arial" w:hAnsi="Arial"/>
          <w:sz w:val="16"/>
          <w:szCs w:val="16"/>
          <w:color w:val="005CB9"/>
        </w:rPr>
      </w:pPr>
    </w:p>
    <w:p>
      <w:pPr>
        <w:ind w:left="1360" w:right="60" w:hanging="288"/>
        <w:spacing w:after="0" w:line="281" w:lineRule="auto"/>
        <w:tabs>
          <w:tab w:leader="none" w:pos="1360" w:val="left"/>
        </w:tabs>
        <w:numPr>
          <w:ilvl w:val="0"/>
          <w:numId w:val="82"/>
        </w:numPr>
        <w:rPr>
          <w:rFonts w:ascii="Arial" w:cs="Arial" w:eastAsia="Arial" w:hAnsi="Arial"/>
          <w:sz w:val="16"/>
          <w:szCs w:val="16"/>
          <w:color w:val="005CB9"/>
        </w:rPr>
      </w:pPr>
      <w:r>
        <w:rPr>
          <w:rFonts w:ascii="Arial" w:cs="Arial" w:eastAsia="Arial" w:hAnsi="Arial"/>
          <w:sz w:val="16"/>
          <w:szCs w:val="16"/>
          <w:i w:val="1"/>
          <w:iCs w:val="1"/>
          <w:color w:val="auto"/>
        </w:rPr>
        <w:t xml:space="preserve">Non-liberal definition of change in control. </w:t>
      </w:r>
      <w:r>
        <w:rPr>
          <w:rFonts w:ascii="Arial" w:cs="Arial" w:eastAsia="Arial" w:hAnsi="Arial"/>
          <w:sz w:val="16"/>
          <w:szCs w:val="16"/>
          <w:color w:val="auto"/>
        </w:rPr>
        <w:t>The change in control definition contained in the Amended and Restated 2017 Plan is</w:t>
      </w:r>
      <w:r>
        <w:rPr>
          <w:rFonts w:ascii="Arial" w:cs="Arial" w:eastAsia="Arial" w:hAnsi="Arial"/>
          <w:sz w:val="16"/>
          <w:szCs w:val="16"/>
          <w:i w:val="1"/>
          <w:iCs w:val="1"/>
          <w:color w:val="auto"/>
        </w:rPr>
        <w:t xml:space="preserve"> </w:t>
      </w:r>
      <w:r>
        <w:rPr>
          <w:rFonts w:ascii="Arial" w:cs="Arial" w:eastAsia="Arial" w:hAnsi="Arial"/>
          <w:sz w:val="16"/>
          <w:szCs w:val="16"/>
          <w:color w:val="auto"/>
        </w:rPr>
        <w:t>not a “liberal” definition that would be triggered on mere shareholder approval of a transaction.</w:t>
      </w:r>
    </w:p>
    <w:p>
      <w:pPr>
        <w:spacing w:after="0" w:line="68" w:lineRule="exact"/>
        <w:rPr>
          <w:rFonts w:ascii="Arial" w:cs="Arial" w:eastAsia="Arial" w:hAnsi="Arial"/>
          <w:sz w:val="16"/>
          <w:szCs w:val="16"/>
          <w:color w:val="005CB9"/>
        </w:rPr>
      </w:pPr>
    </w:p>
    <w:p>
      <w:pPr>
        <w:ind w:left="1360" w:right="680" w:hanging="288"/>
        <w:spacing w:after="0" w:line="281" w:lineRule="auto"/>
        <w:tabs>
          <w:tab w:leader="none" w:pos="1360" w:val="left"/>
        </w:tabs>
        <w:numPr>
          <w:ilvl w:val="0"/>
          <w:numId w:val="82"/>
        </w:numPr>
        <w:rPr>
          <w:rFonts w:ascii="Arial" w:cs="Arial" w:eastAsia="Arial" w:hAnsi="Arial"/>
          <w:sz w:val="16"/>
          <w:szCs w:val="16"/>
          <w:color w:val="005CB9"/>
        </w:rPr>
      </w:pPr>
      <w:r>
        <w:rPr>
          <w:rFonts w:ascii="Arial" w:cs="Arial" w:eastAsia="Arial" w:hAnsi="Arial"/>
          <w:sz w:val="16"/>
          <w:szCs w:val="16"/>
          <w:i w:val="1"/>
          <w:iCs w:val="1"/>
          <w:color w:val="auto"/>
        </w:rPr>
        <w:t xml:space="preserve">Clawback. </w:t>
      </w:r>
      <w:r>
        <w:rPr>
          <w:rFonts w:ascii="Arial" w:cs="Arial" w:eastAsia="Arial" w:hAnsi="Arial"/>
          <w:sz w:val="16"/>
          <w:szCs w:val="16"/>
          <w:color w:val="auto"/>
        </w:rPr>
        <w:t>Awards granted under the Amended and Restated 2017 Plan are subject to the Company’s clawback and/or</w:t>
      </w:r>
      <w:r>
        <w:rPr>
          <w:rFonts w:ascii="Arial" w:cs="Arial" w:eastAsia="Arial" w:hAnsi="Arial"/>
          <w:sz w:val="16"/>
          <w:szCs w:val="16"/>
          <w:i w:val="1"/>
          <w:iCs w:val="1"/>
          <w:color w:val="auto"/>
        </w:rPr>
        <w:t xml:space="preserve"> </w:t>
      </w:r>
      <w:r>
        <w:rPr>
          <w:rFonts w:ascii="Arial" w:cs="Arial" w:eastAsia="Arial" w:hAnsi="Arial"/>
          <w:sz w:val="16"/>
          <w:szCs w:val="16"/>
          <w:color w:val="auto"/>
        </w:rPr>
        <w:t>recoupment policies.</w:t>
      </w:r>
    </w:p>
    <w:p>
      <w:pPr>
        <w:spacing w:after="0" w:line="68" w:lineRule="exact"/>
        <w:rPr>
          <w:rFonts w:ascii="Arial" w:cs="Arial" w:eastAsia="Arial" w:hAnsi="Arial"/>
          <w:sz w:val="16"/>
          <w:szCs w:val="16"/>
          <w:color w:val="005CB9"/>
        </w:rPr>
      </w:pPr>
    </w:p>
    <w:p>
      <w:pPr>
        <w:ind w:left="1360" w:right="100" w:hanging="288"/>
        <w:spacing w:after="0" w:line="258" w:lineRule="auto"/>
        <w:tabs>
          <w:tab w:leader="none" w:pos="1360" w:val="left"/>
        </w:tabs>
        <w:numPr>
          <w:ilvl w:val="0"/>
          <w:numId w:val="82"/>
        </w:numPr>
        <w:rPr>
          <w:rFonts w:ascii="Arial" w:cs="Arial" w:eastAsia="Arial" w:hAnsi="Arial"/>
          <w:sz w:val="16"/>
          <w:szCs w:val="16"/>
          <w:color w:val="005CB9"/>
        </w:rPr>
      </w:pPr>
      <w:r>
        <w:rPr>
          <w:rFonts w:ascii="Arial" w:cs="Arial" w:eastAsia="Arial" w:hAnsi="Arial"/>
          <w:sz w:val="16"/>
          <w:szCs w:val="16"/>
          <w:i w:val="1"/>
          <w:iCs w:val="1"/>
          <w:color w:val="auto"/>
        </w:rPr>
        <w:t xml:space="preserve">Limitation on amendments. </w:t>
      </w:r>
      <w:r>
        <w:rPr>
          <w:rFonts w:ascii="Arial" w:cs="Arial" w:eastAsia="Arial" w:hAnsi="Arial"/>
          <w:sz w:val="16"/>
          <w:szCs w:val="16"/>
          <w:color w:val="auto"/>
        </w:rPr>
        <w:t>Amendments to the Amended and Restated 2017 Plan must be approved by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if shareholder approval is required by applicable law or the applicable rules of the national securities exchange on which the Company’s shares of common stock are principally listed or if the amendment would diminish the prohibitions on repricing stock options or stock appreciation rights.</w:t>
      </w:r>
    </w:p>
    <w:p>
      <w:pPr>
        <w:spacing w:after="0" w:line="86" w:lineRule="exact"/>
        <w:rPr>
          <w:rFonts w:ascii="Arial" w:cs="Arial" w:eastAsia="Arial" w:hAnsi="Arial"/>
          <w:sz w:val="16"/>
          <w:szCs w:val="16"/>
          <w:color w:val="005CB9"/>
        </w:rPr>
      </w:pPr>
    </w:p>
    <w:p>
      <w:pPr>
        <w:ind w:left="1360" w:hanging="288"/>
        <w:spacing w:after="0"/>
        <w:tabs>
          <w:tab w:leader="none" w:pos="1360" w:val="left"/>
        </w:tabs>
        <w:numPr>
          <w:ilvl w:val="0"/>
          <w:numId w:val="82"/>
        </w:numPr>
        <w:rPr>
          <w:rFonts w:ascii="Arial" w:cs="Arial" w:eastAsia="Arial" w:hAnsi="Arial"/>
          <w:sz w:val="16"/>
          <w:szCs w:val="16"/>
          <w:color w:val="005CB9"/>
        </w:rPr>
      </w:pPr>
      <w:r>
        <w:rPr>
          <w:rFonts w:ascii="Arial" w:cs="Arial" w:eastAsia="Arial" w:hAnsi="Arial"/>
          <w:sz w:val="16"/>
          <w:szCs w:val="16"/>
          <w:i w:val="1"/>
          <w:iCs w:val="1"/>
          <w:color w:val="auto"/>
        </w:rPr>
        <w:t xml:space="preserve">No automatic grants. </w:t>
      </w:r>
      <w:r>
        <w:rPr>
          <w:rFonts w:ascii="Arial" w:cs="Arial" w:eastAsia="Arial" w:hAnsi="Arial"/>
          <w:sz w:val="16"/>
          <w:szCs w:val="16"/>
          <w:color w:val="auto"/>
        </w:rPr>
        <w:t>The Amended and Restated 2017 Plan does not provide for automatic grants to any participant.</w:t>
      </w:r>
    </w:p>
    <w:p>
      <w:pPr>
        <w:spacing w:after="0" w:line="126" w:lineRule="exact"/>
        <w:rPr>
          <w:rFonts w:ascii="Arial" w:cs="Arial" w:eastAsia="Arial" w:hAnsi="Arial"/>
          <w:sz w:val="16"/>
          <w:szCs w:val="16"/>
          <w:color w:val="005CB9"/>
        </w:rPr>
      </w:pPr>
    </w:p>
    <w:p>
      <w:pPr>
        <w:ind w:left="1360" w:hanging="288"/>
        <w:spacing w:after="0"/>
        <w:tabs>
          <w:tab w:leader="none" w:pos="1360" w:val="left"/>
        </w:tabs>
        <w:numPr>
          <w:ilvl w:val="0"/>
          <w:numId w:val="82"/>
        </w:numPr>
        <w:rPr>
          <w:rFonts w:ascii="Arial" w:cs="Arial" w:eastAsia="Arial" w:hAnsi="Arial"/>
          <w:sz w:val="16"/>
          <w:szCs w:val="16"/>
          <w:color w:val="005CB9"/>
        </w:rPr>
      </w:pPr>
      <w:r>
        <w:rPr>
          <w:rFonts w:ascii="Arial" w:cs="Arial" w:eastAsia="Arial" w:hAnsi="Arial"/>
          <w:sz w:val="16"/>
          <w:szCs w:val="16"/>
          <w:i w:val="1"/>
          <w:iCs w:val="1"/>
          <w:color w:val="auto"/>
        </w:rPr>
        <w:t xml:space="preserve">Independent Compensation Committee. </w:t>
      </w:r>
      <w:r>
        <w:rPr>
          <w:rFonts w:ascii="Arial" w:cs="Arial" w:eastAsia="Arial" w:hAnsi="Arial"/>
          <w:sz w:val="16"/>
          <w:szCs w:val="16"/>
          <w:color w:val="auto"/>
        </w:rPr>
        <w:t>Our Compensation Committee consists entirely of independent directors.</w:t>
      </w:r>
    </w:p>
    <w:p>
      <w:pPr>
        <w:spacing w:after="0" w:line="126" w:lineRule="exact"/>
        <w:rPr>
          <w:rFonts w:ascii="Arial" w:cs="Arial" w:eastAsia="Arial" w:hAnsi="Arial"/>
          <w:sz w:val="16"/>
          <w:szCs w:val="16"/>
          <w:color w:val="005CB9"/>
        </w:rPr>
      </w:pPr>
    </w:p>
    <w:p>
      <w:pPr>
        <w:ind w:left="1360" w:hanging="288"/>
        <w:spacing w:after="0"/>
        <w:tabs>
          <w:tab w:leader="none" w:pos="1360" w:val="left"/>
        </w:tabs>
        <w:numPr>
          <w:ilvl w:val="0"/>
          <w:numId w:val="82"/>
        </w:numPr>
        <w:rPr>
          <w:rFonts w:ascii="Arial" w:cs="Arial" w:eastAsia="Arial" w:hAnsi="Arial"/>
          <w:sz w:val="16"/>
          <w:szCs w:val="16"/>
          <w:color w:val="005CB9"/>
        </w:rPr>
      </w:pPr>
      <w:r>
        <w:rPr>
          <w:rFonts w:ascii="Arial" w:cs="Arial" w:eastAsia="Arial" w:hAnsi="Arial"/>
          <w:sz w:val="16"/>
          <w:szCs w:val="16"/>
          <w:i w:val="1"/>
          <w:iCs w:val="1"/>
          <w:color w:val="auto"/>
        </w:rPr>
        <w:t xml:space="preserve">No tax gross-ups. </w:t>
      </w:r>
      <w:r>
        <w:rPr>
          <w:rFonts w:ascii="Arial" w:cs="Arial" w:eastAsia="Arial" w:hAnsi="Arial"/>
          <w:sz w:val="16"/>
          <w:szCs w:val="16"/>
          <w:color w:val="auto"/>
        </w:rPr>
        <w:t>The Amended and Restated 2017 Plan does not provide for any tax gross-ups.</w:t>
      </w:r>
    </w:p>
    <w:p>
      <w:pPr>
        <w:spacing w:after="0" w:line="3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Key Data</w:t>
      </w:r>
    </w:p>
    <w:p>
      <w:pPr>
        <w:spacing w:after="0" w:line="133" w:lineRule="exact"/>
        <w:rPr>
          <w:sz w:val="20"/>
          <w:szCs w:val="20"/>
          <w:color w:val="auto"/>
        </w:rPr>
      </w:pPr>
    </w:p>
    <w:p>
      <w:pPr>
        <w:ind w:left="660" w:right="280"/>
        <w:spacing w:after="0" w:line="253" w:lineRule="auto"/>
        <w:rPr>
          <w:sz w:val="20"/>
          <w:szCs w:val="20"/>
          <w:color w:val="auto"/>
        </w:rPr>
      </w:pPr>
      <w:r>
        <w:rPr>
          <w:rFonts w:ascii="Arial" w:cs="Arial" w:eastAsia="Arial" w:hAnsi="Arial"/>
          <w:sz w:val="16"/>
          <w:szCs w:val="16"/>
          <w:color w:val="auto"/>
        </w:rPr>
        <w:t>The following table includes information regarding the Company’s outstanding awards and shares of common stock available for future awards under the existing 2017 Plan as of June 30, 2020, as if the Amended and Restated 2017 Plan is not approved under this proposal):</w:t>
      </w:r>
    </w:p>
    <w:p>
      <w:pPr>
        <w:spacing w:after="0" w:line="213" w:lineRule="exact"/>
        <w:rPr>
          <w:sz w:val="20"/>
          <w:szCs w:val="20"/>
          <w:color w:val="auto"/>
        </w:rPr>
      </w:pPr>
    </w:p>
    <w:tbl>
      <w:tblPr>
        <w:tblLayout w:type="fixed"/>
        <w:tblInd w:w="154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780" w:type="dxa"/>
            <w:vAlign w:val="bottom"/>
          </w:tcPr>
          <w:p>
            <w:pPr>
              <w:jc w:val="right"/>
              <w:ind w:right="16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5"/>
        </w:trPr>
        <w:tc>
          <w:tcPr>
            <w:tcW w:w="7400" w:type="dxa"/>
            <w:vAlign w:val="bottom"/>
            <w:vMerge w:val="restart"/>
          </w:tcPr>
          <w:p>
            <w:pPr>
              <w:spacing w:after="0"/>
              <w:rPr>
                <w:sz w:val="20"/>
                <w:szCs w:val="20"/>
                <w:color w:val="auto"/>
              </w:rPr>
            </w:pPr>
            <w:r>
              <w:rPr>
                <w:rFonts w:ascii="Arial" w:cs="Arial" w:eastAsia="Arial" w:hAnsi="Arial"/>
                <w:sz w:val="16"/>
                <w:szCs w:val="16"/>
                <w:color w:val="auto"/>
              </w:rPr>
              <w:t>Total shares of common stock underlying outstanding stock options</w:t>
            </w: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84"/>
        </w:trPr>
        <w:tc>
          <w:tcPr>
            <w:tcW w:w="7400" w:type="dxa"/>
            <w:vAlign w:val="bottom"/>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Weighted average exercise price of outstanding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Weighted average remaining contractual life of outstanding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7"/>
        </w:trPr>
        <w:tc>
          <w:tcPr>
            <w:tcW w:w="7400" w:type="dxa"/>
            <w:vAlign w:val="bottom"/>
          </w:tcPr>
          <w:p>
            <w:pPr>
              <w:spacing w:after="0"/>
              <w:rPr>
                <w:sz w:val="20"/>
                <w:szCs w:val="20"/>
                <w:color w:val="auto"/>
              </w:rPr>
            </w:pPr>
            <w:r>
              <w:rPr>
                <w:rFonts w:ascii="Arial" w:cs="Arial" w:eastAsia="Arial" w:hAnsi="Arial"/>
                <w:sz w:val="16"/>
                <w:szCs w:val="16"/>
                <w:color w:val="auto"/>
              </w:rPr>
              <w:t>Total shares subject to outstanding, unvested full-value awards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2,474,473</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20"/>
                <w:szCs w:val="20"/>
                <w:color w:val="auto"/>
              </w:rPr>
            </w:pPr>
            <w:r>
              <w:rPr>
                <w:rFonts w:ascii="Arial" w:cs="Arial" w:eastAsia="Arial" w:hAnsi="Arial"/>
                <w:sz w:val="16"/>
                <w:szCs w:val="16"/>
                <w:color w:val="auto"/>
              </w:rPr>
              <w:t>Total shares of common stock currently available for grant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4,744,253</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660" w:right="340"/>
        <w:spacing w:after="0" w:line="253" w:lineRule="auto"/>
        <w:rPr>
          <w:sz w:val="20"/>
          <w:szCs w:val="20"/>
          <w:color w:val="auto"/>
        </w:rPr>
      </w:pPr>
      <w:r>
        <w:rPr>
          <w:rFonts w:ascii="Arial" w:cs="Arial" w:eastAsia="Arial" w:hAnsi="Arial"/>
          <w:sz w:val="16"/>
          <w:szCs w:val="16"/>
          <w:color w:val="auto"/>
        </w:rPr>
        <w:t>The Compensation Committee carefully monitors the Company’s annual burn rate and total fully-diluted overhang by granting only the number of stock-based awards that it believes is necessary to attract, reward and retain key employees, officers and other service providers. Burn rate, or run rate, refers to how fast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272415</wp:posOffset>
            </wp:positionV>
            <wp:extent cx="291465" cy="2743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71</w:t>
            </w:r>
          </w:p>
        </w:tc>
      </w:tr>
    </w:tbl>
    <w:p>
      <w:pPr>
        <w:sectPr>
          <w:pgSz w:w="11900" w:h="16838" w:orient="portrait"/>
          <w:cols w:equalWidth="0" w:num="1">
            <w:col w:w="10580"/>
          </w:cols>
          <w:pgMar w:left="320" w:top="459" w:right="9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926205"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926205"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48" w:lineRule="exact"/>
        <w:rPr>
          <w:sz w:val="20"/>
          <w:szCs w:val="20"/>
          <w:color w:val="auto"/>
        </w:rPr>
      </w:pPr>
    </w:p>
    <w:p>
      <w:pPr>
        <w:ind w:left="660" w:right="180"/>
        <w:spacing w:after="0" w:line="253" w:lineRule="auto"/>
        <w:rPr>
          <w:sz w:val="20"/>
          <w:szCs w:val="20"/>
          <w:color w:val="auto"/>
        </w:rPr>
      </w:pPr>
      <w:r>
        <w:rPr>
          <w:rFonts w:ascii="Arial" w:cs="Arial" w:eastAsia="Arial" w:hAnsi="Arial"/>
          <w:sz w:val="16"/>
          <w:szCs w:val="16"/>
          <w:color w:val="auto"/>
        </w:rPr>
        <w:t>company uses the supply of shares authorized for issuance under its stock incentive plan. Over the last three fiscal years, the Company has maintained an average burn rate of only 4.88% of shares of common stock outstanding per year. The following table shows the Company’s burn rate percentage over the past three fiscal years:</w:t>
      </w:r>
    </w:p>
    <w:p>
      <w:pPr>
        <w:spacing w:after="0" w:line="213" w:lineRule="exact"/>
        <w:rPr>
          <w:sz w:val="20"/>
          <w:szCs w:val="20"/>
          <w:color w:val="auto"/>
        </w:rPr>
      </w:pPr>
    </w:p>
    <w:tbl>
      <w:tblPr>
        <w:tblLayout w:type="fixed"/>
        <w:tblInd w:w="146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Key Equity Metric</w:t>
            </w:r>
          </w:p>
        </w:tc>
        <w:tc>
          <w:tcPr>
            <w:tcW w:w="3800" w:type="dxa"/>
            <w:vAlign w:val="bottom"/>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64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r>
      <w:tr>
        <w:trPr>
          <w:trHeight w:val="183"/>
        </w:trPr>
        <w:tc>
          <w:tcPr>
            <w:tcW w:w="1220" w:type="dxa"/>
            <w:vAlign w:val="bottom"/>
          </w:tcPr>
          <w:p>
            <w:pPr>
              <w:spacing w:after="0" w:line="175" w:lineRule="exact"/>
              <w:rPr>
                <w:sz w:val="20"/>
                <w:szCs w:val="20"/>
                <w:color w:val="auto"/>
              </w:rPr>
            </w:pPr>
            <w:r>
              <w:rPr>
                <w:rFonts w:ascii="Arial" w:cs="Arial" w:eastAsia="Arial" w:hAnsi="Arial"/>
                <w:sz w:val="16"/>
                <w:szCs w:val="16"/>
                <w:color w:val="auto"/>
              </w:rPr>
              <w:t>Burn Rate(1)</w:t>
            </w:r>
          </w:p>
        </w:tc>
        <w:tc>
          <w:tcPr>
            <w:tcW w:w="5020" w:type="dxa"/>
            <w:vAlign w:val="bottom"/>
            <w:gridSpan w:val="3"/>
          </w:tcPr>
          <w:p>
            <w:pPr>
              <w:jc w:val="right"/>
              <w:ind w:right="440"/>
              <w:spacing w:after="0"/>
              <w:rPr>
                <w:sz w:val="20"/>
                <w:szCs w:val="20"/>
                <w:color w:val="auto"/>
              </w:rPr>
            </w:pPr>
            <w:r>
              <w:rPr>
                <w:rFonts w:ascii="Arial" w:cs="Arial" w:eastAsia="Arial" w:hAnsi="Arial"/>
                <w:sz w:val="16"/>
                <w:szCs w:val="16"/>
                <w:color w:val="auto"/>
              </w:rPr>
              <w:t>2.46%</w:t>
            </w:r>
          </w:p>
        </w:tc>
        <w:tc>
          <w:tcPr>
            <w:tcW w:w="1240" w:type="dxa"/>
            <w:vAlign w:val="bottom"/>
            <w:gridSpan w:val="2"/>
          </w:tcPr>
          <w:p>
            <w:pPr>
              <w:jc w:val="right"/>
              <w:ind w:right="440"/>
              <w:spacing w:after="0"/>
              <w:rPr>
                <w:sz w:val="20"/>
                <w:szCs w:val="20"/>
                <w:color w:val="auto"/>
              </w:rPr>
            </w:pPr>
            <w:r>
              <w:rPr>
                <w:rFonts w:ascii="Arial" w:cs="Arial" w:eastAsia="Arial" w:hAnsi="Arial"/>
                <w:sz w:val="16"/>
                <w:szCs w:val="16"/>
                <w:color w:val="auto"/>
              </w:rPr>
              <w:t>3.79%</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81280</wp:posOffset>
            </wp:positionV>
            <wp:extent cx="6940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52" w:lineRule="exact"/>
        <w:rPr>
          <w:sz w:val="20"/>
          <w:szCs w:val="20"/>
          <w:color w:val="auto"/>
        </w:rPr>
      </w:pPr>
    </w:p>
    <w:p>
      <w:pPr>
        <w:ind w:left="960" w:right="420" w:hanging="291"/>
        <w:spacing w:after="0" w:line="279" w:lineRule="auto"/>
        <w:tabs>
          <w:tab w:leader="none" w:pos="960"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Burn rate is calculated by dividing the number of shares of common stock subject to equity awards granted during the fiscal year by the weighted average number of shares of common stock outstanding during the fiscal year.</w:t>
      </w:r>
    </w:p>
    <w:p>
      <w:pPr>
        <w:spacing w:after="0" w:line="177" w:lineRule="exact"/>
        <w:rPr>
          <w:sz w:val="20"/>
          <w:szCs w:val="20"/>
          <w:color w:val="auto"/>
        </w:rPr>
      </w:pPr>
    </w:p>
    <w:p>
      <w:pPr>
        <w:ind w:left="660" w:right="140"/>
        <w:spacing w:after="0" w:line="253" w:lineRule="auto"/>
        <w:rPr>
          <w:sz w:val="20"/>
          <w:szCs w:val="20"/>
          <w:color w:val="auto"/>
        </w:rPr>
      </w:pPr>
      <w:r>
        <w:rPr>
          <w:rFonts w:ascii="Arial" w:cs="Arial" w:eastAsia="Arial" w:hAnsi="Arial"/>
          <w:sz w:val="16"/>
          <w:szCs w:val="16"/>
          <w:color w:val="auto"/>
        </w:rPr>
        <w:t>After giving effect to the proposed increase to the share reserve, the total fully-diluted overhang as of June 30, 2020, would be 7.46%. In this context, fully-diluted overhang is calculated as the sum of grants outstanding and shares available for future awards (numerator) divided by the sum of the numerator and basic common shares outstanding, with all data effective as of June 30, 2020.</w:t>
      </w:r>
    </w:p>
    <w:p>
      <w:pPr>
        <w:spacing w:after="0" w:line="201" w:lineRule="exact"/>
        <w:rPr>
          <w:sz w:val="20"/>
          <w:szCs w:val="20"/>
          <w:color w:val="auto"/>
        </w:rPr>
      </w:pPr>
    </w:p>
    <w:p>
      <w:pPr>
        <w:jc w:val="both"/>
        <w:ind w:left="660" w:right="180"/>
        <w:spacing w:after="0" w:line="253" w:lineRule="auto"/>
        <w:rPr>
          <w:sz w:val="20"/>
          <w:szCs w:val="20"/>
          <w:color w:val="auto"/>
        </w:rPr>
      </w:pPr>
      <w:r>
        <w:rPr>
          <w:rFonts w:ascii="Arial" w:cs="Arial" w:eastAsia="Arial" w:hAnsi="Arial"/>
          <w:sz w:val="16"/>
          <w:szCs w:val="16"/>
          <w:color w:val="auto"/>
        </w:rPr>
        <w:t>Our future share usage could be impacted by a number of factors such as award type mix; hiring and promotion activity at the executive level; the rate at which shares are returned to the Amended and Restated 2017 Plan’s reserve upon the awards’ expiration, forfeiture or cash settlement; the future performance of our stock price; the consequences of acquiring other companies; and other factors.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Summary of the Amended and Restated 2017 Plan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certain material features of the Amended and Restated 2017 Plan.</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Purpose</w:t>
      </w:r>
    </w:p>
    <w:p>
      <w:pPr>
        <w:spacing w:after="0" w:line="129" w:lineRule="exact"/>
        <w:rPr>
          <w:sz w:val="20"/>
          <w:szCs w:val="20"/>
          <w:color w:val="auto"/>
        </w:rPr>
      </w:pPr>
    </w:p>
    <w:p>
      <w:pPr>
        <w:ind w:left="660" w:right="100"/>
        <w:spacing w:after="0" w:line="253" w:lineRule="auto"/>
        <w:rPr>
          <w:sz w:val="20"/>
          <w:szCs w:val="20"/>
          <w:color w:val="auto"/>
        </w:rPr>
      </w:pPr>
      <w:r>
        <w:rPr>
          <w:rFonts w:ascii="Arial" w:cs="Arial" w:eastAsia="Arial" w:hAnsi="Arial"/>
          <w:sz w:val="16"/>
          <w:szCs w:val="16"/>
          <w:color w:val="auto"/>
        </w:rPr>
        <w:t>The Amended and Restated 2017 Plan is designed to assist the Company in attracting, retaining, motivating and rewarding certain of the Company’s key employees, officers, directors and other service providers, and to promote the creation of long-term value for the Company’s shareholders by closely aligning the interests of such individuals with those of the shareholders.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Administration</w:t>
      </w:r>
    </w:p>
    <w:p>
      <w:pPr>
        <w:spacing w:after="0" w:line="113"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Amended and Restated 2017 Plan will be administered by the Company’s Compensation Committee (the “</w:t>
      </w:r>
      <w:r>
        <w:rPr>
          <w:rFonts w:ascii="Arial" w:cs="Arial" w:eastAsia="Arial" w:hAnsi="Arial"/>
          <w:sz w:val="16"/>
          <w:szCs w:val="16"/>
          <w:i w:val="1"/>
          <w:iCs w:val="1"/>
          <w:color w:val="auto"/>
        </w:rPr>
        <w:t>Committee</w:t>
      </w:r>
      <w:r>
        <w:rPr>
          <w:rFonts w:ascii="Arial" w:cs="Arial" w:eastAsia="Arial" w:hAnsi="Arial"/>
          <w:sz w:val="16"/>
          <w:szCs w:val="16"/>
          <w:color w:val="auto"/>
        </w:rPr>
        <w:t>”), which will have the authority to designate participants, grant awards, determine the number of shares of common stock to be covered by awards, determine the terms and conditions of any awards, including when an award may be granted, and construe and interpret the Amended and Restated 2017 Plan and related award agreements. The Committee has the authority to accelerate the vesting of outstanding awards at any time and for any reason, including upon a “corporate event” (as defined in the Amended and Restated 2017 Plan), subject to the Amended and Restated 2017 Plan’s double-trigger vesting limitation, or in the event of certain types of terminations of employment. To the extent permitted by applicable law, the Committee is permitted to delegate its authority under the Amended and Restated 2017 Plan to officers or employees of the Company, although any award granted to any person who is not an employee of the Company (including any non-employee director of the Company or its affiliates), who is subject to Section 16 of the Exchange Act must be expressly approved by the Committee.</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Shares of Stock Available for Issuance Under the Amended and Restated 2017 Plan and Limits on Awards</w:t>
      </w:r>
    </w:p>
    <w:p>
      <w:pPr>
        <w:spacing w:after="0" w:line="129" w:lineRule="exact"/>
        <w:rPr>
          <w:sz w:val="20"/>
          <w:szCs w:val="20"/>
          <w:color w:val="auto"/>
        </w:rPr>
      </w:pPr>
    </w:p>
    <w:p>
      <w:pPr>
        <w:ind w:left="660" w:right="60"/>
        <w:spacing w:after="0" w:line="250" w:lineRule="auto"/>
        <w:rPr>
          <w:sz w:val="20"/>
          <w:szCs w:val="20"/>
          <w:color w:val="auto"/>
        </w:rPr>
      </w:pPr>
      <w:r>
        <w:rPr>
          <w:rFonts w:ascii="Arial" w:cs="Arial" w:eastAsia="Arial" w:hAnsi="Arial"/>
          <w:sz w:val="16"/>
          <w:szCs w:val="16"/>
          <w:color w:val="auto"/>
        </w:rPr>
        <w:t>As of June 30, 2020, 4,744,253 shares of common stock were available for issuance or for reference purposes under the existing 2017 Plan, subject to adjustment as provided in the existing 2017 Plan. If the proposed Amended and Restated 2017 Plan is approved by shareholders, an additional 2,000,000 shares of our common stock will be available for future issuance under the Amended and Restated 2017 Plan. In addition, the number of shares of common stock available for issuance under the Amended and Restated 2017 Plan will be subject to increase by any shares of common stock subject to an award outstanding under the 2009 Plan after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273050</wp:posOffset>
            </wp:positionV>
            <wp:extent cx="291465" cy="2743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60"/>
          </w:cols>
          <w:pgMar w:left="320" w:top="459" w:right="10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205740</wp:posOffset>
            </wp:positionV>
            <wp:extent cx="3985895"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985895" cy="137160"/>
                    </a:xfrm>
                    <a:prstGeom prst="rect">
                      <a:avLst/>
                    </a:prstGeom>
                    <a:noFill/>
                  </pic:spPr>
                </pic:pic>
              </a:graphicData>
            </a:graphic>
          </wp:anchor>
        </w:drawing>
      </w:r>
    </w:p>
    <w:p>
      <w:pPr>
        <w:spacing w:after="0" w:line="33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32" w:lineRule="exact"/>
        <w:rPr>
          <w:sz w:val="20"/>
          <w:szCs w:val="20"/>
          <w:color w:val="auto"/>
        </w:rPr>
      </w:pPr>
    </w:p>
    <w:p>
      <w:pPr>
        <w:ind w:left="660" w:right="60"/>
        <w:spacing w:after="0" w:line="253" w:lineRule="auto"/>
        <w:rPr>
          <w:sz w:val="20"/>
          <w:szCs w:val="20"/>
          <w:color w:val="auto"/>
        </w:rPr>
      </w:pPr>
      <w:r>
        <w:rPr>
          <w:rFonts w:ascii="Arial" w:cs="Arial" w:eastAsia="Arial" w:hAnsi="Arial"/>
          <w:sz w:val="16"/>
          <w:szCs w:val="16"/>
          <w:color w:val="auto"/>
        </w:rPr>
        <w:t>2017 (a “</w:t>
      </w:r>
      <w:r>
        <w:rPr>
          <w:rFonts w:ascii="Arial" w:cs="Arial" w:eastAsia="Arial" w:hAnsi="Arial"/>
          <w:sz w:val="16"/>
          <w:szCs w:val="16"/>
          <w:i w:val="1"/>
          <w:iCs w:val="1"/>
          <w:color w:val="auto"/>
        </w:rPr>
        <w:t>Prior Plan Award</w:t>
      </w:r>
      <w:r>
        <w:rPr>
          <w:rFonts w:ascii="Arial" w:cs="Arial" w:eastAsia="Arial" w:hAnsi="Arial"/>
          <w:sz w:val="16"/>
          <w:szCs w:val="16"/>
          <w:color w:val="auto"/>
        </w:rPr>
        <w:t>”) that becomes eligible for reuse pursuant to the share recycling provisions of the Amended and Restated 2017 Plan, as described below. Stock-based awards assumed or substituted by the Company or its affiliates as part of a corporate transaction (including from an entity that the Company merges with or into, acquires, or engages with in a similar corporate transaction) will not count against the number of shares of common stock reserved and available for issuance pursuant to the Amended and Restated 2017 Plan except as may be required by Section 422 of the Code. In addition, shares of common stock will not be deemed to have been issued pursuant to the Amended and Restated 2017 Plan with respect to any portion of an award that is settled in cash.</w:t>
      </w:r>
    </w:p>
    <w:p>
      <w:pPr>
        <w:spacing w:after="0" w:line="202" w:lineRule="exact"/>
        <w:rPr>
          <w:sz w:val="20"/>
          <w:szCs w:val="20"/>
          <w:color w:val="auto"/>
        </w:rPr>
      </w:pPr>
    </w:p>
    <w:p>
      <w:pPr>
        <w:ind w:left="660" w:right="20"/>
        <w:spacing w:after="0" w:line="247" w:lineRule="auto"/>
        <w:rPr>
          <w:sz w:val="20"/>
          <w:szCs w:val="20"/>
          <w:color w:val="auto"/>
        </w:rPr>
      </w:pPr>
      <w:r>
        <w:rPr>
          <w:rFonts w:ascii="Arial" w:cs="Arial" w:eastAsia="Arial" w:hAnsi="Arial"/>
          <w:sz w:val="16"/>
          <w:szCs w:val="16"/>
          <w:color w:val="auto"/>
        </w:rPr>
        <w:t>If any award granted under the Amended and Restated 2017 Plan or any Prior Plan Award expires or is canceled, forfeited, settled in cash or otherwise terminated without delivery of shares to a participant, the undelivered shares will again become available for awards under the Amended and Restated 2017 Plan. In addition, the number of shares available for awards under the Amended and Restated 2017 Plan will be increased by any shares tendered by a participant or withheld by the Company to pay any tax withholding obligation with respect to any “full value award” (as such term is defined in the Amended and Restated 2017 Plan) or any full value Prior Plan Award. The following shares will be deemed to constitute shares delivered to a participant and will not be deemed to again be available for delivery under the Amended and Restated 2017 Plan: (i) shares tendered by the participant or withheld by the Company in payment of the exercise price of a stock option under the Amended and Restated 2017 Plan or the Prior Plan, (ii) shares tendered by the participant or withheld by the Company to satisfy any tax withholding obligation with respect to “exercisable awards” (as such term is defined in the Amended and Restated 2017 Plan) or options or stock appreciation rights under the Prior Plan, (iii) shares subject to a stock appreciation right under the Amended and Restated 2017 Plan or the Prior Plan that are not issued in connection with its stock settlement on exercise thereof, and (iv) shares reacquired by the Company on the open market or otherwise using cash proceeds from the exercise of stock options under the Amended and Restated 2017 Plan or the Prior Plan.</w:t>
      </w:r>
    </w:p>
    <w:p>
      <w:pPr>
        <w:spacing w:after="0" w:line="211" w:lineRule="exact"/>
        <w:rPr>
          <w:sz w:val="20"/>
          <w:szCs w:val="20"/>
          <w:color w:val="auto"/>
        </w:rPr>
      </w:pPr>
    </w:p>
    <w:p>
      <w:pPr>
        <w:ind w:left="660" w:right="40"/>
        <w:spacing w:after="0" w:line="249" w:lineRule="auto"/>
        <w:rPr>
          <w:sz w:val="20"/>
          <w:szCs w:val="20"/>
          <w:color w:val="auto"/>
        </w:rPr>
      </w:pPr>
      <w:r>
        <w:rPr>
          <w:rFonts w:ascii="Arial" w:cs="Arial" w:eastAsia="Arial" w:hAnsi="Arial"/>
          <w:sz w:val="16"/>
          <w:szCs w:val="16"/>
          <w:color w:val="auto"/>
        </w:rPr>
        <w:t>Under the Amended and Restated 2017 Plan, the maximum value of awards granted to non-employee directors in any one calendar year, together with any cash fees paid to such directors during such calendar year in respect of the Director’s service as a member of the Board during such year, may not, absent extraordinary circumstances, exceed $750,000 in total value. As determined by the Committee in its discretion, this limit may be increased for a non-executive chair of the Board of Directors or, in extraordinary circumstances, for other individual non-employee directors; provided that the non-employee director receiving such additional compensation may not participate in the decision to award such compensation.</w:t>
      </w:r>
    </w:p>
    <w:p>
      <w:pPr>
        <w:spacing w:after="0" w:line="205" w:lineRule="exact"/>
        <w:rPr>
          <w:sz w:val="20"/>
          <w:szCs w:val="20"/>
          <w:color w:val="auto"/>
        </w:rPr>
      </w:pPr>
    </w:p>
    <w:p>
      <w:pPr>
        <w:ind w:left="660" w:right="460"/>
        <w:spacing w:after="0" w:line="260" w:lineRule="auto"/>
        <w:rPr>
          <w:sz w:val="20"/>
          <w:szCs w:val="20"/>
          <w:color w:val="auto"/>
        </w:rPr>
      </w:pPr>
      <w:r>
        <w:rPr>
          <w:rFonts w:ascii="Arial" w:cs="Arial" w:eastAsia="Arial" w:hAnsi="Arial"/>
          <w:sz w:val="16"/>
          <w:szCs w:val="16"/>
          <w:color w:val="auto"/>
        </w:rPr>
        <w:t>Awards and the shares authorized under the Amended and Restated 2017 Plan are subject to adjustment as described below under “Changes in Capital Structure.”</w:t>
      </w:r>
    </w:p>
    <w:p>
      <w:pPr>
        <w:spacing w:after="0" w:line="195" w:lineRule="exact"/>
        <w:rPr>
          <w:sz w:val="20"/>
          <w:szCs w:val="20"/>
          <w:color w:val="auto"/>
        </w:rPr>
      </w:pPr>
    </w:p>
    <w:p>
      <w:pPr>
        <w:ind w:left="660" w:right="60"/>
        <w:spacing w:after="0" w:line="260" w:lineRule="auto"/>
        <w:rPr>
          <w:sz w:val="20"/>
          <w:szCs w:val="20"/>
          <w:color w:val="auto"/>
        </w:rPr>
      </w:pPr>
      <w:r>
        <w:rPr>
          <w:rFonts w:ascii="Arial" w:cs="Arial" w:eastAsia="Arial" w:hAnsi="Arial"/>
          <w:sz w:val="16"/>
          <w:szCs w:val="16"/>
          <w:color w:val="auto"/>
        </w:rPr>
        <w:t>The maximum number of shares of common stock reserved for issuance under the Amended and Restated 2017 Plan that may be issued or transferred upon exercise or settlement of incentive stock options is 7,200,000 shares.</w:t>
      </w:r>
    </w:p>
    <w:p>
      <w:pPr>
        <w:spacing w:after="0" w:line="195" w:lineRule="exact"/>
        <w:rPr>
          <w:sz w:val="20"/>
          <w:szCs w:val="20"/>
          <w:color w:val="auto"/>
        </w:rPr>
      </w:pPr>
    </w:p>
    <w:p>
      <w:pPr>
        <w:ind w:left="660" w:right="200"/>
        <w:spacing w:after="0" w:line="260" w:lineRule="auto"/>
        <w:rPr>
          <w:sz w:val="20"/>
          <w:szCs w:val="20"/>
          <w:color w:val="auto"/>
        </w:rPr>
      </w:pPr>
      <w:r>
        <w:rPr>
          <w:rFonts w:ascii="Arial" w:cs="Arial" w:eastAsia="Arial" w:hAnsi="Arial"/>
          <w:sz w:val="16"/>
          <w:szCs w:val="16"/>
          <w:color w:val="auto"/>
        </w:rPr>
        <w:t>Awards and the shares of common stock authorized under the Amended and Restated 2017 Plan, as well as any individual share limits, are subject to adjustment as described below under “Changes in Capital Structure.”</w:t>
      </w:r>
    </w:p>
    <w:p>
      <w:pPr>
        <w:spacing w:after="0" w:line="195" w:lineRule="exact"/>
        <w:rPr>
          <w:sz w:val="20"/>
          <w:szCs w:val="20"/>
          <w:color w:val="auto"/>
        </w:rPr>
      </w:pPr>
    </w:p>
    <w:p>
      <w:pPr>
        <w:ind w:left="660" w:right="420"/>
        <w:spacing w:after="0" w:line="260" w:lineRule="auto"/>
        <w:rPr>
          <w:sz w:val="20"/>
          <w:szCs w:val="20"/>
          <w:color w:val="auto"/>
        </w:rPr>
      </w:pPr>
      <w:r>
        <w:rPr>
          <w:rFonts w:ascii="Arial" w:cs="Arial" w:eastAsia="Arial" w:hAnsi="Arial"/>
          <w:sz w:val="16"/>
          <w:szCs w:val="16"/>
          <w:color w:val="auto"/>
        </w:rPr>
        <w:t>The closing price of a share of common stock as reported on The NASDAQ Stock Market on July 16, 2020 was $150.31 per share of common stock.</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Eligibility</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individuals will be eligible to participate in the Amended and Restated 2017 Plan:</w:t>
      </w:r>
    </w:p>
    <w:p>
      <w:pPr>
        <w:spacing w:after="0" w:line="127" w:lineRule="exact"/>
        <w:rPr>
          <w:sz w:val="20"/>
          <w:szCs w:val="20"/>
          <w:color w:val="auto"/>
        </w:rPr>
      </w:pPr>
    </w:p>
    <w:p>
      <w:pPr>
        <w:ind w:left="1360" w:hanging="288"/>
        <w:spacing w:after="0"/>
        <w:tabs>
          <w:tab w:leader="none" w:pos="1360" w:val="left"/>
        </w:tabs>
        <w:numPr>
          <w:ilvl w:val="0"/>
          <w:numId w:val="84"/>
        </w:numPr>
        <w:rPr>
          <w:rFonts w:ascii="Arial" w:cs="Arial" w:eastAsia="Arial" w:hAnsi="Arial"/>
          <w:sz w:val="16"/>
          <w:szCs w:val="16"/>
          <w:color w:val="005CB9"/>
        </w:rPr>
      </w:pPr>
      <w:r>
        <w:rPr>
          <w:rFonts w:ascii="Arial" w:cs="Arial" w:eastAsia="Arial" w:hAnsi="Arial"/>
          <w:sz w:val="16"/>
          <w:szCs w:val="16"/>
          <w:color w:val="auto"/>
        </w:rPr>
        <w:t>employees and officers of the Company or its affiliates,</w:t>
      </w:r>
    </w:p>
    <w:p>
      <w:pPr>
        <w:spacing w:after="0" w:line="126" w:lineRule="exact"/>
        <w:rPr>
          <w:rFonts w:ascii="Arial" w:cs="Arial" w:eastAsia="Arial" w:hAnsi="Arial"/>
          <w:sz w:val="16"/>
          <w:szCs w:val="16"/>
          <w:color w:val="005CB9"/>
        </w:rPr>
      </w:pPr>
    </w:p>
    <w:p>
      <w:pPr>
        <w:ind w:left="1360" w:hanging="288"/>
        <w:spacing w:after="0"/>
        <w:tabs>
          <w:tab w:leader="none" w:pos="1360" w:val="left"/>
        </w:tabs>
        <w:numPr>
          <w:ilvl w:val="0"/>
          <w:numId w:val="84"/>
        </w:numPr>
        <w:rPr>
          <w:rFonts w:ascii="Arial" w:cs="Arial" w:eastAsia="Arial" w:hAnsi="Arial"/>
          <w:sz w:val="16"/>
          <w:szCs w:val="16"/>
          <w:color w:val="005CB9"/>
        </w:rPr>
      </w:pPr>
      <w:r>
        <w:rPr>
          <w:rFonts w:ascii="Arial" w:cs="Arial" w:eastAsia="Arial" w:hAnsi="Arial"/>
          <w:sz w:val="16"/>
          <w:szCs w:val="16"/>
          <w:color w:val="auto"/>
        </w:rPr>
        <w:t>non-employee director of the Company or its affiliates;</w:t>
      </w:r>
    </w:p>
    <w:p>
      <w:pPr>
        <w:spacing w:after="0" w:line="126" w:lineRule="exact"/>
        <w:rPr>
          <w:rFonts w:ascii="Arial" w:cs="Arial" w:eastAsia="Arial" w:hAnsi="Arial"/>
          <w:sz w:val="16"/>
          <w:szCs w:val="16"/>
          <w:color w:val="005CB9"/>
        </w:rPr>
      </w:pPr>
    </w:p>
    <w:p>
      <w:pPr>
        <w:ind w:left="1360" w:right="620" w:hanging="288"/>
        <w:spacing w:after="0" w:line="260" w:lineRule="auto"/>
        <w:tabs>
          <w:tab w:leader="none" w:pos="1360" w:val="left"/>
        </w:tabs>
        <w:numPr>
          <w:ilvl w:val="0"/>
          <w:numId w:val="84"/>
        </w:numPr>
        <w:rPr>
          <w:rFonts w:ascii="Arial" w:cs="Arial" w:eastAsia="Arial" w:hAnsi="Arial"/>
          <w:sz w:val="16"/>
          <w:szCs w:val="16"/>
          <w:color w:val="005CB9"/>
        </w:rPr>
      </w:pPr>
      <w:r>
        <w:rPr>
          <w:rFonts w:ascii="Arial" w:cs="Arial" w:eastAsia="Arial" w:hAnsi="Arial"/>
          <w:sz w:val="16"/>
          <w:szCs w:val="16"/>
          <w:color w:val="auto"/>
        </w:rPr>
        <w:t>other persons who provide bona fide services to the Company or its affiliates as a consultant or advisor, which are not in connection with the offer and sale of securities in a capital-raising transaction, and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268605</wp:posOffset>
            </wp:positionV>
            <wp:extent cx="291465" cy="2743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bl>
    <w:p>
      <w:pPr>
        <w:sectPr>
          <w:pgSz w:w="11900" w:h="16838" w:orient="portrait"/>
          <w:cols w:equalWidth="0" w:num="1">
            <w:col w:w="10580"/>
          </w:cols>
          <w:pgMar w:left="320" w:top="459" w:right="9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926205"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926205"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48" w:lineRule="exact"/>
        <w:rPr>
          <w:sz w:val="20"/>
          <w:szCs w:val="20"/>
          <w:color w:val="auto"/>
        </w:rPr>
      </w:pPr>
    </w:p>
    <w:p>
      <w:pPr>
        <w:ind w:left="1360" w:right="120"/>
        <w:spacing w:after="0" w:line="260" w:lineRule="auto"/>
        <w:rPr>
          <w:sz w:val="20"/>
          <w:szCs w:val="20"/>
          <w:color w:val="auto"/>
        </w:rPr>
      </w:pPr>
      <w:r>
        <w:rPr>
          <w:rFonts w:ascii="Arial" w:cs="Arial" w:eastAsia="Arial" w:hAnsi="Arial"/>
          <w:sz w:val="16"/>
          <w:szCs w:val="16"/>
          <w:color w:val="auto"/>
        </w:rPr>
        <w:t>not, directly or indirectly, promote or maintain a market for the Company’s or its affiliates’ securities, and who are designated as eligible by the Committee, and</w:t>
      </w:r>
    </w:p>
    <w:p>
      <w:pPr>
        <w:spacing w:after="0" w:line="101" w:lineRule="exact"/>
        <w:rPr>
          <w:sz w:val="20"/>
          <w:szCs w:val="20"/>
          <w:color w:val="auto"/>
        </w:rPr>
      </w:pPr>
    </w:p>
    <w:p>
      <w:pPr>
        <w:ind w:left="1360" w:right="120" w:hanging="288"/>
        <w:spacing w:after="0" w:line="260" w:lineRule="auto"/>
        <w:tabs>
          <w:tab w:leader="none" w:pos="1360" w:val="left"/>
        </w:tabs>
        <w:numPr>
          <w:ilvl w:val="0"/>
          <w:numId w:val="85"/>
        </w:numPr>
        <w:rPr>
          <w:rFonts w:ascii="Arial" w:cs="Arial" w:eastAsia="Arial" w:hAnsi="Arial"/>
          <w:sz w:val="16"/>
          <w:szCs w:val="16"/>
          <w:color w:val="005CB9"/>
        </w:rPr>
      </w:pPr>
      <w:r>
        <w:rPr>
          <w:rFonts w:ascii="Arial" w:cs="Arial" w:eastAsia="Arial" w:hAnsi="Arial"/>
          <w:sz w:val="16"/>
          <w:szCs w:val="16"/>
          <w:color w:val="auto"/>
        </w:rPr>
        <w:t>prospective employees of the Company or its affiliates, although such individuals may not receive any payment or exercise any rights relating to awards until they have actually commenced employment.</w:t>
      </w:r>
    </w:p>
    <w:p>
      <w:pPr>
        <w:spacing w:after="0" w:line="195" w:lineRule="exact"/>
        <w:rPr>
          <w:sz w:val="20"/>
          <w:szCs w:val="20"/>
          <w:color w:val="auto"/>
        </w:rPr>
      </w:pPr>
    </w:p>
    <w:p>
      <w:pPr>
        <w:ind w:left="660" w:right="300"/>
        <w:spacing w:after="0" w:line="260" w:lineRule="auto"/>
        <w:rPr>
          <w:sz w:val="20"/>
          <w:szCs w:val="20"/>
          <w:color w:val="auto"/>
        </w:rPr>
      </w:pPr>
      <w:r>
        <w:rPr>
          <w:rFonts w:ascii="Arial" w:cs="Arial" w:eastAsia="Arial" w:hAnsi="Arial"/>
          <w:sz w:val="16"/>
          <w:szCs w:val="16"/>
          <w:color w:val="auto"/>
        </w:rPr>
        <w:t>As of the date of this proposal, approximately 2,925 employees, officers, directors and other individuals are eligible to participate in the Amended and Restated 2017 Plan.</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Grants of Awards</w:t>
      </w:r>
    </w:p>
    <w:p>
      <w:pPr>
        <w:spacing w:after="0" w:line="129"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Pursuant to the Amended and Restated 2017 Plan, the Committee may grant awards of non-qualified stock options, incentive stock options, stock appreciation rights, restricted stock, restricted stock units, performance awards (including cash-based performance awards), and other stock-based awards. Awards will vest in accordance with the terms of the applicable award agreement. In addition, other than with respect to a “substitute award” (as such term is defined in the Amended and Restated 2017 Plan), and except with respect to a maximum of 5% of the shares authorized for grant under the Amended and Restated 2017 Plan, no award of options or stock appreciation rights granted under the Amended and Restated 2017 Plan may vest over a period that is less than one year from the date of grant, except that the foregoing minimum vesting period will not apply in the event of a participant’s termination of employment without “cause,” a participant’s termination of employment due to “retirement” (as such term is defined in the Amended and Restated 2017 Plan), death or disability, or a “corporate event,” subject to the Amended and Restated 2017 Plan’s double-trigger vesting limitation.</w:t>
      </w:r>
    </w:p>
    <w:p>
      <w:pPr>
        <w:spacing w:after="0" w:line="206" w:lineRule="exact"/>
        <w:rPr>
          <w:sz w:val="20"/>
          <w:szCs w:val="20"/>
          <w:color w:val="auto"/>
        </w:rPr>
      </w:pPr>
    </w:p>
    <w:p>
      <w:pPr>
        <w:ind w:left="660" w:right="120"/>
        <w:spacing w:after="0" w:line="251"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The Company has not recently granted stock options to anyone, including the Company’s “named executive officers,” and has no present intention to grant stock options in the near term. However, to maintain maximum flexibility, the Amended and Restated 2017 Plan allows the grant of both incentive stock options, within the meaning of Section 422(b) of the Code, and non-qualified stock options.</w:t>
      </w:r>
    </w:p>
    <w:p>
      <w:pPr>
        <w:spacing w:after="0" w:line="202" w:lineRule="exact"/>
        <w:rPr>
          <w:sz w:val="20"/>
          <w:szCs w:val="20"/>
          <w:color w:val="auto"/>
        </w:rPr>
      </w:pPr>
    </w:p>
    <w:p>
      <w:pPr>
        <w:jc w:val="both"/>
        <w:ind w:left="660" w:right="220"/>
        <w:spacing w:after="0" w:line="251" w:lineRule="auto"/>
        <w:rPr>
          <w:sz w:val="20"/>
          <w:szCs w:val="20"/>
          <w:color w:val="auto"/>
        </w:rPr>
      </w:pPr>
      <w:r>
        <w:rPr>
          <w:rFonts w:ascii="Arial" w:cs="Arial" w:eastAsia="Arial" w:hAnsi="Arial"/>
          <w:sz w:val="16"/>
          <w:szCs w:val="16"/>
          <w:color w:val="auto"/>
        </w:rPr>
        <w:t>A stock option granted under the Amended and Restated 2017 Plan provides a participant with the right to purchase, within a specified period of time, a stated number of shares of common stock at the price specified in the applicable award agreement. The exercise price applicable to a stock option will be set by the Committee at the time of grant and will not be less than the fair market value of a share of common stock on the date of grant.</w:t>
      </w:r>
    </w:p>
    <w:p>
      <w:pPr>
        <w:spacing w:after="0" w:line="202" w:lineRule="exact"/>
        <w:rPr>
          <w:sz w:val="20"/>
          <w:szCs w:val="20"/>
          <w:color w:val="auto"/>
        </w:rPr>
      </w:pPr>
    </w:p>
    <w:p>
      <w:pPr>
        <w:ind w:left="660" w:right="40"/>
        <w:spacing w:after="0" w:line="250" w:lineRule="auto"/>
        <w:rPr>
          <w:sz w:val="20"/>
          <w:szCs w:val="20"/>
          <w:color w:val="auto"/>
        </w:rPr>
      </w:pPr>
      <w:r>
        <w:rPr>
          <w:rFonts w:ascii="Arial" w:cs="Arial" w:eastAsia="Arial" w:hAnsi="Arial"/>
          <w:sz w:val="16"/>
          <w:szCs w:val="16"/>
          <w:color w:val="auto"/>
        </w:rPr>
        <w:t>The maximum term of a stock option granted under the Amended and Restated 2017 Plan is 10 years from the date of grant (or five years in the case of an incentive stock option granted to a 10% shareholder). Payment of the exercise price of a stock option may be made in a manner approved by the Committee, which may include any of the following payment methods: cash, shares of common stock, pursuant to a broker-assisted cashless exercise in accordance with procedures approved by the Committee, pursuant to a delivery of a notice of “net exercise,” or in any other form of consideration approved by the Committee.</w:t>
      </w:r>
    </w:p>
    <w:p>
      <w:pPr>
        <w:spacing w:after="0" w:line="203"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The Amended and Restated 2017 Plan provides that participants whose employment is terminated (i) for “cause” (as such term is defined in the Amended and Restated 2017 Plan), or (ii) due to the participant’s voluntary termination (including “retirement”) after the occurrence of an event that would be grounds for a termination for “cause,” will forfeit all of their stock options, whether or not vested. Participants terminated for any other reason will forfeit their unvested stock options and retain their vested stock options, and will have one year (in the case of a termination by reason of “retirement,” death or disability) or 90 days (in all other cases) following their termination date to exercise their vested stock options. In addition, if a participant dies within any such post-termination exercise period, all vested stock options will be exercisable by the person(s) to whom such participant’s rights under the stock options pass by will or by the applicable laws of descent and distribution until 12 months following the date of death. The Committee may also exercise its discretion to provide for different treatment of stock options upon termination.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incentive stock options may be granted under the Amended and Restated 2017 Plan following the 10th anniversary of the earlier of</w:t>
      </w:r>
    </w:p>
    <w:p>
      <w:pPr>
        <w:spacing w:after="0" w:line="5" w:lineRule="exact"/>
        <w:rPr>
          <w:sz w:val="20"/>
          <w:szCs w:val="20"/>
          <w:color w:val="auto"/>
        </w:rPr>
      </w:pPr>
    </w:p>
    <w:p>
      <w:pPr>
        <w:ind w:left="660" w:right="680" w:firstLine="9"/>
        <w:spacing w:after="0" w:line="260" w:lineRule="auto"/>
        <w:tabs>
          <w:tab w:leader="none" w:pos="84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date the Amended and Restated 2017 Plan was adopted by the Board of Directors and (ii) the date the shareholders of the Company approve the Amended and Restated 2017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268605</wp:posOffset>
            </wp:positionV>
            <wp:extent cx="291465" cy="2743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74</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205740</wp:posOffset>
            </wp:positionV>
            <wp:extent cx="3985895"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985895" cy="137160"/>
                    </a:xfrm>
                    <a:prstGeom prst="rect">
                      <a:avLst/>
                    </a:prstGeom>
                    <a:noFill/>
                  </pic:spPr>
                </pic:pic>
              </a:graphicData>
            </a:graphic>
          </wp:anchor>
        </w:drawing>
      </w:r>
    </w:p>
    <w:p>
      <w:pPr>
        <w:spacing w:after="0" w:line="33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48"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 The Company has not recently granted stock appreciation rights to anyone, including the Company’s “named executive officers,” and has no present intention to grant stock appreciation rights in the near term. However, to maintain maximum flexibility, the Amended and Restated 2017 Plan allows the grant of stock appreciation rights. A stock appreciation right is a conditional right to receive an amount equal to the value of the appreciation in the shares of common stock over a specified period. Stock appreciation rights may be settled in shares of common stock, cash or other property, as specified in the award agreement or as determined by the Committee. The base price applicable to a stock appreciation right will be set by the Committee at the time of grant and will not be less than the fair market value of a share of common stock on the date of grant.</w:t>
      </w:r>
    </w:p>
    <w:p>
      <w:pPr>
        <w:spacing w:after="0" w:line="208"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color w:val="auto"/>
        </w:rPr>
        <w:t>The maximum term of a stock appreciation right granted under the Amended and Restated 2017 Plan is 10 years from the date of grant. Upon exercise of a stock appreciation right, payment in respect of such stock appreciation right may be made in cash, shares of common stock, or property as specified in the applicable award agreement or as determined by the Committee, in each case having a value in respect of each share of common stock underlying the portion of the stock appreciation right so exercised, equal to the difference between the base price of such stock appreciation right and the fair market value of a share of common stock on the exercise date.</w:t>
      </w:r>
    </w:p>
    <w:p>
      <w:pPr>
        <w:spacing w:after="0" w:line="203" w:lineRule="exact"/>
        <w:rPr>
          <w:sz w:val="20"/>
          <w:szCs w:val="20"/>
          <w:color w:val="auto"/>
        </w:rPr>
      </w:pPr>
    </w:p>
    <w:p>
      <w:pPr>
        <w:ind w:left="660" w:right="60"/>
        <w:spacing w:after="0" w:line="248" w:lineRule="auto"/>
        <w:rPr>
          <w:sz w:val="20"/>
          <w:szCs w:val="20"/>
          <w:color w:val="auto"/>
        </w:rPr>
      </w:pPr>
      <w:r>
        <w:rPr>
          <w:rFonts w:ascii="Arial" w:cs="Arial" w:eastAsia="Arial" w:hAnsi="Arial"/>
          <w:sz w:val="16"/>
          <w:szCs w:val="16"/>
          <w:color w:val="auto"/>
        </w:rPr>
        <w:t>The Amended and Restated 2017 Plan provides that participants whose employment is terminated (i) for “cause,” or (ii) due to the participant’s voluntary termination (including “retirement”) after the occurrence of an event that would be grounds for a termination for “cause,” will forfeit all of their stock appreciation rights, whether or not vested. Participants terminated for any other reason will forfeit their unvested stock appreciation rights and retain their vested stock appreciation rights, and will have one year (in the case of a termination by reason of “retirement,” death or disability) or 90 days (in all other cases) following their termination date to exercise their vested stock appreciation rights. In addition, if a participant dies within any such post-termination exercise period, all vested stock appreciation rights will be exercisable by the person(s) to whom such participant’s rights under the stock appreciation rights pass by will or by the applicable laws of descent and distribution until 12 months following the date of death. The Committee may also exercise its discretion to provide for different treatment of stock appreciation rights upon termination.</w:t>
      </w:r>
    </w:p>
    <w:p>
      <w:pPr>
        <w:spacing w:after="0" w:line="190" w:lineRule="exact"/>
        <w:rPr>
          <w:sz w:val="20"/>
          <w:szCs w:val="20"/>
          <w:color w:val="auto"/>
        </w:rPr>
      </w:pPr>
    </w:p>
    <w:p>
      <w:pPr>
        <w:ind w:left="660" w:right="100"/>
        <w:spacing w:after="0" w:line="263" w:lineRule="auto"/>
        <w:rPr>
          <w:sz w:val="20"/>
          <w:szCs w:val="20"/>
          <w:color w:val="auto"/>
        </w:rPr>
      </w:pPr>
      <w:r>
        <w:rPr>
          <w:rFonts w:ascii="Arial" w:cs="Arial" w:eastAsia="Arial" w:hAnsi="Arial"/>
          <w:sz w:val="16"/>
          <w:szCs w:val="16"/>
          <w:u w:val="single" w:color="auto"/>
          <w:color w:val="auto"/>
        </w:rPr>
        <w:t>Restricted Stock</w:t>
      </w:r>
      <w:r>
        <w:rPr>
          <w:rFonts w:ascii="Arial" w:cs="Arial" w:eastAsia="Arial" w:hAnsi="Arial"/>
          <w:sz w:val="16"/>
          <w:szCs w:val="16"/>
          <w:i w:val="1"/>
          <w:iCs w:val="1"/>
          <w:color w:val="auto"/>
        </w:rPr>
        <w:t>.</w:t>
      </w:r>
      <w:r>
        <w:rPr>
          <w:rFonts w:ascii="Arial" w:cs="Arial" w:eastAsia="Arial" w:hAnsi="Arial"/>
          <w:sz w:val="16"/>
          <w:szCs w:val="16"/>
          <w:color w:val="auto"/>
        </w:rPr>
        <w:t xml:space="preserve"> An award of restricted stock is a grant of shares of common stock which are subject to limitations on transfer during a restricted period established in the applicable award agreement. Holders of restricted stock will generally have the rights and privileges of a shareholder with respect to their restricted stock.</w:t>
      </w:r>
    </w:p>
    <w:p>
      <w:pPr>
        <w:spacing w:after="0" w:line="194" w:lineRule="exact"/>
        <w:rPr>
          <w:sz w:val="20"/>
          <w:szCs w:val="20"/>
          <w:color w:val="auto"/>
        </w:rPr>
      </w:pPr>
    </w:p>
    <w:p>
      <w:pPr>
        <w:ind w:left="660" w:right="240"/>
        <w:spacing w:after="0" w:line="251" w:lineRule="auto"/>
        <w:rPr>
          <w:sz w:val="20"/>
          <w:szCs w:val="20"/>
          <w:color w:val="auto"/>
        </w:rPr>
      </w:pPr>
      <w:r>
        <w:rPr>
          <w:rFonts w:ascii="Arial" w:cs="Arial" w:eastAsia="Arial" w:hAnsi="Arial"/>
          <w:sz w:val="16"/>
          <w:szCs w:val="16"/>
          <w:color w:val="auto"/>
        </w:rPr>
        <w:t>Except as otherwise provided by the Committee, in the event a participant is terminated for any reason, the vesting of the participant’s restricted stock will cease, and as soon as practicable following the termination, the Company will repurchase all of such participant’s unvested shares of restricted stock at a purchase price equal to the original purchase price paid for the restricted stock, or if the original purchase price was $0, the unvested shares of restricted stock will be forfeited to the Company by the participant for no consideration.</w:t>
      </w:r>
    </w:p>
    <w:p>
      <w:pPr>
        <w:spacing w:after="0" w:line="186" w:lineRule="exact"/>
        <w:rPr>
          <w:sz w:val="20"/>
          <w:szCs w:val="20"/>
          <w:color w:val="auto"/>
        </w:rPr>
      </w:pPr>
    </w:p>
    <w:p>
      <w:pPr>
        <w:ind w:left="660" w:right="60"/>
        <w:spacing w:after="0" w:line="258" w:lineRule="auto"/>
        <w:rPr>
          <w:sz w:val="20"/>
          <w:szCs w:val="20"/>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i w:val="1"/>
          <w:iCs w:val="1"/>
          <w:color w:val="auto"/>
        </w:rPr>
        <w:t>.</w:t>
      </w:r>
      <w:r>
        <w:rPr>
          <w:rFonts w:ascii="Arial" w:cs="Arial" w:eastAsia="Arial" w:hAnsi="Arial"/>
          <w:sz w:val="16"/>
          <w:szCs w:val="16"/>
          <w:color w:val="auto"/>
        </w:rPr>
        <w:t xml:space="preserve"> A restricted stock unit is a notional unit representing the right to receive one share of common stock (or the cash value of one share of common stock) on a specified settlement date. When a participant satisfies the conditions of the restricted stock unit award established by the Committee in the applicable award agreement, the award will be settled in shares of common stock, cash or property, as determined by the Committee in its discretion.</w:t>
      </w:r>
    </w:p>
    <w:p>
      <w:pPr>
        <w:spacing w:after="0" w:line="197" w:lineRule="exact"/>
        <w:rPr>
          <w:sz w:val="20"/>
          <w:szCs w:val="20"/>
          <w:color w:val="auto"/>
        </w:rPr>
      </w:pPr>
    </w:p>
    <w:p>
      <w:pPr>
        <w:ind w:left="660" w:right="120"/>
        <w:spacing w:after="0" w:line="251" w:lineRule="auto"/>
        <w:rPr>
          <w:sz w:val="20"/>
          <w:szCs w:val="20"/>
          <w:color w:val="auto"/>
        </w:rPr>
      </w:pPr>
      <w:r>
        <w:rPr>
          <w:rFonts w:ascii="Arial" w:cs="Arial" w:eastAsia="Arial" w:hAnsi="Arial"/>
          <w:sz w:val="16"/>
          <w:szCs w:val="16"/>
          <w:color w:val="auto"/>
        </w:rPr>
        <w:t>Except as otherwise provided by the Committee, in the event a participant is terminated for any reason, the vesting with respect to the participant’s restricted stock units will cease, all of the participant’s unvested restricted stock units will be forfeited for no consideration as of the date of such termination, and any shares of common stock remaining undelivered with respect to the participant’s vested restricted stock units will be delivered on the delivery date or dates specified in the applicable award agreement.</w:t>
      </w:r>
    </w:p>
    <w:p>
      <w:pPr>
        <w:spacing w:after="0" w:line="186" w:lineRule="exact"/>
        <w:rPr>
          <w:sz w:val="20"/>
          <w:szCs w:val="20"/>
          <w:color w:val="auto"/>
        </w:rPr>
      </w:pPr>
    </w:p>
    <w:p>
      <w:pPr>
        <w:ind w:left="660" w:right="780"/>
        <w:spacing w:after="0" w:line="281" w:lineRule="auto"/>
        <w:rPr>
          <w:sz w:val="20"/>
          <w:szCs w:val="20"/>
          <w:color w:val="auto"/>
        </w:rPr>
      </w:pPr>
      <w:r>
        <w:rPr>
          <w:rFonts w:ascii="Arial" w:cs="Arial" w:eastAsia="Arial" w:hAnsi="Arial"/>
          <w:sz w:val="16"/>
          <w:szCs w:val="16"/>
          <w:u w:val="single" w:color="auto"/>
          <w:color w:val="auto"/>
        </w:rPr>
        <w:t>Performance Awards</w:t>
      </w:r>
      <w:r>
        <w:rPr>
          <w:rFonts w:ascii="Arial" w:cs="Arial" w:eastAsia="Arial" w:hAnsi="Arial"/>
          <w:sz w:val="16"/>
          <w:szCs w:val="16"/>
          <w:i w:val="1"/>
          <w:iCs w:val="1"/>
          <w:color w:val="auto"/>
        </w:rPr>
        <w:t>.</w:t>
      </w:r>
      <w:r>
        <w:rPr>
          <w:rFonts w:ascii="Arial" w:cs="Arial" w:eastAsia="Arial" w:hAnsi="Arial"/>
          <w:sz w:val="16"/>
          <w:szCs w:val="16"/>
          <w:color w:val="auto"/>
        </w:rPr>
        <w:t xml:space="preserve"> A performance award (which may be classified as a performance share, performance unit or cash award) represents the right to receive certain amounts based on the achievement of pre-determined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258445</wp:posOffset>
            </wp:positionV>
            <wp:extent cx="291465" cy="274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75</w:t>
            </w:r>
          </w:p>
        </w:tc>
      </w:tr>
    </w:tbl>
    <w:p>
      <w:pPr>
        <w:sectPr>
          <w:pgSz w:w="11900" w:h="16838" w:orient="portrait"/>
          <w:cols w:equalWidth="0" w:num="1">
            <w:col w:w="10580"/>
          </w:cols>
          <w:pgMar w:left="320" w:top="459" w:right="9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926205" cy="1371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926205"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48" w:lineRule="exact"/>
        <w:rPr>
          <w:sz w:val="20"/>
          <w:szCs w:val="20"/>
          <w:color w:val="auto"/>
        </w:rPr>
      </w:pPr>
    </w:p>
    <w:p>
      <w:pPr>
        <w:ind w:left="660" w:right="480"/>
        <w:spacing w:after="0" w:line="260" w:lineRule="auto"/>
        <w:rPr>
          <w:sz w:val="20"/>
          <w:szCs w:val="20"/>
          <w:color w:val="auto"/>
        </w:rPr>
      </w:pPr>
      <w:r>
        <w:rPr>
          <w:rFonts w:ascii="Arial" w:cs="Arial" w:eastAsia="Arial" w:hAnsi="Arial"/>
          <w:sz w:val="16"/>
          <w:szCs w:val="16"/>
          <w:color w:val="auto"/>
        </w:rPr>
        <w:t>performance goals during a designated performance period. The terms of each performance award will be set forth in the applicable award agreement. The Committee will be responsible for setting the applicable performance goals.</w:t>
      </w:r>
    </w:p>
    <w:p>
      <w:pPr>
        <w:spacing w:after="0" w:line="195"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Performance goals may be established on a Company-wide basis, project or geographical basis or, as the context permits, with respect to one or more business units, divisions, lines of business or business segments, subsidiaries, products, regions, or other operational units or departments of the Company (or in combination thereof) or may be related to the performance of an individual participant and may be expressed in absolute terms, or relative or comparative to (i) current internal targets or budgets, (ii) the past performance of the Company (including the performance of one or more subsidiaries, divisions, or operating units), (iii) the performance of one or more similarly situated companies, (iv) the performance of an index covering multiple companies, or (v) other external measures of the selected performance criteria.</w:t>
      </w:r>
    </w:p>
    <w:p>
      <w:pPr>
        <w:spacing w:after="0" w:line="208"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The Committee, in its sole discretion, will make appropriate adjustments in the method of calculating the attainment of applicable performance goals to provide for objectively determinable adjustments, modifications or amendments to any of the business criteria described above, including, without limitation, for one or more of the following items of gain, loss, profit or expense: (i) determined to be items of an unusual nature or of infrequency of occurrence or non-recurring in nature; (ii) related to changes in accounting principles under “generally accepted accounting principles” or tax laws; (iii) related to currency fluctuations; (iv) related to financing activities (e.g., effect on earnings per share of issuing convertible debt securities); (v) related to restructuring, divestitures, productivity initiatives or new business initiatives; (vi) related to discontinued operations that do not qualify as a segment of business under “generally accepted accounting principles”; (vii) attributable to the business operations of any entity acquired by the Company during the fiscal year; (viii) non-operating items; and (ix) acquisition or divestiture expenses.</w:t>
      </w:r>
    </w:p>
    <w:p>
      <w:pPr>
        <w:spacing w:after="0" w:line="206" w:lineRule="exact"/>
        <w:rPr>
          <w:sz w:val="20"/>
          <w:szCs w:val="20"/>
          <w:color w:val="auto"/>
        </w:rPr>
      </w:pPr>
    </w:p>
    <w:p>
      <w:pPr>
        <w:ind w:left="660" w:right="20"/>
        <w:spacing w:after="0" w:line="251" w:lineRule="auto"/>
        <w:rPr>
          <w:sz w:val="20"/>
          <w:szCs w:val="20"/>
          <w:color w:val="auto"/>
        </w:rPr>
      </w:pPr>
      <w:r>
        <w:rPr>
          <w:rFonts w:ascii="Arial" w:cs="Arial" w:eastAsia="Arial" w:hAnsi="Arial"/>
          <w:sz w:val="16"/>
          <w:szCs w:val="16"/>
          <w:color w:val="auto"/>
        </w:rPr>
        <w:t>Performance awards that have been earned as a result of the relevant performance goals being achieved may be paid in the form of cash, common stock or other awards under the Amended and Restated 2017 Plan (or some combination thereof). Except as otherwise provided by the Committee, if a participant is terminated for any reason prior to the end of an applicable performance period, the participant will forfeit all performance awards held by such participant.</w:t>
      </w:r>
    </w:p>
    <w:p>
      <w:pPr>
        <w:spacing w:after="0" w:line="186" w:lineRule="exact"/>
        <w:rPr>
          <w:sz w:val="20"/>
          <w:szCs w:val="20"/>
          <w:color w:val="auto"/>
        </w:rPr>
      </w:pPr>
    </w:p>
    <w:p>
      <w:pPr>
        <w:ind w:left="660" w:right="320"/>
        <w:spacing w:after="0" w:line="263" w:lineRule="auto"/>
        <w:rPr>
          <w:sz w:val="20"/>
          <w:szCs w:val="20"/>
          <w:color w:val="auto"/>
        </w:rPr>
      </w:pPr>
      <w:r>
        <w:rPr>
          <w:rFonts w:ascii="Arial" w:cs="Arial" w:eastAsia="Arial" w:hAnsi="Arial"/>
          <w:sz w:val="16"/>
          <w:szCs w:val="16"/>
          <w:u w:val="single" w:color="auto"/>
          <w:color w:val="auto"/>
        </w:rPr>
        <w:t>Other Stock-Based Awards</w:t>
      </w:r>
      <w:r>
        <w:rPr>
          <w:rFonts w:ascii="Arial" w:cs="Arial" w:eastAsia="Arial" w:hAnsi="Arial"/>
          <w:sz w:val="16"/>
          <w:szCs w:val="16"/>
          <w:i w:val="1"/>
          <w:iCs w:val="1"/>
          <w:color w:val="auto"/>
        </w:rPr>
        <w:t>.</w:t>
      </w:r>
      <w:r>
        <w:rPr>
          <w:rFonts w:ascii="Arial" w:cs="Arial" w:eastAsia="Arial" w:hAnsi="Arial"/>
          <w:sz w:val="16"/>
          <w:szCs w:val="16"/>
          <w:color w:val="auto"/>
        </w:rPr>
        <w:t xml:space="preserve"> The Amended and Restated 2017 Plan authorizes the Committee to grant other awards that may be denominated in, payable in, valued in, or otherwise related to the Company’s common stock. Such awards and the terms applicable to such awards will be set forth in award agreements.</w:t>
      </w:r>
    </w:p>
    <w:p>
      <w:pPr>
        <w:spacing w:after="0" w:line="194" w:lineRule="exact"/>
        <w:rPr>
          <w:sz w:val="20"/>
          <w:szCs w:val="20"/>
          <w:color w:val="auto"/>
        </w:rPr>
      </w:pPr>
    </w:p>
    <w:p>
      <w:pPr>
        <w:ind w:left="660" w:right="20"/>
        <w:spacing w:after="0" w:line="246" w:lineRule="auto"/>
        <w:rPr>
          <w:sz w:val="20"/>
          <w:szCs w:val="20"/>
          <w:color w:val="auto"/>
        </w:rPr>
      </w:pPr>
      <w:r>
        <w:rPr>
          <w:rFonts w:ascii="Arial" w:cs="Arial" w:eastAsia="Arial" w:hAnsi="Arial"/>
          <w:sz w:val="16"/>
          <w:szCs w:val="16"/>
          <w:u w:val="single" w:color="auto"/>
          <w:color w:val="auto"/>
        </w:rPr>
        <w:t>Treatment of Dividends and Dividend Equivalents on Unvested Awards</w:t>
      </w:r>
      <w:r>
        <w:rPr>
          <w:rFonts w:ascii="Arial" w:cs="Arial" w:eastAsia="Arial" w:hAnsi="Arial"/>
          <w:sz w:val="16"/>
          <w:szCs w:val="16"/>
          <w:color w:val="auto"/>
        </w:rPr>
        <w:t>. The Amended and Restated 2017 Plan provides that, with respect to any award that provides for or includes a right to dividends or dividend equivalents, if dividends are declared during the period that an equity award is outstanding, such dividends (or dividend equivalents) will either (i) not be paid or credited with respect to such award or</w:t>
      </w:r>
    </w:p>
    <w:p>
      <w:pPr>
        <w:spacing w:after="0" w:line="1" w:lineRule="exact"/>
        <w:rPr>
          <w:sz w:val="20"/>
          <w:szCs w:val="20"/>
          <w:color w:val="auto"/>
        </w:rPr>
      </w:pPr>
    </w:p>
    <w:p>
      <w:pPr>
        <w:jc w:val="both"/>
        <w:ind w:left="660" w:right="260" w:firstLine="7"/>
        <w:spacing w:after="0" w:line="251" w:lineRule="auto"/>
        <w:tabs>
          <w:tab w:leader="none" w:pos="885" w:val="left"/>
        </w:tabs>
        <w:numPr>
          <w:ilvl w:val="0"/>
          <w:numId w:val="87"/>
        </w:numPr>
        <w:rPr>
          <w:rFonts w:ascii="Arial" w:cs="Arial" w:eastAsia="Arial" w:hAnsi="Arial"/>
          <w:sz w:val="16"/>
          <w:szCs w:val="16"/>
          <w:color w:val="auto"/>
        </w:rPr>
      </w:pPr>
      <w:r>
        <w:rPr>
          <w:rFonts w:ascii="Arial" w:cs="Arial" w:eastAsia="Arial" w:hAnsi="Arial"/>
          <w:sz w:val="16"/>
          <w:szCs w:val="16"/>
          <w:color w:val="auto"/>
        </w:rPr>
        <w:t>be accumulated but remain subject to vesting requirement(s) to the same extent as the applicable award and will only be paid at the time or times such vesting requirement(s) are satisfied. Except as otherwise determined by the Committee, no interest will accrue or be paid on the amount of any cash dividends withheld. No dividends or dividend equivalents will be paid on options or stock appreciation rights.</w:t>
      </w:r>
    </w:p>
    <w:p>
      <w:pPr>
        <w:spacing w:after="0" w:line="202" w:lineRule="exact"/>
        <w:rPr>
          <w:sz w:val="20"/>
          <w:szCs w:val="20"/>
          <w:color w:val="auto"/>
        </w:rPr>
      </w:pPr>
    </w:p>
    <w:p>
      <w:pPr>
        <w:ind w:left="660" w:right="140"/>
        <w:spacing w:after="0" w:line="246" w:lineRule="auto"/>
        <w:rPr>
          <w:sz w:val="20"/>
          <w:szCs w:val="20"/>
          <w:color w:val="auto"/>
        </w:rPr>
      </w:pPr>
      <w:r>
        <w:rPr>
          <w:rFonts w:ascii="Arial" w:cs="Arial" w:eastAsia="Arial" w:hAnsi="Arial"/>
          <w:sz w:val="16"/>
          <w:szCs w:val="16"/>
          <w:u w:val="single" w:color="auto"/>
          <w:color w:val="auto"/>
        </w:rPr>
        <w:t>Detrimental Activity</w:t>
      </w:r>
      <w:r>
        <w:rPr>
          <w:rFonts w:ascii="Arial" w:cs="Arial" w:eastAsia="Arial" w:hAnsi="Arial"/>
          <w:sz w:val="16"/>
          <w:szCs w:val="16"/>
          <w:color w:val="auto"/>
        </w:rPr>
        <w:t>. Unless otherwise determined by the Committee at the time of grant, the award agreements will provide that (i) in the event that a participant engages in “detrimental activity” (as such term is defined in the Amended and Restated 2017 Plan) prior to the vesting of any “full value award” or the exercise of any “exercisable award,” all awards held by such participant will terminate and expire,</w:t>
      </w:r>
    </w:p>
    <w:p>
      <w:pPr>
        <w:spacing w:after="0" w:line="1" w:lineRule="exact"/>
        <w:rPr>
          <w:sz w:val="20"/>
          <w:szCs w:val="20"/>
          <w:color w:val="auto"/>
        </w:rPr>
      </w:pPr>
    </w:p>
    <w:p>
      <w:pPr>
        <w:ind w:left="660" w:firstLine="7"/>
        <w:spacing w:after="0" w:line="250" w:lineRule="auto"/>
        <w:tabs>
          <w:tab w:leader="none" w:pos="885"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 a condition of the exercise of an “exercisable award,” a participant will be required to certify in a manner acceptable to the Company (or shall be deemed to have certified) that the participant is in compliance with the terms and conditions of the Amended and Restated 2017 Plan and that the participant has not engaged in, and does not intend to engage in, any “detrimental activity,” and (iii) in the event the participant engages in “detrimental activity” during the one-year period commencing on the later of (a) the date a “full value award” vests or the date an “exercisable award” is exercised, or (b) the date of the participant’s termination date, the Company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273050</wp:posOffset>
            </wp:positionV>
            <wp:extent cx="291465" cy="2743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76</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205740</wp:posOffset>
            </wp:positionV>
            <wp:extent cx="3985895"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985895" cy="137160"/>
                    </a:xfrm>
                    <a:prstGeom prst="rect">
                      <a:avLst/>
                    </a:prstGeom>
                    <a:noFill/>
                  </pic:spPr>
                </pic:pic>
              </a:graphicData>
            </a:graphic>
          </wp:anchor>
        </w:drawing>
      </w:r>
    </w:p>
    <w:p>
      <w:pPr>
        <w:spacing w:after="0" w:line="33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48" w:lineRule="exact"/>
        <w:rPr>
          <w:sz w:val="20"/>
          <w:szCs w:val="20"/>
          <w:color w:val="auto"/>
        </w:rPr>
      </w:pPr>
    </w:p>
    <w:p>
      <w:pPr>
        <w:ind w:left="660" w:right="80"/>
        <w:spacing w:after="0" w:line="260" w:lineRule="auto"/>
        <w:rPr>
          <w:sz w:val="20"/>
          <w:szCs w:val="20"/>
          <w:color w:val="auto"/>
        </w:rPr>
      </w:pPr>
      <w:r>
        <w:rPr>
          <w:rFonts w:ascii="Arial" w:cs="Arial" w:eastAsia="Arial" w:hAnsi="Arial"/>
          <w:sz w:val="16"/>
          <w:szCs w:val="16"/>
          <w:color w:val="auto"/>
        </w:rPr>
        <w:t>be entitled to recover from the participant at any time within one year after such date, and the participant will pay over to the Company, an amount equal to any gain realized (whether at the time of vesting, exercise or thereafter).</w:t>
      </w:r>
    </w:p>
    <w:p>
      <w:pPr>
        <w:spacing w:after="0" w:line="179"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u w:val="single" w:color="auto"/>
          <w:color w:val="auto"/>
        </w:rPr>
        <w:t>Clawback; Sub-Plans</w:t>
      </w:r>
      <w:r>
        <w:rPr>
          <w:rFonts w:ascii="Arial" w:cs="Arial" w:eastAsia="Arial" w:hAnsi="Arial"/>
          <w:sz w:val="16"/>
          <w:szCs w:val="16"/>
          <w:i w:val="1"/>
          <w:iCs w:val="1"/>
          <w:color w:val="auto"/>
        </w:rPr>
        <w:t>.</w:t>
      </w:r>
      <w:r>
        <w:rPr>
          <w:rFonts w:ascii="Arial" w:cs="Arial" w:eastAsia="Arial" w:hAnsi="Arial"/>
          <w:sz w:val="16"/>
          <w:szCs w:val="16"/>
          <w:color w:val="auto"/>
        </w:rPr>
        <w:t xml:space="preserve"> All awards granted under the Amended and Restated 2017 Plan will be subject to incentive compensation clawback and recoupment policies implemented by the Board of Directors (or a committee or subcommittee of the Board of Directors) from time to time, in addition to the recoupment provisions relating to a participant’s “detrimental activity.” In addition, the Committee may adopt such procedures and sub-plans as are necessary or appropriate to permit participation in the Amended and Restated 2017 Plan by individuals who are non-U.S. nationals or are primarily employed or providing services outside the United States, and may modify the terms of any awards granted to such participants in a manner deemed by the Committee to be necessary or appropriate in order that such awards conform with the laws of the country or countries where such participants are located.</w:t>
      </w:r>
    </w:p>
    <w:p>
      <w:pPr>
        <w:spacing w:after="0" w:line="187" w:lineRule="exact"/>
        <w:rPr>
          <w:sz w:val="20"/>
          <w:szCs w:val="20"/>
          <w:color w:val="auto"/>
        </w:rPr>
      </w:pPr>
    </w:p>
    <w:p>
      <w:pPr>
        <w:ind w:left="660" w:right="20"/>
        <w:spacing w:after="0" w:line="255" w:lineRule="auto"/>
        <w:rPr>
          <w:sz w:val="20"/>
          <w:szCs w:val="20"/>
          <w:color w:val="auto"/>
        </w:rPr>
      </w:pPr>
      <w:r>
        <w:rPr>
          <w:rFonts w:ascii="Arial" w:cs="Arial" w:eastAsia="Arial" w:hAnsi="Arial"/>
          <w:sz w:val="16"/>
          <w:szCs w:val="16"/>
          <w:u w:val="single" w:color="auto"/>
          <w:color w:val="auto"/>
        </w:rPr>
        <w:t>No Repricing of Awards</w:t>
      </w:r>
      <w:r>
        <w:rPr>
          <w:rFonts w:ascii="Arial" w:cs="Arial" w:eastAsia="Arial" w:hAnsi="Arial"/>
          <w:sz w:val="16"/>
          <w:szCs w:val="16"/>
          <w:i w:val="1"/>
          <w:iCs w:val="1"/>
          <w:color w:val="auto"/>
        </w:rPr>
        <w:t>.</w:t>
      </w:r>
      <w:r>
        <w:rPr>
          <w:rFonts w:ascii="Arial" w:cs="Arial" w:eastAsia="Arial" w:hAnsi="Arial"/>
          <w:sz w:val="16"/>
          <w:szCs w:val="16"/>
          <w:color w:val="auto"/>
        </w:rPr>
        <w:t xml:space="preserve"> No awards may be repriced without shareholder approval. For purposes of the Amended and Restated 2017 Plan, “repricing” means any of the following: (i) changing the terms of the award to lower its exercise price or base price (other than on account of capital adjustments as described below under “Changes in Capital Structure”), (ii) any other action that is treated as a repricing under “generally accepted accounting principles,” and (iii) repurchasing for cash or canceling an award in exchange for another award at a time when its exercise price or base price is greater than the fair market value of the underlying common stock.</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Changes in Capital Structure</w:t>
      </w:r>
    </w:p>
    <w:p>
      <w:pPr>
        <w:spacing w:after="0" w:line="129"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In the event of (i) any change in the Company’s outstanding common stock or capital structure by reason of stock dividends, extraordinary cash dividends, stock splits, reverse stock splits, spinoffs, recapitalizations, reorganizations, mergers, amalgamations, consolidations, combinations, exchanges, or other relevant changes in capitalization, (ii) the declaration of any extraordinary dividend, or (iii) any change in applicable laws or circumstances that results or could result in the substantial dilution or enlargement of participants’ rights under the Amended and Restated 2017 Plan, the Committee will equitably and proportionately adjust or substitute, as determined by the Committee, in its sole discretion, the aggregate number of shares of common stock that may be granted pursuant to awards, the number of common stock covered by outstanding awards under the Amended and Restated 2017 Plan, the per-share price of common stock underlying outstanding awards under the Amended and Restated 2017 Plan, and, if applicable, the performance objectives that must be achieved before such performance-based award shall become earned. The Committee may, in its discretion, provide that an adjustment take the form of a cash payment to the holder of an outstanding award with respect to all or part of an outstanding award, which payment will be subject to such terms and conditions (including timing of payment(s), vesting and forfeiture conditions) as the Committee may determine in its sole discretion.</w:t>
      </w:r>
    </w:p>
    <w:p>
      <w:pPr>
        <w:spacing w:after="0" w:line="30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Corporate Events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the Amended and Restated 2017 Plan, a “corporate event” means:</w:t>
      </w:r>
    </w:p>
    <w:p>
      <w:pPr>
        <w:spacing w:after="0" w:line="127" w:lineRule="exact"/>
        <w:rPr>
          <w:sz w:val="20"/>
          <w:szCs w:val="20"/>
          <w:color w:val="auto"/>
        </w:rPr>
      </w:pPr>
    </w:p>
    <w:p>
      <w:pPr>
        <w:ind w:left="1360" w:hanging="288"/>
        <w:spacing w:after="0"/>
        <w:tabs>
          <w:tab w:leader="none" w:pos="1360" w:val="left"/>
        </w:tabs>
        <w:numPr>
          <w:ilvl w:val="0"/>
          <w:numId w:val="89"/>
        </w:numPr>
        <w:rPr>
          <w:rFonts w:ascii="Arial" w:cs="Arial" w:eastAsia="Arial" w:hAnsi="Arial"/>
          <w:sz w:val="16"/>
          <w:szCs w:val="16"/>
          <w:color w:val="005CB9"/>
        </w:rPr>
      </w:pPr>
      <w:r>
        <w:rPr>
          <w:rFonts w:ascii="Arial" w:cs="Arial" w:eastAsia="Arial" w:hAnsi="Arial"/>
          <w:sz w:val="16"/>
          <w:szCs w:val="16"/>
          <w:color w:val="auto"/>
        </w:rPr>
        <w:t>a merger, amalgamation, or consolidation involving the Company in which the Company is not the surviving corporation,</w:t>
      </w:r>
    </w:p>
    <w:p>
      <w:pPr>
        <w:spacing w:after="0" w:line="126" w:lineRule="exact"/>
        <w:rPr>
          <w:rFonts w:ascii="Arial" w:cs="Arial" w:eastAsia="Arial" w:hAnsi="Arial"/>
          <w:sz w:val="16"/>
          <w:szCs w:val="16"/>
          <w:color w:val="005CB9"/>
        </w:rPr>
      </w:pPr>
    </w:p>
    <w:p>
      <w:pPr>
        <w:ind w:left="1360" w:right="400" w:hanging="288"/>
        <w:spacing w:after="0" w:line="260" w:lineRule="auto"/>
        <w:tabs>
          <w:tab w:leader="none" w:pos="1360" w:val="left"/>
        </w:tabs>
        <w:numPr>
          <w:ilvl w:val="0"/>
          <w:numId w:val="89"/>
        </w:numPr>
        <w:rPr>
          <w:rFonts w:ascii="Arial" w:cs="Arial" w:eastAsia="Arial" w:hAnsi="Arial"/>
          <w:sz w:val="16"/>
          <w:szCs w:val="16"/>
          <w:color w:val="005CB9"/>
        </w:rPr>
      </w:pPr>
      <w:r>
        <w:rPr>
          <w:rFonts w:ascii="Arial" w:cs="Arial" w:eastAsia="Arial" w:hAnsi="Arial"/>
          <w:sz w:val="16"/>
          <w:szCs w:val="16"/>
          <w:color w:val="auto"/>
        </w:rPr>
        <w:t>a merger, amalgamation, or consolidation involving the Company in which the Company is the surviving corporation but the holders of common stock receive securities of another corporation or other property or cash,</w:t>
      </w:r>
    </w:p>
    <w:p>
      <w:pPr>
        <w:spacing w:after="0" w:line="100" w:lineRule="exact"/>
        <w:rPr>
          <w:rFonts w:ascii="Arial" w:cs="Arial" w:eastAsia="Arial" w:hAnsi="Arial"/>
          <w:sz w:val="16"/>
          <w:szCs w:val="16"/>
          <w:color w:val="005CB9"/>
        </w:rPr>
      </w:pPr>
    </w:p>
    <w:p>
      <w:pPr>
        <w:ind w:left="1360" w:hanging="288"/>
        <w:spacing w:after="0"/>
        <w:tabs>
          <w:tab w:leader="none" w:pos="1360" w:val="left"/>
        </w:tabs>
        <w:numPr>
          <w:ilvl w:val="0"/>
          <w:numId w:val="89"/>
        </w:numPr>
        <w:rPr>
          <w:rFonts w:ascii="Arial" w:cs="Arial" w:eastAsia="Arial" w:hAnsi="Arial"/>
          <w:sz w:val="16"/>
          <w:szCs w:val="16"/>
          <w:color w:val="005CB9"/>
        </w:rPr>
      </w:pPr>
      <w:r>
        <w:rPr>
          <w:rFonts w:ascii="Arial" w:cs="Arial" w:eastAsia="Arial" w:hAnsi="Arial"/>
          <w:sz w:val="16"/>
          <w:szCs w:val="16"/>
          <w:color w:val="auto"/>
        </w:rPr>
        <w:t>a “change in control”, or</w:t>
      </w:r>
    </w:p>
    <w:p>
      <w:pPr>
        <w:spacing w:after="0" w:line="126" w:lineRule="exact"/>
        <w:rPr>
          <w:rFonts w:ascii="Arial" w:cs="Arial" w:eastAsia="Arial" w:hAnsi="Arial"/>
          <w:sz w:val="16"/>
          <w:szCs w:val="16"/>
          <w:color w:val="005CB9"/>
        </w:rPr>
      </w:pPr>
    </w:p>
    <w:p>
      <w:pPr>
        <w:ind w:left="1360" w:hanging="288"/>
        <w:spacing w:after="0"/>
        <w:tabs>
          <w:tab w:leader="none" w:pos="1360" w:val="left"/>
        </w:tabs>
        <w:numPr>
          <w:ilvl w:val="0"/>
          <w:numId w:val="89"/>
        </w:numPr>
        <w:rPr>
          <w:rFonts w:ascii="Arial" w:cs="Arial" w:eastAsia="Arial" w:hAnsi="Arial"/>
          <w:sz w:val="16"/>
          <w:szCs w:val="16"/>
          <w:color w:val="005CB9"/>
        </w:rPr>
      </w:pPr>
      <w:r>
        <w:rPr>
          <w:rFonts w:ascii="Arial" w:cs="Arial" w:eastAsia="Arial" w:hAnsi="Arial"/>
          <w:sz w:val="16"/>
          <w:szCs w:val="16"/>
          <w:color w:val="auto"/>
        </w:rPr>
        <w:t>a reorganization, dissolution or liquidation of the Company.</w:t>
      </w:r>
    </w:p>
    <w:p>
      <w:pPr>
        <w:spacing w:after="0" w:line="221" w:lineRule="exact"/>
        <w:rPr>
          <w:sz w:val="20"/>
          <w:szCs w:val="20"/>
          <w:color w:val="auto"/>
        </w:rPr>
      </w:pPr>
    </w:p>
    <w:p>
      <w:pPr>
        <w:ind w:left="660" w:right="340"/>
        <w:spacing w:after="0" w:line="260" w:lineRule="auto"/>
        <w:rPr>
          <w:sz w:val="20"/>
          <w:szCs w:val="20"/>
          <w:color w:val="auto"/>
        </w:rPr>
      </w:pPr>
      <w:r>
        <w:rPr>
          <w:rFonts w:ascii="Arial" w:cs="Arial" w:eastAsia="Arial" w:hAnsi="Arial"/>
          <w:sz w:val="16"/>
          <w:szCs w:val="16"/>
          <w:color w:val="auto"/>
        </w:rPr>
        <w:t>Pursuant to the Amended and Restated 2017 Plan, in connection with a corporate event, the Committee may take any of the following actions:</w:t>
      </w:r>
    </w:p>
    <w:p>
      <w:pPr>
        <w:spacing w:after="0" w:line="101" w:lineRule="exact"/>
        <w:rPr>
          <w:sz w:val="20"/>
          <w:szCs w:val="20"/>
          <w:color w:val="auto"/>
        </w:rPr>
      </w:pPr>
    </w:p>
    <w:p>
      <w:pPr>
        <w:ind w:left="1360" w:hanging="288"/>
        <w:spacing w:after="0"/>
        <w:tabs>
          <w:tab w:leader="none" w:pos="1360" w:val="left"/>
        </w:tabs>
        <w:numPr>
          <w:ilvl w:val="0"/>
          <w:numId w:val="90"/>
        </w:numPr>
        <w:rPr>
          <w:rFonts w:ascii="Arial" w:cs="Arial" w:eastAsia="Arial" w:hAnsi="Arial"/>
          <w:sz w:val="16"/>
          <w:szCs w:val="16"/>
          <w:color w:val="005CB9"/>
        </w:rPr>
      </w:pPr>
      <w:r>
        <w:rPr>
          <w:rFonts w:ascii="Arial" w:cs="Arial" w:eastAsia="Arial" w:hAnsi="Arial"/>
          <w:sz w:val="16"/>
          <w:szCs w:val="16"/>
          <w:color w:val="auto"/>
        </w:rPr>
        <w:t>require that outstanding awards be assumed or substituted in connection with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285115</wp:posOffset>
            </wp:positionV>
            <wp:extent cx="291465" cy="2743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77</w:t>
            </w:r>
          </w:p>
        </w:tc>
      </w:tr>
    </w:tbl>
    <w:p>
      <w:pPr>
        <w:sectPr>
          <w:pgSz w:w="11900" w:h="16838" w:orient="portrait"/>
          <w:cols w:equalWidth="0" w:num="1">
            <w:col w:w="10580"/>
          </w:cols>
          <w:pgMar w:left="320" w:top="459" w:right="9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926205"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926205"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48" w:lineRule="exact"/>
        <w:rPr>
          <w:sz w:val="20"/>
          <w:szCs w:val="20"/>
          <w:color w:val="auto"/>
        </w:rPr>
      </w:pPr>
    </w:p>
    <w:p>
      <w:pPr>
        <w:ind w:left="1360" w:right="100" w:hanging="288"/>
        <w:spacing w:after="0" w:line="248" w:lineRule="auto"/>
        <w:tabs>
          <w:tab w:leader="none" w:pos="1360" w:val="left"/>
        </w:tabs>
        <w:numPr>
          <w:ilvl w:val="0"/>
          <w:numId w:val="91"/>
        </w:numPr>
        <w:rPr>
          <w:rFonts w:ascii="Arial" w:cs="Arial" w:eastAsia="Arial" w:hAnsi="Arial"/>
          <w:sz w:val="16"/>
          <w:szCs w:val="16"/>
          <w:color w:val="005CB9"/>
        </w:rPr>
      </w:pPr>
      <w:r>
        <w:rPr>
          <w:rFonts w:ascii="Arial" w:cs="Arial" w:eastAsia="Arial" w:hAnsi="Arial"/>
          <w:sz w:val="16"/>
          <w:szCs w:val="16"/>
          <w:color w:val="auto"/>
        </w:rPr>
        <w:t>accelerate the vesting of any outstanding awards not assumed or substituted in connection with such event, subject to the consummation of such event; provided that any awards that vest subject to the achievement of performance criteria will be deemed earned (i) based on actual performance through the date of the corporate event or (ii) at the target level (or if no target is specified, the maximum level), in the event actual performance cannot be measured through the date of the corporate event, in each case, with respect to any unexpired performance periods or performance periods for which satisfaction of the performance criteria or other material terms for the applicable performance period has not been certified by the Committee prior to the date of the corporate event,</w:t>
      </w:r>
    </w:p>
    <w:p>
      <w:pPr>
        <w:spacing w:after="0" w:line="113" w:lineRule="exact"/>
        <w:rPr>
          <w:rFonts w:ascii="Arial" w:cs="Arial" w:eastAsia="Arial" w:hAnsi="Arial"/>
          <w:sz w:val="16"/>
          <w:szCs w:val="16"/>
          <w:color w:val="005CB9"/>
        </w:rPr>
      </w:pPr>
    </w:p>
    <w:p>
      <w:pPr>
        <w:ind w:left="1360" w:right="140" w:hanging="288"/>
        <w:spacing w:after="0" w:line="251" w:lineRule="auto"/>
        <w:tabs>
          <w:tab w:leader="none" w:pos="1360" w:val="left"/>
        </w:tabs>
        <w:numPr>
          <w:ilvl w:val="0"/>
          <w:numId w:val="91"/>
        </w:numPr>
        <w:rPr>
          <w:rFonts w:ascii="Arial" w:cs="Arial" w:eastAsia="Arial" w:hAnsi="Arial"/>
          <w:sz w:val="16"/>
          <w:szCs w:val="16"/>
          <w:color w:val="005CB9"/>
        </w:rPr>
      </w:pPr>
      <w:r>
        <w:rPr>
          <w:rFonts w:ascii="Arial" w:cs="Arial" w:eastAsia="Arial" w:hAnsi="Arial"/>
          <w:sz w:val="16"/>
          <w:szCs w:val="16"/>
          <w:color w:val="auto"/>
        </w:rPr>
        <w:t>cancel outstanding awards not assumed or substituted in connection with such event upon the consummation of such event (whether vested or unvested) and provide award holders with the per-share consideration being received by the Company’s shareholders in connection with such event in exchange for their awards (or, with respect to a cash award, the amount payable pursuant to the award),</w:t>
      </w:r>
    </w:p>
    <w:p>
      <w:pPr>
        <w:spacing w:after="0" w:line="107" w:lineRule="exact"/>
        <w:rPr>
          <w:rFonts w:ascii="Arial" w:cs="Arial" w:eastAsia="Arial" w:hAnsi="Arial"/>
          <w:sz w:val="16"/>
          <w:szCs w:val="16"/>
          <w:color w:val="005CB9"/>
        </w:rPr>
      </w:pPr>
    </w:p>
    <w:p>
      <w:pPr>
        <w:jc w:val="both"/>
        <w:ind w:left="1360" w:right="140" w:hanging="288"/>
        <w:spacing w:after="0" w:line="253" w:lineRule="auto"/>
        <w:tabs>
          <w:tab w:leader="none" w:pos="1360" w:val="left"/>
        </w:tabs>
        <w:numPr>
          <w:ilvl w:val="0"/>
          <w:numId w:val="91"/>
        </w:numPr>
        <w:rPr>
          <w:rFonts w:ascii="Arial" w:cs="Arial" w:eastAsia="Arial" w:hAnsi="Arial"/>
          <w:sz w:val="16"/>
          <w:szCs w:val="16"/>
          <w:color w:val="005CB9"/>
        </w:rPr>
      </w:pPr>
      <w:r>
        <w:rPr>
          <w:rFonts w:ascii="Arial" w:cs="Arial" w:eastAsia="Arial" w:hAnsi="Arial"/>
          <w:sz w:val="16"/>
          <w:szCs w:val="16"/>
          <w:color w:val="auto"/>
        </w:rPr>
        <w:t>cancel all outstanding “exercisable awards” (as such term is defined in the Amended and Restated 2017 Plan), whether vested or unvested, not assumed or substituted in connection with such event as of the consummation of such event, and provide the holder at least 20 days to exercise each such “exercisable award” canceled prior to the consummation of such event, or</w:t>
      </w:r>
    </w:p>
    <w:p>
      <w:pPr>
        <w:spacing w:after="0" w:line="106" w:lineRule="exact"/>
        <w:rPr>
          <w:rFonts w:ascii="Arial" w:cs="Arial" w:eastAsia="Arial" w:hAnsi="Arial"/>
          <w:sz w:val="16"/>
          <w:szCs w:val="16"/>
          <w:color w:val="005CB9"/>
        </w:rPr>
      </w:pPr>
    </w:p>
    <w:p>
      <w:pPr>
        <w:ind w:left="1360" w:right="620" w:hanging="288"/>
        <w:spacing w:after="0" w:line="260" w:lineRule="auto"/>
        <w:tabs>
          <w:tab w:leader="none" w:pos="1360" w:val="left"/>
        </w:tabs>
        <w:numPr>
          <w:ilvl w:val="0"/>
          <w:numId w:val="91"/>
        </w:numPr>
        <w:rPr>
          <w:rFonts w:ascii="Arial" w:cs="Arial" w:eastAsia="Arial" w:hAnsi="Arial"/>
          <w:sz w:val="16"/>
          <w:szCs w:val="16"/>
          <w:color w:val="005CB9"/>
        </w:rPr>
      </w:pPr>
      <w:r>
        <w:rPr>
          <w:rFonts w:ascii="Arial" w:cs="Arial" w:eastAsia="Arial" w:hAnsi="Arial"/>
          <w:sz w:val="16"/>
          <w:szCs w:val="16"/>
          <w:color w:val="auto"/>
        </w:rPr>
        <w:t>replace outstanding awards with a cash incentive program that preserves the value of the replaced awards and contains identical vesting conditions.</w:t>
      </w:r>
    </w:p>
    <w:p>
      <w:pPr>
        <w:spacing w:after="0" w:line="195"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Pursuant to the Amended and Restated 2017 Plan, no award agreement will provide that the vesting, payment, purchase or distribution of any award that is assumed or substituted in connection with a “change in control” will be accelerated by reason of a “change in control” for any participant unless the participant’s employment is involuntarily terminated during the one-year period commencing on the “change in control.” For this purpose, a participant’s termination will be deemed to have been involuntarily terminated as a result of “change in control” if a participant (i) is involuntarily terminated other than for “cause” (including the participant’s resignation for “good reason” (or similar term)), as defined in the applicable service agreement between the participant and the Company or in a change in control, retention, severance or similar plan defining such terms in which the participant participates or (ii) is terminated under circumstances which entitle the participant to mandatory severance payment(s) pursuant to applicable law.</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Non-Transferability of Awards</w:t>
      </w:r>
    </w:p>
    <w:p>
      <w:pPr>
        <w:spacing w:after="0" w:line="129" w:lineRule="exact"/>
        <w:rPr>
          <w:sz w:val="20"/>
          <w:szCs w:val="20"/>
          <w:color w:val="auto"/>
        </w:rPr>
      </w:pPr>
    </w:p>
    <w:p>
      <w:pPr>
        <w:ind w:left="660" w:right="220"/>
        <w:spacing w:after="0" w:line="253" w:lineRule="auto"/>
        <w:rPr>
          <w:sz w:val="20"/>
          <w:szCs w:val="20"/>
          <w:color w:val="auto"/>
        </w:rPr>
      </w:pPr>
      <w:r>
        <w:rPr>
          <w:rFonts w:ascii="Arial" w:cs="Arial" w:eastAsia="Arial" w:hAnsi="Arial"/>
          <w:sz w:val="16"/>
          <w:szCs w:val="16"/>
          <w:color w:val="auto"/>
        </w:rPr>
        <w:t>Awards are generally non-transferable other than by will or the laws of descent and distribution; provided, however, that except with respect to incentive stock options, awards and a participant’s rights under the Amended and Restated 2017 Plan are transferable for no value to the extent provided in an award agreement or otherwise determined at any time by the Committee.</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Termination and Amendment</w:t>
      </w:r>
    </w:p>
    <w:p>
      <w:pPr>
        <w:spacing w:after="0" w:line="129" w:lineRule="exact"/>
        <w:rPr>
          <w:sz w:val="20"/>
          <w:szCs w:val="20"/>
          <w:color w:val="auto"/>
        </w:rPr>
      </w:pPr>
    </w:p>
    <w:p>
      <w:pPr>
        <w:ind w:left="660" w:right="200"/>
        <w:spacing w:after="0" w:line="251" w:lineRule="auto"/>
        <w:rPr>
          <w:sz w:val="20"/>
          <w:szCs w:val="20"/>
          <w:color w:val="auto"/>
        </w:rPr>
      </w:pPr>
      <w:r>
        <w:rPr>
          <w:rFonts w:ascii="Arial" w:cs="Arial" w:eastAsia="Arial" w:hAnsi="Arial"/>
          <w:sz w:val="16"/>
          <w:szCs w:val="16"/>
          <w:color w:val="auto"/>
        </w:rPr>
        <w:t>The Board of Directors or the Committee may amend or terminate the Amended and Restated 2017 Plan at any time, except that no amendment may, without shareholder approval, violate the shareholder approval requirements of the national securities exchange on which the shares of common stock are principally listed. Unless sooner terminated, the Amended and Restated 2017 Plan will terminate on the day before the 10th anniversary of the date the shareholders of the Company approve the Amended and Restated 2017 Plan.</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Certain U.S. Federal Income Tax Consequences</w:t>
      </w:r>
    </w:p>
    <w:p>
      <w:pPr>
        <w:spacing w:after="0" w:line="129" w:lineRule="exact"/>
        <w:rPr>
          <w:sz w:val="20"/>
          <w:szCs w:val="20"/>
          <w:color w:val="auto"/>
        </w:rPr>
      </w:pPr>
    </w:p>
    <w:p>
      <w:pPr>
        <w:ind w:left="660" w:right="100"/>
        <w:spacing w:after="0" w:line="251" w:lineRule="auto"/>
        <w:rPr>
          <w:sz w:val="20"/>
          <w:szCs w:val="20"/>
          <w:color w:val="auto"/>
        </w:rPr>
      </w:pPr>
      <w:r>
        <w:rPr>
          <w:rFonts w:ascii="Arial" w:cs="Arial" w:eastAsia="Arial" w:hAnsi="Arial"/>
          <w:sz w:val="16"/>
          <w:szCs w:val="16"/>
          <w:color w:val="auto"/>
        </w:rPr>
        <w:t>The following is a brief discussion of certain U.S. federal income tax consequences for awards granted under the Amended and Restated 2017 Plan. The Amended and Restated 2017 Plan is not subject to the requirements of the Employee Retirement Income Security Act of 1974, as amended, and it is not, nor is it intended to be, qualified under Section 401(a) of the Code. This discussion is based on current law, is not intended to constitute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273050</wp:posOffset>
            </wp:positionV>
            <wp:extent cx="291465" cy="2743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78</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205740</wp:posOffset>
            </wp:positionV>
            <wp:extent cx="3985895"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985895" cy="137160"/>
                    </a:xfrm>
                    <a:prstGeom prst="rect">
                      <a:avLst/>
                    </a:prstGeom>
                    <a:noFill/>
                  </pic:spPr>
                </pic:pic>
              </a:graphicData>
            </a:graphic>
          </wp:anchor>
        </w:drawing>
      </w:r>
    </w:p>
    <w:p>
      <w:pPr>
        <w:spacing w:after="0" w:line="33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48"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tax advice, and does not address all aspects of U.S. federal income taxation that may be relevant to a particular participant in light of his or her personal circumstances and does not describe foreign, state, or local tax consequences, which may be substantially different. Holders of awards under the Amended and Restated 2017 Plan are encouraged to consult with their own tax advisors.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Non-Qualified Stock Options and Stock Appreciation Rights</w:t>
      </w:r>
      <w:r>
        <w:rPr>
          <w:rFonts w:ascii="Arial" w:cs="Arial" w:eastAsia="Arial" w:hAnsi="Arial"/>
          <w:sz w:val="16"/>
          <w:szCs w:val="16"/>
          <w:i w:val="1"/>
          <w:iCs w:val="1"/>
          <w:color w:val="auto"/>
        </w:rPr>
        <w:t>.</w:t>
      </w:r>
      <w:r>
        <w:rPr>
          <w:rFonts w:ascii="Arial" w:cs="Arial" w:eastAsia="Arial" w:hAnsi="Arial"/>
          <w:sz w:val="16"/>
          <w:szCs w:val="16"/>
          <w:color w:val="auto"/>
        </w:rPr>
        <w:t xml:space="preserve"> With respect to non-qualified stock options and stock appreciation rights,</w:t>
      </w:r>
    </w:p>
    <w:p>
      <w:pPr>
        <w:spacing w:after="0" w:line="21" w:lineRule="exact"/>
        <w:rPr>
          <w:sz w:val="20"/>
          <w:szCs w:val="20"/>
          <w:color w:val="auto"/>
        </w:rPr>
      </w:pPr>
    </w:p>
    <w:p>
      <w:pPr>
        <w:ind w:left="660" w:firstLine="9"/>
        <w:spacing w:after="0" w:line="249" w:lineRule="auto"/>
        <w:tabs>
          <w:tab w:leader="none" w:pos="846"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 income is realized by a participant at the time the award is granted; (ii) generally, at exercise, ordinary income is realized by the participant in an amount equal to the difference between the exercise or base price paid for the stock and the fair market value of the stock on the date of exercise, and the participant’s employer is generally entitled to a tax deduction in the same amount subject to applicable tax withholding requirements; and (iii) upon a subsequent sale of the stock received on exercise, appreciation (or depreciation) after the date of exercise is treated as either short-term or long-term capital gain (or loss) depending on how long the stock has been held, and no deduction will be allowed to such participant’s employer.</w:t>
      </w:r>
    </w:p>
    <w:p>
      <w:pPr>
        <w:spacing w:after="0" w:line="189" w:lineRule="exact"/>
        <w:rPr>
          <w:sz w:val="20"/>
          <w:szCs w:val="20"/>
          <w:color w:val="auto"/>
        </w:rPr>
      </w:pPr>
    </w:p>
    <w:p>
      <w:pPr>
        <w:ind w:left="660" w:right="20"/>
        <w:spacing w:after="0" w:line="252" w:lineRule="auto"/>
        <w:rPr>
          <w:sz w:val="20"/>
          <w:szCs w:val="20"/>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i w:val="1"/>
          <w:iCs w:val="1"/>
          <w:color w:val="auto"/>
        </w:rPr>
        <w:t>.</w:t>
      </w:r>
      <w:r>
        <w:rPr>
          <w:rFonts w:ascii="Arial" w:cs="Arial" w:eastAsia="Arial" w:hAnsi="Arial"/>
          <w:sz w:val="16"/>
          <w:szCs w:val="16"/>
          <w:color w:val="auto"/>
        </w:rPr>
        <w:t xml:space="preserve"> No income is realized by a participant upon the grant or exercise of an incentive stock option; however, such participant will generally be required to include the excess of the fair market value of the stock at exercise over the exercise price in his or her alternative minimum taxable income. If shares of stock are issued to a participant pursuant to the exercise of an incentive stock option, and if no disqualifying disposition of such shares of stock is made by such participant within two years after the date of grant or within one year after the transfer of such shares of stock to such participant, then (i) upon sale of such shares of stock, any amount realized in excess of the exercise price will be taxed to such participant as a long-term capital gain, and any loss sustained will be a long-term capital loss, and (ii) no deduction will be allowed to the participant’s employer for federal income tax purposes.</w:t>
      </w:r>
    </w:p>
    <w:p>
      <w:pPr>
        <w:spacing w:after="0" w:line="203"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If stock acquired upon the exercise of an incentive stock option are disposed of prior to the expiration of either holding period described above, generally (i) the participant will realize ordinary income in the year of disposition in an amount equal to the excess (if any) of the fair market value of such stock at exercise (or, if less, the amount realized on the disposition of such stock) over the exercise price paid for such stock and (ii) the participant’s employer will generally be entitled to deduct such amount for federal income tax purposes. Any further gain (or loss) realized by the participant will be taxed as short-term or long-term capital gain (or loss), as the case may be, and will not result in any deduction by the employer.</w:t>
      </w:r>
    </w:p>
    <w:p>
      <w:pPr>
        <w:spacing w:after="0" w:line="205" w:lineRule="exact"/>
        <w:rPr>
          <w:sz w:val="20"/>
          <w:szCs w:val="20"/>
          <w:color w:val="auto"/>
        </w:rPr>
      </w:pPr>
    </w:p>
    <w:p>
      <w:pPr>
        <w:ind w:left="660" w:right="120"/>
        <w:spacing w:after="0" w:line="260" w:lineRule="auto"/>
        <w:rPr>
          <w:sz w:val="20"/>
          <w:szCs w:val="20"/>
          <w:color w:val="auto"/>
        </w:rPr>
      </w:pPr>
      <w:r>
        <w:rPr>
          <w:rFonts w:ascii="Arial" w:cs="Arial" w:eastAsia="Arial" w:hAnsi="Arial"/>
          <w:sz w:val="16"/>
          <w:szCs w:val="16"/>
          <w:color w:val="auto"/>
        </w:rPr>
        <w:t>Subject to certain exceptions for disability or death, if an incentive stock option is exercised more than three months following termination of employment, the exercise of the stock option will generally be taxed as the exercise of a non-qualified stock option.</w:t>
      </w:r>
    </w:p>
    <w:p>
      <w:pPr>
        <w:spacing w:after="0" w:line="179" w:lineRule="exact"/>
        <w:rPr>
          <w:sz w:val="20"/>
          <w:szCs w:val="20"/>
          <w:color w:val="auto"/>
        </w:rPr>
      </w:pPr>
    </w:p>
    <w:p>
      <w:pPr>
        <w:ind w:left="660" w:right="660"/>
        <w:spacing w:after="0" w:line="281" w:lineRule="auto"/>
        <w:rPr>
          <w:sz w:val="20"/>
          <w:szCs w:val="20"/>
          <w:color w:val="auto"/>
        </w:rPr>
      </w:pPr>
      <w:r>
        <w:rPr>
          <w:rFonts w:ascii="Arial" w:cs="Arial" w:eastAsia="Arial" w:hAnsi="Arial"/>
          <w:sz w:val="16"/>
          <w:szCs w:val="16"/>
          <w:u w:val="single" w:color="auto"/>
          <w:color w:val="auto"/>
        </w:rPr>
        <w:t>Other Stock-Based Awards</w:t>
      </w:r>
      <w:r>
        <w:rPr>
          <w:rFonts w:ascii="Arial" w:cs="Arial" w:eastAsia="Arial" w:hAnsi="Arial"/>
          <w:sz w:val="16"/>
          <w:szCs w:val="16"/>
          <w:i w:val="1"/>
          <w:iCs w:val="1"/>
          <w:color w:val="auto"/>
        </w:rPr>
        <w:t>.</w:t>
      </w:r>
      <w:r>
        <w:rPr>
          <w:rFonts w:ascii="Arial" w:cs="Arial" w:eastAsia="Arial" w:hAnsi="Arial"/>
          <w:sz w:val="16"/>
          <w:szCs w:val="16"/>
          <w:color w:val="auto"/>
        </w:rPr>
        <w:t xml:space="preserve"> The tax effects related to other stock-based awards under the Amended and Restated 2017 Plan are dependent upon the structure of the particular award.</w:t>
      </w:r>
    </w:p>
    <w:p>
      <w:pPr>
        <w:spacing w:after="0" w:line="163" w:lineRule="exact"/>
        <w:rPr>
          <w:sz w:val="20"/>
          <w:szCs w:val="20"/>
          <w:color w:val="auto"/>
        </w:rPr>
      </w:pPr>
    </w:p>
    <w:p>
      <w:pPr>
        <w:ind w:left="660" w:right="60"/>
        <w:spacing w:after="0" w:line="253" w:lineRule="auto"/>
        <w:rPr>
          <w:sz w:val="20"/>
          <w:szCs w:val="20"/>
          <w:color w:val="auto"/>
        </w:rPr>
      </w:pPr>
      <w:r>
        <w:rPr>
          <w:rFonts w:ascii="Arial" w:cs="Arial" w:eastAsia="Arial" w:hAnsi="Arial"/>
          <w:sz w:val="16"/>
          <w:szCs w:val="16"/>
          <w:u w:val="single" w:color="auto"/>
          <w:color w:val="auto"/>
        </w:rPr>
        <w:t>Withholding</w:t>
      </w:r>
      <w:r>
        <w:rPr>
          <w:rFonts w:ascii="Arial" w:cs="Arial" w:eastAsia="Arial" w:hAnsi="Arial"/>
          <w:sz w:val="16"/>
          <w:szCs w:val="16"/>
          <w:i w:val="1"/>
          <w:iCs w:val="1"/>
          <w:color w:val="auto"/>
        </w:rPr>
        <w:t>.</w:t>
      </w:r>
      <w:r>
        <w:rPr>
          <w:rFonts w:ascii="Arial" w:cs="Arial" w:eastAsia="Arial" w:hAnsi="Arial"/>
          <w:sz w:val="16"/>
          <w:szCs w:val="16"/>
          <w:color w:val="auto"/>
        </w:rPr>
        <w:t xml:space="preserve"> At the time a participant is required to recognize ordinary compensation income resulting from an award, such income will be subject to federal (including, except as described below, Social Security and Medicare tax) and applicable state and local income tax and applicable tax withholding requirements. If such participant’s year-to-date compensation on the date of exercise exceeds the Social Security wage base limit for such year ($132,900 in 2019), such participant will not have to pay Social Security taxes on such amounts. The Company is required to report to the appropriate taxing authorities the ordinary income received by the participant, together with the amount of taxes withheld to the Internal Revenue Service and the appropriate state and local taxing authorities.</w:t>
      </w:r>
    </w:p>
    <w:p>
      <w:pPr>
        <w:spacing w:after="0" w:line="186" w:lineRule="exact"/>
        <w:rPr>
          <w:sz w:val="20"/>
          <w:szCs w:val="20"/>
          <w:color w:val="auto"/>
        </w:rPr>
      </w:pPr>
    </w:p>
    <w:p>
      <w:pPr>
        <w:ind w:left="660" w:right="60"/>
        <w:spacing w:after="0" w:line="255" w:lineRule="auto"/>
        <w:rPr>
          <w:sz w:val="20"/>
          <w:szCs w:val="20"/>
          <w:color w:val="auto"/>
        </w:rPr>
      </w:pPr>
      <w:r>
        <w:rPr>
          <w:rFonts w:ascii="Arial" w:cs="Arial" w:eastAsia="Arial" w:hAnsi="Arial"/>
          <w:sz w:val="16"/>
          <w:szCs w:val="16"/>
          <w:u w:val="single" w:color="auto"/>
          <w:color w:val="auto"/>
        </w:rPr>
        <w:t>Section 162(m)</w:t>
      </w:r>
      <w:r>
        <w:rPr>
          <w:rFonts w:ascii="Arial" w:cs="Arial" w:eastAsia="Arial" w:hAnsi="Arial"/>
          <w:sz w:val="16"/>
          <w:szCs w:val="16"/>
          <w:i w:val="1"/>
          <w:iCs w:val="1"/>
          <w:color w:val="auto"/>
        </w:rPr>
        <w:t>.</w:t>
      </w:r>
      <w:r>
        <w:rPr>
          <w:rFonts w:ascii="Arial" w:cs="Arial" w:eastAsia="Arial" w:hAnsi="Arial"/>
          <w:sz w:val="16"/>
          <w:szCs w:val="16"/>
          <w:color w:val="auto"/>
        </w:rPr>
        <w:t xml:space="preserve"> In general, Section 162(m) of the Code denies a publicly held corporation a deduction for federal income tax purposes for compensation in excess of $1 million per year per person to its Chief Executive Officer and Chief Financial Officer at any time during the taxable year and the three other most highly compensated officers (other than the Chief Executive Officer and Chief Financial Officer) for the taxable year, and once an individual becomes a Covered Employee for any taxable year beginning after December 31, 2016, that individual will remain a Covered Employee for all future years, including following any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271145</wp:posOffset>
            </wp:positionV>
            <wp:extent cx="291465" cy="2743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79</w:t>
            </w:r>
          </w:p>
        </w:tc>
      </w:tr>
    </w:tbl>
    <w:p>
      <w:pPr>
        <w:sectPr>
          <w:pgSz w:w="11900" w:h="16838" w:orient="portrait"/>
          <w:cols w:equalWidth="0" w:num="1">
            <w:col w:w="10580"/>
          </w:cols>
          <w:pgMar w:left="320" w:top="459" w:right="9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926205"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926205"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32"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Certain awards under the Amended and Restated 2017 Plan may be subject to Section 409A of the Code, which regulates “nonqualified deferred compensation” (as defined in Section 409A of the Code). If an award under the Amended and Restated 2017 Plan (or any other Company plan) that is subject to Section 409A of the Code is not administered in compliance with Section 409A of the Code, then all compensation under the Amended and Restated 2017 Plan that is considered “nonqualified deferred compensation” (and awards under any other Company plan that are required pursuant to Section 409A of the Code to be aggregated with the award under the Amended and Restated 2017 Plan) will be taxable to the participant as ordinary income in the year of the violation, or if later, the year in which the compensation subject to the award is no longer subject to a substantial risk of forfeiture. In addition, the participant will be subject to an additional tax equal to 20% of the compensation that is required to be included in income as a result of the violation, plus interest from the date that the compensation subject to the award was required to be included in taxable income.</w:t>
      </w:r>
    </w:p>
    <w:p>
      <w:pPr>
        <w:spacing w:after="0" w:line="208"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u w:val="single" w:color="auto"/>
          <w:color w:val="auto"/>
        </w:rPr>
        <w:t>Certain Rules Applicable to “Insiders.”</w:t>
      </w:r>
      <w:r>
        <w:rPr>
          <w:rFonts w:ascii="Arial" w:cs="Arial" w:eastAsia="Arial" w:hAnsi="Arial"/>
          <w:sz w:val="16"/>
          <w:szCs w:val="16"/>
          <w:color w:val="auto"/>
        </w:rPr>
        <w:t xml:space="preserve"> As a result of the rules under Section 16(b) of the Exchange Act, depending upon the particular exemption from the provisions of Section 16(b) utilized, “insiders” (as defined in Section 16(b)) may not receive the same tax treatment as set forth above with respect to the grant and/or exercise or settlement of awards. Generally, insiders will not be subject to taxation until the expiration of any period during which they are subject to the liability provisions of Section 16(b) with respect to any particular award. Insiders should check with their own tax advisors to ascertain the appropriate tax treatment for any particular award.</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New Plan Benefits</w:t>
      </w:r>
    </w:p>
    <w:p>
      <w:pPr>
        <w:spacing w:after="0" w:line="133" w:lineRule="exact"/>
        <w:rPr>
          <w:sz w:val="20"/>
          <w:szCs w:val="20"/>
          <w:color w:val="auto"/>
        </w:rPr>
      </w:pPr>
    </w:p>
    <w:p>
      <w:pPr>
        <w:ind w:left="660" w:right="180"/>
        <w:spacing w:after="0" w:line="253" w:lineRule="auto"/>
        <w:rPr>
          <w:sz w:val="20"/>
          <w:szCs w:val="20"/>
          <w:color w:val="auto"/>
        </w:rPr>
      </w:pPr>
      <w:r>
        <w:rPr>
          <w:rFonts w:ascii="Arial" w:cs="Arial" w:eastAsia="Arial" w:hAnsi="Arial"/>
          <w:sz w:val="16"/>
          <w:szCs w:val="16"/>
          <w:color w:val="auto"/>
        </w:rPr>
        <w:t>Because awards to be granted in the future under the Amended and Restated 2017 Plan are at the discretion of the Committee, it is not possible to determine the benefits or the amounts that have been or will be received by eligible participants under the Amended and Restated 2017 Plan.</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Future Plan Awards.</w:t>
      </w:r>
    </w:p>
    <w:p>
      <w:pPr>
        <w:spacing w:after="0" w:line="133"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No awards have been granted to any employee, officer, non-employee director or consultant pursuant to the Amended and Restated 2017 Plan that are contingent upon the approval by our shareholders of the Amended and Restated 2017 Plan. We anticipate that other equity-based awards may be granted in the discretion of the Committee under the Amended and Restated 2017 Plan out of the additional shares of our common stock to be reserved for issuance in connection with the approval of the Amended and Restated 2017 Plan; however, the number of shares of our common stock that may be so granted will be based upon various prospective factors, including the nature of services to be rendered by our employees, officers, non-employee directors and consultants, and their potential contributions to our success. Accordingly, the number, type, and grantee(s) of actual future awards cannot be determined at this time.</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Vote Required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Approval of this proposal requires the affirmative vote of a majority of the votes cast at the Annual Meeting.</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92075</wp:posOffset>
            </wp:positionV>
            <wp:extent cx="6292215" cy="9340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292215" cy="934085"/>
                    </a:xfrm>
                    <a:prstGeom prst="rect">
                      <a:avLst/>
                    </a:prstGeom>
                    <a:noFill/>
                  </pic:spPr>
                </pic:pic>
              </a:graphicData>
            </a:graphic>
          </wp:anchor>
        </w:drawing>
      </w:r>
    </w:p>
    <w:p>
      <w:pPr>
        <w:spacing w:after="0" w:line="214"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THE BOARD OF DIRECTORS BELIEVES THAT THE ADOPTION OF THE</w:t>
      </w:r>
    </w:p>
    <w:p>
      <w:pPr>
        <w:spacing w:after="0" w:line="6"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AMENDED AND RESTATED TAKE-TWO INTERACTIVE SOFTWARE, INC. 2017 STOCK</w:t>
      </w:r>
    </w:p>
    <w:p>
      <w:pPr>
        <w:jc w:val="center"/>
        <w:ind w:left="1040" w:right="820"/>
        <w:spacing w:after="0" w:line="250" w:lineRule="auto"/>
        <w:rPr>
          <w:sz w:val="20"/>
          <w:szCs w:val="20"/>
          <w:color w:val="auto"/>
        </w:rPr>
      </w:pPr>
      <w:r>
        <w:rPr>
          <w:rFonts w:ascii="Arial" w:cs="Arial" w:eastAsia="Arial" w:hAnsi="Arial"/>
          <w:sz w:val="21"/>
          <w:szCs w:val="21"/>
          <w:b w:val="1"/>
          <w:bCs w:val="1"/>
          <w:color w:val="auto"/>
        </w:rPr>
        <w:t xml:space="preserve">INCENTIVE PLAN IS IN THE BEST INTERESTS OF THE COMPANY AND UNANIMOUSLY RECOMMENDS THAT SHAREHOLDERS VOTE </w:t>
      </w:r>
      <w:r>
        <w:rPr>
          <w:rFonts w:ascii="Arial" w:cs="Arial" w:eastAsia="Arial" w:hAnsi="Arial"/>
          <w:sz w:val="21"/>
          <w:szCs w:val="21"/>
          <w:b w:val="1"/>
          <w:bCs w:val="1"/>
          <w:color w:val="005CB9"/>
        </w:rPr>
        <w:t>“FOR”</w:t>
      </w:r>
      <w:r>
        <w:rPr>
          <w:rFonts w:ascii="Arial" w:cs="Arial" w:eastAsia="Arial" w:hAnsi="Arial"/>
          <w:sz w:val="21"/>
          <w:szCs w:val="21"/>
          <w:b w:val="1"/>
          <w:bCs w:val="1"/>
          <w:color w:val="auto"/>
        </w:rPr>
        <w:t xml:space="preserve"> THE APPROVAL OF THE AMENDED AND RESTATED 2017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356235</wp:posOffset>
            </wp:positionV>
            <wp:extent cx="291465" cy="2743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80</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40"/>
          </w:cols>
          <w:pgMar w:left="320" w:top="459" w:right="10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205740</wp:posOffset>
            </wp:positionV>
            <wp:extent cx="3985895"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985895" cy="137160"/>
                    </a:xfrm>
                    <a:prstGeom prst="rect">
                      <a:avLst/>
                    </a:prstGeom>
                    <a:noFill/>
                  </pic:spPr>
                </pic:pic>
              </a:graphicData>
            </a:graphic>
          </wp:anchor>
        </w:drawing>
      </w:r>
    </w:p>
    <w:p>
      <w:pPr>
        <w:spacing w:after="0" w:line="33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MENDED AND</w:t>
      </w:r>
      <w:r>
        <w:rPr>
          <w:rFonts w:ascii="Arial" w:cs="Arial" w:eastAsia="Arial" w:hAnsi="Arial"/>
          <w:sz w:val="14"/>
          <w:szCs w:val="14"/>
          <w:b w:val="1"/>
          <w:bCs w:val="1"/>
          <w:color w:val="005CB9"/>
        </w:rPr>
        <w:t xml:space="preserve"> R</w:t>
      </w:r>
      <w:r>
        <w:rPr>
          <w:rFonts w:ascii="Arial" w:cs="Arial" w:eastAsia="Arial" w:hAnsi="Arial"/>
          <w:sz w:val="11"/>
          <w:szCs w:val="11"/>
          <w:b w:val="1"/>
          <w:bCs w:val="1"/>
          <w:color w:val="005CB9"/>
        </w:rPr>
        <w:t>ESTATED</w:t>
      </w:r>
      <w:r>
        <w:rPr>
          <w:rFonts w:ascii="Arial" w:cs="Arial" w:eastAsia="Arial" w:hAnsi="Arial"/>
          <w:sz w:val="14"/>
          <w:szCs w:val="14"/>
          <w:b w:val="1"/>
          <w:bCs w:val="1"/>
          <w:color w:val="005CB9"/>
        </w:rPr>
        <w:t xml:space="preserve"> 2017 S</w:t>
      </w:r>
      <w:r>
        <w:rPr>
          <w:rFonts w:ascii="Arial" w:cs="Arial" w:eastAsia="Arial" w:hAnsi="Arial"/>
          <w:sz w:val="11"/>
          <w:szCs w:val="11"/>
          <w:b w:val="1"/>
          <w:bCs w:val="1"/>
          <w:color w:val="005CB9"/>
        </w:rPr>
        <w:t>TOCK</w:t>
      </w:r>
      <w:r>
        <w:rPr>
          <w:rFonts w:ascii="Arial" w:cs="Arial" w:eastAsia="Arial" w:hAnsi="Arial"/>
          <w:sz w:val="14"/>
          <w:szCs w:val="14"/>
          <w:b w:val="1"/>
          <w:bCs w:val="1"/>
          <w:color w:val="005CB9"/>
        </w:rPr>
        <w:t xml:space="preserve"> I</w:t>
      </w:r>
      <w:r>
        <w:rPr>
          <w:rFonts w:ascii="Arial" w:cs="Arial" w:eastAsia="Arial" w:hAnsi="Arial"/>
          <w:sz w:val="11"/>
          <w:szCs w:val="11"/>
          <w:b w:val="1"/>
          <w:bCs w:val="1"/>
          <w:color w:val="005CB9"/>
        </w:rPr>
        <w:t>NCENTIVE</w:t>
      </w:r>
      <w:r>
        <w:rPr>
          <w:rFonts w:ascii="Arial" w:cs="Arial" w:eastAsia="Arial" w:hAnsi="Arial"/>
          <w:sz w:val="14"/>
          <w:szCs w:val="14"/>
          <w:b w:val="1"/>
          <w:bCs w:val="1"/>
          <w:color w:val="005CB9"/>
        </w:rPr>
        <w:t xml:space="preserve"> P</w:t>
      </w:r>
      <w:r>
        <w:rPr>
          <w:rFonts w:ascii="Arial" w:cs="Arial" w:eastAsia="Arial" w:hAnsi="Arial"/>
          <w:sz w:val="11"/>
          <w:szCs w:val="11"/>
          <w:b w:val="1"/>
          <w:bCs w:val="1"/>
          <w:color w:val="005CB9"/>
        </w:rPr>
        <w:t>LAN</w:t>
      </w:r>
      <w:r>
        <w:rPr>
          <w:rFonts w:ascii="Arial" w:cs="Arial" w:eastAsia="Arial" w:hAnsi="Arial"/>
          <w:sz w:val="14"/>
          <w:szCs w:val="14"/>
          <w:b w:val="1"/>
          <w:bCs w:val="1"/>
          <w:color w:val="005CB9"/>
        </w:rPr>
        <w:t xml:space="preserve"> </w:t>
      </w:r>
      <w:r>
        <w:rPr>
          <w:rFonts w:ascii="Arial" w:cs="Arial" w:eastAsia="Arial" w:hAnsi="Arial"/>
          <w:sz w:val="14"/>
          <w:szCs w:val="14"/>
          <w:b w:val="1"/>
          <w:bCs w:val="1"/>
          <w:color w:val="000000"/>
        </w:rPr>
        <w:t>(P</w:t>
      </w:r>
      <w:r>
        <w:rPr>
          <w:rFonts w:ascii="Arial" w:cs="Arial" w:eastAsia="Arial" w:hAnsi="Arial"/>
          <w:sz w:val="11"/>
          <w:szCs w:val="11"/>
          <w:b w:val="1"/>
          <w:bCs w:val="1"/>
          <w:color w:val="000000"/>
        </w:rPr>
        <w:t>ROPOSAL THREE</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information concerning our equity compensation plans as of March 31, 2020:</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spacing w:after="0"/>
              <w:rPr>
                <w:sz w:val="14"/>
                <w:szCs w:val="14"/>
                <w:color w:val="auto"/>
              </w:rPr>
            </w:pPr>
          </w:p>
        </w:tc>
        <w:tc>
          <w:tcPr>
            <w:tcW w:w="840" w:type="dxa"/>
            <w:vAlign w:val="bottom"/>
            <w:shd w:val="clear" w:color="auto" w:fill="005CB9"/>
          </w:tcPr>
          <w:p>
            <w:pPr>
              <w:spacing w:after="0"/>
              <w:rPr>
                <w:sz w:val="14"/>
                <w:szCs w:val="14"/>
                <w:color w:val="auto"/>
              </w:rPr>
            </w:pPr>
          </w:p>
        </w:tc>
        <w:tc>
          <w:tcPr>
            <w:tcW w:w="1240" w:type="dxa"/>
            <w:vAlign w:val="bottom"/>
            <w:shd w:val="clear" w:color="auto" w:fill="005CB9"/>
          </w:tcPr>
          <w:p>
            <w:pPr>
              <w:spacing w:after="0"/>
              <w:rPr>
                <w:sz w:val="14"/>
                <w:szCs w:val="14"/>
                <w:color w:val="auto"/>
              </w:rPr>
            </w:pPr>
          </w:p>
        </w:tc>
        <w:tc>
          <w:tcPr>
            <w:tcW w:w="42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Weighted-</w:t>
            </w:r>
          </w:p>
        </w:tc>
        <w:tc>
          <w:tcPr>
            <w:tcW w:w="420" w:type="dxa"/>
            <w:vAlign w:val="bottom"/>
            <w:shd w:val="clear" w:color="auto" w:fill="005CB9"/>
          </w:tcPr>
          <w:p>
            <w:pPr>
              <w:spacing w:after="0"/>
              <w:rPr>
                <w:sz w:val="14"/>
                <w:szCs w:val="14"/>
                <w:color w:val="auto"/>
              </w:rPr>
            </w:pPr>
          </w:p>
        </w:tc>
        <w:tc>
          <w:tcPr>
            <w:tcW w:w="2100" w:type="dxa"/>
            <w:vAlign w:val="bottom"/>
            <w:gridSpan w:val="2"/>
            <w:shd w:val="clear" w:color="auto" w:fill="005CB9"/>
          </w:tcPr>
          <w:p>
            <w:pPr>
              <w:jc w:val="center"/>
              <w:ind w:right="640"/>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spacing w:after="0"/>
              <w:rPr>
                <w:sz w:val="14"/>
                <w:szCs w:val="14"/>
                <w:color w:val="auto"/>
              </w:rPr>
            </w:pPr>
          </w:p>
        </w:tc>
        <w:tc>
          <w:tcPr>
            <w:tcW w:w="840" w:type="dxa"/>
            <w:vAlign w:val="bottom"/>
            <w:shd w:val="clear" w:color="auto" w:fill="005CB9"/>
          </w:tcPr>
          <w:p>
            <w:pPr>
              <w:spacing w:after="0"/>
              <w:rPr>
                <w:sz w:val="14"/>
                <w:szCs w:val="14"/>
                <w:color w:val="auto"/>
              </w:rPr>
            </w:pPr>
          </w:p>
        </w:tc>
        <w:tc>
          <w:tcPr>
            <w:tcW w:w="1240" w:type="dxa"/>
            <w:vAlign w:val="bottom"/>
            <w:shd w:val="clear" w:color="auto" w:fill="005CB9"/>
          </w:tcPr>
          <w:p>
            <w:pPr>
              <w:spacing w:after="0"/>
              <w:rPr>
                <w:sz w:val="14"/>
                <w:szCs w:val="14"/>
                <w:color w:val="auto"/>
              </w:rPr>
            </w:pPr>
          </w:p>
        </w:tc>
        <w:tc>
          <w:tcPr>
            <w:tcW w:w="42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Average</w:t>
            </w:r>
          </w:p>
        </w:tc>
        <w:tc>
          <w:tcPr>
            <w:tcW w:w="420" w:type="dxa"/>
            <w:vAlign w:val="bottom"/>
            <w:shd w:val="clear" w:color="auto" w:fill="005CB9"/>
          </w:tcPr>
          <w:p>
            <w:pPr>
              <w:spacing w:after="0"/>
              <w:rPr>
                <w:sz w:val="14"/>
                <w:szCs w:val="14"/>
                <w:color w:val="auto"/>
              </w:rPr>
            </w:pPr>
          </w:p>
        </w:tc>
        <w:tc>
          <w:tcPr>
            <w:tcW w:w="2100" w:type="dxa"/>
            <w:vAlign w:val="bottom"/>
            <w:gridSpan w:val="2"/>
            <w:shd w:val="clear" w:color="auto" w:fill="005CB9"/>
          </w:tcPr>
          <w:p>
            <w:pPr>
              <w:jc w:val="center"/>
              <w:ind w:right="660"/>
              <w:spacing w:after="0"/>
              <w:rPr>
                <w:sz w:val="20"/>
                <w:szCs w:val="20"/>
                <w:color w:val="auto"/>
              </w:rPr>
            </w:pPr>
            <w:r>
              <w:rPr>
                <w:rFonts w:ascii="Arial" w:cs="Arial" w:eastAsia="Arial" w:hAnsi="Arial"/>
                <w:sz w:val="14"/>
                <w:szCs w:val="14"/>
                <w:b w:val="1"/>
                <w:bCs w:val="1"/>
                <w:color w:val="FFFFFF"/>
              </w:rPr>
              <w:t>Remaining Available</w:t>
            </w:r>
          </w:p>
        </w:tc>
      </w:tr>
      <w:tr>
        <w:trPr>
          <w:trHeight w:val="162"/>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8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Weighted-</w:t>
            </w:r>
          </w:p>
        </w:tc>
        <w:tc>
          <w:tcPr>
            <w:tcW w:w="42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Remaining</w:t>
            </w:r>
          </w:p>
        </w:tc>
        <w:tc>
          <w:tcPr>
            <w:tcW w:w="420" w:type="dxa"/>
            <w:vAlign w:val="bottom"/>
            <w:shd w:val="clear" w:color="auto" w:fill="005CB9"/>
          </w:tcPr>
          <w:p>
            <w:pPr>
              <w:spacing w:after="0"/>
              <w:rPr>
                <w:sz w:val="14"/>
                <w:szCs w:val="14"/>
                <w:color w:val="auto"/>
              </w:rPr>
            </w:pPr>
          </w:p>
        </w:tc>
        <w:tc>
          <w:tcPr>
            <w:tcW w:w="2100" w:type="dxa"/>
            <w:vAlign w:val="bottom"/>
            <w:gridSpan w:val="2"/>
            <w:shd w:val="clear" w:color="auto" w:fill="005CB9"/>
          </w:tcPr>
          <w:p>
            <w:pPr>
              <w:jc w:val="center"/>
              <w:ind w:right="640"/>
              <w:spacing w:after="0"/>
              <w:rPr>
                <w:sz w:val="20"/>
                <w:szCs w:val="20"/>
                <w:color w:val="auto"/>
              </w:rPr>
            </w:pPr>
            <w:r>
              <w:rPr>
                <w:rFonts w:ascii="Arial" w:cs="Arial" w:eastAsia="Arial" w:hAnsi="Arial"/>
                <w:sz w:val="14"/>
                <w:szCs w:val="14"/>
                <w:b w:val="1"/>
                <w:bCs w:val="1"/>
                <w:color w:val="FFFFFF"/>
              </w:rPr>
              <w:t>for Future Issuance</w:t>
            </w:r>
          </w:p>
        </w:tc>
      </w:tr>
      <w:tr>
        <w:trPr>
          <w:trHeight w:val="162"/>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to be Issued</w:t>
            </w:r>
          </w:p>
        </w:tc>
        <w:tc>
          <w:tcPr>
            <w:tcW w:w="8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Average</w:t>
            </w:r>
          </w:p>
        </w:tc>
        <w:tc>
          <w:tcPr>
            <w:tcW w:w="42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Contractual Life</w:t>
            </w:r>
          </w:p>
        </w:tc>
        <w:tc>
          <w:tcPr>
            <w:tcW w:w="420" w:type="dxa"/>
            <w:vAlign w:val="bottom"/>
            <w:shd w:val="clear" w:color="auto" w:fill="005CB9"/>
          </w:tcPr>
          <w:p>
            <w:pPr>
              <w:spacing w:after="0"/>
              <w:rPr>
                <w:sz w:val="14"/>
                <w:szCs w:val="14"/>
                <w:color w:val="auto"/>
              </w:rPr>
            </w:pPr>
          </w:p>
        </w:tc>
        <w:tc>
          <w:tcPr>
            <w:tcW w:w="2100" w:type="dxa"/>
            <w:vAlign w:val="bottom"/>
            <w:gridSpan w:val="2"/>
            <w:shd w:val="clear" w:color="auto" w:fill="005CB9"/>
          </w:tcPr>
          <w:p>
            <w:pPr>
              <w:jc w:val="center"/>
              <w:ind w:right="640"/>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Upon Exercise</w:t>
            </w:r>
          </w:p>
        </w:tc>
        <w:tc>
          <w:tcPr>
            <w:tcW w:w="8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Exercise Price</w:t>
            </w:r>
          </w:p>
        </w:tc>
        <w:tc>
          <w:tcPr>
            <w:tcW w:w="42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of Outstanding</w:t>
            </w:r>
          </w:p>
        </w:tc>
        <w:tc>
          <w:tcPr>
            <w:tcW w:w="420" w:type="dxa"/>
            <w:vAlign w:val="bottom"/>
            <w:shd w:val="clear" w:color="auto" w:fill="005CB9"/>
          </w:tcPr>
          <w:p>
            <w:pPr>
              <w:spacing w:after="0"/>
              <w:rPr>
                <w:sz w:val="14"/>
                <w:szCs w:val="14"/>
                <w:color w:val="auto"/>
              </w:rPr>
            </w:pPr>
          </w:p>
        </w:tc>
        <w:tc>
          <w:tcPr>
            <w:tcW w:w="2100" w:type="dxa"/>
            <w:vAlign w:val="bottom"/>
            <w:gridSpan w:val="2"/>
            <w:shd w:val="clear" w:color="auto" w:fill="005CB9"/>
          </w:tcPr>
          <w:p>
            <w:pPr>
              <w:jc w:val="center"/>
              <w:ind w:right="640"/>
              <w:spacing w:after="0"/>
              <w:rPr>
                <w:sz w:val="20"/>
                <w:szCs w:val="20"/>
                <w:color w:val="auto"/>
              </w:rPr>
            </w:pPr>
            <w:r>
              <w:rPr>
                <w:rFonts w:ascii="Arial" w:cs="Arial" w:eastAsia="Arial" w:hAnsi="Arial"/>
                <w:sz w:val="14"/>
                <w:szCs w:val="14"/>
                <w:b w:val="1"/>
                <w:bCs w:val="1"/>
                <w:color w:val="FFFFFF"/>
              </w:rPr>
              <w:t>Compensation Plans</w:t>
            </w:r>
          </w:p>
        </w:tc>
      </w:tr>
      <w:tr>
        <w:trPr>
          <w:trHeight w:val="162"/>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of Outstanding</w:t>
            </w:r>
          </w:p>
        </w:tc>
        <w:tc>
          <w:tcPr>
            <w:tcW w:w="8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of Outstanding</w:t>
            </w:r>
          </w:p>
        </w:tc>
        <w:tc>
          <w:tcPr>
            <w:tcW w:w="1660" w:type="dxa"/>
            <w:vAlign w:val="bottom"/>
            <w:gridSpan w:val="2"/>
            <w:shd w:val="clear" w:color="auto" w:fill="005CB9"/>
          </w:tcPr>
          <w:p>
            <w:pPr>
              <w:jc w:val="center"/>
              <w:ind w:left="348"/>
              <w:spacing w:after="0"/>
              <w:rPr>
                <w:sz w:val="20"/>
                <w:szCs w:val="20"/>
                <w:color w:val="auto"/>
              </w:rPr>
            </w:pPr>
            <w:r>
              <w:rPr>
                <w:rFonts w:ascii="Arial" w:cs="Arial" w:eastAsia="Arial" w:hAnsi="Arial"/>
                <w:sz w:val="14"/>
                <w:szCs w:val="14"/>
                <w:b w:val="1"/>
                <w:bCs w:val="1"/>
                <w:color w:val="FFFFFF"/>
              </w:rPr>
              <w:t>Options, Warrants</w:t>
            </w:r>
          </w:p>
        </w:tc>
        <w:tc>
          <w:tcPr>
            <w:tcW w:w="420" w:type="dxa"/>
            <w:vAlign w:val="bottom"/>
            <w:shd w:val="clear" w:color="auto" w:fill="005CB9"/>
          </w:tcPr>
          <w:p>
            <w:pPr>
              <w:spacing w:after="0"/>
              <w:rPr>
                <w:sz w:val="14"/>
                <w:szCs w:val="14"/>
                <w:color w:val="auto"/>
              </w:rPr>
            </w:pPr>
          </w:p>
        </w:tc>
        <w:tc>
          <w:tcPr>
            <w:tcW w:w="2100" w:type="dxa"/>
            <w:vAlign w:val="bottom"/>
            <w:gridSpan w:val="2"/>
            <w:shd w:val="clear" w:color="auto" w:fill="005CB9"/>
          </w:tcPr>
          <w:p>
            <w:pPr>
              <w:jc w:val="center"/>
              <w:ind w:right="640"/>
              <w:spacing w:after="0"/>
              <w:rPr>
                <w:sz w:val="20"/>
                <w:szCs w:val="20"/>
                <w:color w:val="auto"/>
              </w:rPr>
            </w:pPr>
            <w:r>
              <w:rPr>
                <w:rFonts w:ascii="Arial" w:cs="Arial" w:eastAsia="Arial" w:hAnsi="Arial"/>
                <w:sz w:val="14"/>
                <w:szCs w:val="14"/>
                <w:b w:val="1"/>
                <w:bCs w:val="1"/>
                <w:color w:val="FFFFFF"/>
              </w:rPr>
              <w:t>(Excluding Securities</w:t>
            </w:r>
          </w:p>
        </w:tc>
      </w:tr>
      <w:tr>
        <w:trPr>
          <w:trHeight w:val="162"/>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Options, Warrants</w:t>
            </w:r>
          </w:p>
        </w:tc>
        <w:tc>
          <w:tcPr>
            <w:tcW w:w="2080" w:type="dxa"/>
            <w:vAlign w:val="bottom"/>
            <w:gridSpan w:val="2"/>
            <w:shd w:val="clear" w:color="auto" w:fill="005CB9"/>
          </w:tcPr>
          <w:p>
            <w:pPr>
              <w:jc w:val="center"/>
              <w:ind w:left="768"/>
              <w:spacing w:after="0"/>
              <w:rPr>
                <w:sz w:val="20"/>
                <w:szCs w:val="20"/>
                <w:color w:val="auto"/>
              </w:rPr>
            </w:pPr>
            <w:r>
              <w:rPr>
                <w:rFonts w:ascii="Arial" w:cs="Arial" w:eastAsia="Arial" w:hAnsi="Arial"/>
                <w:sz w:val="14"/>
                <w:szCs w:val="14"/>
                <w:b w:val="1"/>
                <w:bCs w:val="1"/>
                <w:color w:val="FFFFFF"/>
              </w:rPr>
              <w:t>Options, Warrants</w:t>
            </w:r>
          </w:p>
        </w:tc>
        <w:tc>
          <w:tcPr>
            <w:tcW w:w="42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and Rights</w:t>
            </w:r>
          </w:p>
        </w:tc>
        <w:tc>
          <w:tcPr>
            <w:tcW w:w="420" w:type="dxa"/>
            <w:vAlign w:val="bottom"/>
            <w:shd w:val="clear" w:color="auto" w:fill="005CB9"/>
          </w:tcPr>
          <w:p>
            <w:pPr>
              <w:spacing w:after="0"/>
              <w:rPr>
                <w:sz w:val="14"/>
                <w:szCs w:val="14"/>
                <w:color w:val="auto"/>
              </w:rPr>
            </w:pPr>
          </w:p>
        </w:tc>
        <w:tc>
          <w:tcPr>
            <w:tcW w:w="2100" w:type="dxa"/>
            <w:vAlign w:val="bottom"/>
            <w:gridSpan w:val="2"/>
            <w:shd w:val="clear" w:color="auto" w:fill="005CB9"/>
          </w:tcPr>
          <w:p>
            <w:pPr>
              <w:jc w:val="center"/>
              <w:ind w:right="640"/>
              <w:spacing w:after="0"/>
              <w:rPr>
                <w:sz w:val="20"/>
                <w:szCs w:val="20"/>
                <w:color w:val="auto"/>
              </w:rPr>
            </w:pPr>
            <w:r>
              <w:rPr>
                <w:rFonts w:ascii="Arial" w:cs="Arial" w:eastAsia="Arial" w:hAnsi="Arial"/>
                <w:sz w:val="14"/>
                <w:szCs w:val="14"/>
                <w:b w:val="1"/>
                <w:bCs w:val="1"/>
                <w:color w:val="FFFFFF"/>
              </w:rPr>
              <w:t>Reflected in the</w:t>
            </w:r>
          </w:p>
        </w:tc>
      </w:tr>
      <w:tr>
        <w:trPr>
          <w:trHeight w:val="189"/>
        </w:trPr>
        <w:tc>
          <w:tcPr>
            <w:tcW w:w="220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Plan Category</w:t>
            </w: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and Rights(1)</w:t>
            </w:r>
          </w:p>
        </w:tc>
        <w:tc>
          <w:tcPr>
            <w:tcW w:w="840" w:type="dxa"/>
            <w:vAlign w:val="bottom"/>
            <w:shd w:val="clear" w:color="auto" w:fill="005CB9"/>
          </w:tcPr>
          <w:p>
            <w:pPr>
              <w:spacing w:after="0"/>
              <w:rPr>
                <w:sz w:val="16"/>
                <w:szCs w:val="16"/>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and Rights ($)(2)</w:t>
            </w:r>
          </w:p>
        </w:tc>
        <w:tc>
          <w:tcPr>
            <w:tcW w:w="420" w:type="dxa"/>
            <w:vAlign w:val="bottom"/>
            <w:shd w:val="clear" w:color="auto" w:fill="005CB9"/>
          </w:tcPr>
          <w:p>
            <w:pPr>
              <w:spacing w:after="0"/>
              <w:rPr>
                <w:sz w:val="16"/>
                <w:szCs w:val="16"/>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(years)</w:t>
            </w:r>
          </w:p>
        </w:tc>
        <w:tc>
          <w:tcPr>
            <w:tcW w:w="420" w:type="dxa"/>
            <w:vAlign w:val="bottom"/>
            <w:shd w:val="clear" w:color="auto" w:fill="005CB9"/>
          </w:tcPr>
          <w:p>
            <w:pPr>
              <w:spacing w:after="0"/>
              <w:rPr>
                <w:sz w:val="16"/>
                <w:szCs w:val="16"/>
                <w:color w:val="auto"/>
              </w:rPr>
            </w:pPr>
          </w:p>
        </w:tc>
        <w:tc>
          <w:tcPr>
            <w:tcW w:w="2100" w:type="dxa"/>
            <w:vAlign w:val="bottom"/>
            <w:gridSpan w:val="2"/>
            <w:shd w:val="clear" w:color="auto" w:fill="005CB9"/>
          </w:tcPr>
          <w:p>
            <w:pPr>
              <w:jc w:val="center"/>
              <w:ind w:right="640"/>
              <w:spacing w:after="0"/>
              <w:rPr>
                <w:sz w:val="20"/>
                <w:szCs w:val="20"/>
                <w:color w:val="auto"/>
              </w:rPr>
            </w:pPr>
            <w:r>
              <w:rPr>
                <w:rFonts w:ascii="Arial" w:cs="Arial" w:eastAsia="Arial" w:hAnsi="Arial"/>
                <w:sz w:val="14"/>
                <w:szCs w:val="14"/>
                <w:b w:val="1"/>
                <w:bCs w:val="1"/>
                <w:color w:val="FFFFFF"/>
              </w:rPr>
              <w:t>First Column)</w:t>
            </w:r>
          </w:p>
        </w:tc>
      </w:tr>
      <w:tr>
        <w:trPr>
          <w:trHeight w:val="231"/>
        </w:trPr>
        <w:tc>
          <w:tcPr>
            <w:tcW w:w="2200" w:type="dxa"/>
            <w:vAlign w:val="bottom"/>
            <w:shd w:val="clear" w:color="auto" w:fill="EAEAEA"/>
          </w:tcPr>
          <w:p>
            <w:pPr>
              <w:ind w:left="80"/>
              <w:spacing w:after="0"/>
              <w:rPr>
                <w:sz w:val="20"/>
                <w:szCs w:val="20"/>
                <w:color w:val="auto"/>
              </w:rPr>
            </w:pPr>
            <w:r>
              <w:rPr>
                <w:rFonts w:ascii="Arial" w:cs="Arial" w:eastAsia="Arial" w:hAnsi="Arial"/>
                <w:sz w:val="16"/>
                <w:szCs w:val="16"/>
                <w:color w:val="auto"/>
              </w:rPr>
              <w:t>Equity compensation</w:t>
            </w:r>
          </w:p>
        </w:tc>
        <w:tc>
          <w:tcPr>
            <w:tcW w:w="1460" w:type="dxa"/>
            <w:vAlign w:val="bottom"/>
            <w:shd w:val="clear" w:color="auto" w:fill="EAEAEA"/>
          </w:tcPr>
          <w:p>
            <w:pPr>
              <w:spacing w:after="0"/>
              <w:rPr>
                <w:sz w:val="20"/>
                <w:szCs w:val="20"/>
                <w:color w:val="auto"/>
              </w:rPr>
            </w:pPr>
          </w:p>
        </w:tc>
        <w:tc>
          <w:tcPr>
            <w:tcW w:w="840" w:type="dxa"/>
            <w:vAlign w:val="bottom"/>
            <w:shd w:val="clear" w:color="auto" w:fill="EAEAEA"/>
          </w:tcPr>
          <w:p>
            <w:pPr>
              <w:spacing w:after="0"/>
              <w:rPr>
                <w:sz w:val="20"/>
                <w:szCs w:val="20"/>
                <w:color w:val="auto"/>
              </w:rPr>
            </w:pPr>
          </w:p>
        </w:tc>
        <w:tc>
          <w:tcPr>
            <w:tcW w:w="1240" w:type="dxa"/>
            <w:vAlign w:val="bottom"/>
            <w:shd w:val="clear" w:color="auto" w:fill="EAEAEA"/>
          </w:tcPr>
          <w:p>
            <w:pPr>
              <w:spacing w:after="0"/>
              <w:rPr>
                <w:sz w:val="20"/>
                <w:szCs w:val="20"/>
                <w:color w:val="auto"/>
              </w:rPr>
            </w:pPr>
          </w:p>
        </w:tc>
        <w:tc>
          <w:tcPr>
            <w:tcW w:w="420" w:type="dxa"/>
            <w:vAlign w:val="bottom"/>
            <w:shd w:val="clear" w:color="auto" w:fill="EAEAEA"/>
          </w:tcPr>
          <w:p>
            <w:pPr>
              <w:spacing w:after="0"/>
              <w:rPr>
                <w:sz w:val="20"/>
                <w:szCs w:val="20"/>
                <w:color w:val="auto"/>
              </w:rPr>
            </w:pPr>
          </w:p>
        </w:tc>
        <w:tc>
          <w:tcPr>
            <w:tcW w:w="1240" w:type="dxa"/>
            <w:vAlign w:val="bottom"/>
            <w:shd w:val="clear" w:color="auto" w:fill="EAEAEA"/>
          </w:tcPr>
          <w:p>
            <w:pPr>
              <w:spacing w:after="0"/>
              <w:rPr>
                <w:sz w:val="20"/>
                <w:szCs w:val="20"/>
                <w:color w:val="auto"/>
              </w:rPr>
            </w:pPr>
          </w:p>
        </w:tc>
        <w:tc>
          <w:tcPr>
            <w:tcW w:w="420" w:type="dxa"/>
            <w:vAlign w:val="bottom"/>
            <w:shd w:val="clear" w:color="auto" w:fill="EAEAEA"/>
          </w:tcPr>
          <w:p>
            <w:pPr>
              <w:spacing w:after="0"/>
              <w:rPr>
                <w:sz w:val="20"/>
                <w:szCs w:val="20"/>
                <w:color w:val="auto"/>
              </w:rPr>
            </w:pPr>
          </w:p>
        </w:tc>
        <w:tc>
          <w:tcPr>
            <w:tcW w:w="1460" w:type="dxa"/>
            <w:vAlign w:val="bottom"/>
            <w:shd w:val="clear" w:color="auto" w:fill="EAEAEA"/>
          </w:tcPr>
          <w:p>
            <w:pPr>
              <w:spacing w:after="0"/>
              <w:rPr>
                <w:sz w:val="20"/>
                <w:szCs w:val="20"/>
                <w:color w:val="auto"/>
              </w:rPr>
            </w:pPr>
          </w:p>
        </w:tc>
        <w:tc>
          <w:tcPr>
            <w:tcW w:w="640" w:type="dxa"/>
            <w:vAlign w:val="bottom"/>
            <w:shd w:val="clear" w:color="auto" w:fill="EAEAEA"/>
          </w:tcPr>
          <w:p>
            <w:pPr>
              <w:spacing w:after="0"/>
              <w:rPr>
                <w:sz w:val="20"/>
                <w:szCs w:val="20"/>
                <w:color w:val="auto"/>
              </w:rPr>
            </w:pPr>
          </w:p>
        </w:tc>
      </w:tr>
      <w:tr>
        <w:trPr>
          <w:trHeight w:val="189"/>
        </w:trPr>
        <w:tc>
          <w:tcPr>
            <w:tcW w:w="2200" w:type="dxa"/>
            <w:vAlign w:val="bottom"/>
            <w:shd w:val="clear" w:color="auto" w:fill="EAEAEA"/>
          </w:tcPr>
          <w:p>
            <w:pPr>
              <w:ind w:left="80"/>
              <w:spacing w:after="0"/>
              <w:rPr>
                <w:sz w:val="20"/>
                <w:szCs w:val="20"/>
                <w:color w:val="auto"/>
              </w:rPr>
            </w:pPr>
            <w:r>
              <w:rPr>
                <w:rFonts w:ascii="Arial" w:cs="Arial" w:eastAsia="Arial" w:hAnsi="Arial"/>
                <w:sz w:val="16"/>
                <w:szCs w:val="16"/>
                <w:color w:val="auto"/>
              </w:rPr>
              <w:t>plans approved by</w:t>
            </w:r>
          </w:p>
        </w:tc>
        <w:tc>
          <w:tcPr>
            <w:tcW w:w="1460" w:type="dxa"/>
            <w:vAlign w:val="bottom"/>
            <w:shd w:val="clear" w:color="auto" w:fill="EAEAEA"/>
          </w:tcPr>
          <w:p>
            <w:pPr>
              <w:spacing w:after="0"/>
              <w:rPr>
                <w:sz w:val="16"/>
                <w:szCs w:val="16"/>
                <w:color w:val="auto"/>
              </w:rPr>
            </w:pPr>
          </w:p>
        </w:tc>
        <w:tc>
          <w:tcPr>
            <w:tcW w:w="840" w:type="dxa"/>
            <w:vAlign w:val="bottom"/>
            <w:shd w:val="clear" w:color="auto" w:fill="EAEAEA"/>
          </w:tcPr>
          <w:p>
            <w:pPr>
              <w:spacing w:after="0"/>
              <w:rPr>
                <w:sz w:val="16"/>
                <w:szCs w:val="16"/>
                <w:color w:val="auto"/>
              </w:rPr>
            </w:pPr>
          </w:p>
        </w:tc>
        <w:tc>
          <w:tcPr>
            <w:tcW w:w="1240" w:type="dxa"/>
            <w:vAlign w:val="bottom"/>
            <w:shd w:val="clear" w:color="auto" w:fill="EAEAEA"/>
          </w:tcPr>
          <w:p>
            <w:pPr>
              <w:spacing w:after="0"/>
              <w:rPr>
                <w:sz w:val="16"/>
                <w:szCs w:val="16"/>
                <w:color w:val="auto"/>
              </w:rPr>
            </w:pPr>
          </w:p>
        </w:tc>
        <w:tc>
          <w:tcPr>
            <w:tcW w:w="420" w:type="dxa"/>
            <w:vAlign w:val="bottom"/>
            <w:shd w:val="clear" w:color="auto" w:fill="EAEAEA"/>
          </w:tcPr>
          <w:p>
            <w:pPr>
              <w:spacing w:after="0"/>
              <w:rPr>
                <w:sz w:val="16"/>
                <w:szCs w:val="16"/>
                <w:color w:val="auto"/>
              </w:rPr>
            </w:pPr>
          </w:p>
        </w:tc>
        <w:tc>
          <w:tcPr>
            <w:tcW w:w="1240" w:type="dxa"/>
            <w:vAlign w:val="bottom"/>
            <w:shd w:val="clear" w:color="auto" w:fill="EAEAEA"/>
          </w:tcPr>
          <w:p>
            <w:pPr>
              <w:spacing w:after="0"/>
              <w:rPr>
                <w:sz w:val="16"/>
                <w:szCs w:val="16"/>
                <w:color w:val="auto"/>
              </w:rPr>
            </w:pPr>
          </w:p>
        </w:tc>
        <w:tc>
          <w:tcPr>
            <w:tcW w:w="420" w:type="dxa"/>
            <w:vAlign w:val="bottom"/>
            <w:shd w:val="clear" w:color="auto" w:fill="EAEAEA"/>
          </w:tcPr>
          <w:p>
            <w:pPr>
              <w:spacing w:after="0"/>
              <w:rPr>
                <w:sz w:val="16"/>
                <w:szCs w:val="16"/>
                <w:color w:val="auto"/>
              </w:rPr>
            </w:pPr>
          </w:p>
        </w:tc>
        <w:tc>
          <w:tcPr>
            <w:tcW w:w="1460" w:type="dxa"/>
            <w:vAlign w:val="bottom"/>
            <w:shd w:val="clear" w:color="auto" w:fill="EAEAEA"/>
          </w:tcPr>
          <w:p>
            <w:pPr>
              <w:spacing w:after="0"/>
              <w:rPr>
                <w:sz w:val="16"/>
                <w:szCs w:val="16"/>
                <w:color w:val="auto"/>
              </w:rPr>
            </w:pPr>
          </w:p>
        </w:tc>
        <w:tc>
          <w:tcPr>
            <w:tcW w:w="640" w:type="dxa"/>
            <w:vAlign w:val="bottom"/>
            <w:shd w:val="clear" w:color="auto" w:fill="EAEAEA"/>
          </w:tcPr>
          <w:p>
            <w:pPr>
              <w:spacing w:after="0"/>
              <w:rPr>
                <w:sz w:val="16"/>
                <w:szCs w:val="16"/>
                <w:color w:val="auto"/>
              </w:rPr>
            </w:pPr>
          </w:p>
        </w:tc>
      </w:tr>
      <w:tr>
        <w:trPr>
          <w:trHeight w:val="221"/>
        </w:trPr>
        <w:tc>
          <w:tcPr>
            <w:tcW w:w="22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6"/>
                <w:szCs w:val="16"/>
                <w:color w:val="auto"/>
              </w:rPr>
              <w:t>shareholders</w:t>
            </w:r>
          </w:p>
        </w:tc>
        <w:tc>
          <w:tcPr>
            <w:tcW w:w="14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2,839,584</w:t>
            </w:r>
          </w:p>
        </w:tc>
        <w:tc>
          <w:tcPr>
            <w:tcW w:w="840" w:type="dxa"/>
            <w:vAlign w:val="bottom"/>
            <w:tcBorders>
              <w:bottom w:val="single" w:sz="8" w:color="EAEAEA"/>
            </w:tcBorders>
            <w:shd w:val="clear" w:color="auto" w:fill="EAEAEA"/>
          </w:tcPr>
          <w:p>
            <w:pPr>
              <w:spacing w:after="0"/>
              <w:rPr>
                <w:sz w:val="19"/>
                <w:szCs w:val="19"/>
                <w:color w:val="auto"/>
              </w:rPr>
            </w:pPr>
          </w:p>
        </w:tc>
        <w:tc>
          <w:tcPr>
            <w:tcW w:w="12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bottom w:val="single" w:sz="8" w:color="EAEAEA"/>
            </w:tcBorders>
            <w:shd w:val="clear" w:color="auto" w:fill="EAEAEA"/>
          </w:tcPr>
          <w:p>
            <w:pPr>
              <w:spacing w:after="0"/>
              <w:rPr>
                <w:sz w:val="19"/>
                <w:szCs w:val="19"/>
                <w:color w:val="auto"/>
              </w:rPr>
            </w:pPr>
          </w:p>
        </w:tc>
        <w:tc>
          <w:tcPr>
            <w:tcW w:w="12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2520" w:type="dxa"/>
            <w:vAlign w:val="bottom"/>
            <w:tcBorders>
              <w:bottom w:val="single" w:sz="8" w:color="EAEAEA"/>
            </w:tcBorders>
            <w:gridSpan w:val="3"/>
            <w:shd w:val="clear" w:color="auto" w:fill="EAEAEA"/>
          </w:tcPr>
          <w:p>
            <w:pPr>
              <w:jc w:val="right"/>
              <w:ind w:right="240"/>
              <w:spacing w:after="0"/>
              <w:rPr>
                <w:sz w:val="20"/>
                <w:szCs w:val="20"/>
                <w:color w:val="auto"/>
              </w:rPr>
            </w:pPr>
            <w:r>
              <w:rPr>
                <w:rFonts w:ascii="Arial" w:cs="Arial" w:eastAsia="Arial" w:hAnsi="Arial"/>
                <w:sz w:val="16"/>
                <w:szCs w:val="16"/>
                <w:color w:val="auto"/>
              </w:rPr>
              <w:t>13,881,368(3)(4)</w:t>
            </w:r>
          </w:p>
        </w:tc>
      </w:tr>
      <w:tr>
        <w:trPr>
          <w:trHeight w:val="231"/>
        </w:trPr>
        <w:tc>
          <w:tcPr>
            <w:tcW w:w="2200" w:type="dxa"/>
            <w:vAlign w:val="bottom"/>
          </w:tcPr>
          <w:p>
            <w:pPr>
              <w:ind w:left="80"/>
              <w:spacing w:after="0"/>
              <w:rPr>
                <w:sz w:val="20"/>
                <w:szCs w:val="20"/>
                <w:color w:val="auto"/>
              </w:rPr>
            </w:pPr>
            <w:r>
              <w:rPr>
                <w:rFonts w:ascii="Arial" w:cs="Arial" w:eastAsia="Arial" w:hAnsi="Arial"/>
                <w:sz w:val="16"/>
                <w:szCs w:val="16"/>
                <w:color w:val="auto"/>
              </w:rPr>
              <w:t>Equity compensation</w:t>
            </w:r>
          </w:p>
        </w:tc>
        <w:tc>
          <w:tcPr>
            <w:tcW w:w="1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189"/>
        </w:trPr>
        <w:tc>
          <w:tcPr>
            <w:tcW w:w="2200" w:type="dxa"/>
            <w:vAlign w:val="bottom"/>
          </w:tcPr>
          <w:p>
            <w:pPr>
              <w:ind w:left="80"/>
              <w:spacing w:after="0"/>
              <w:rPr>
                <w:sz w:val="20"/>
                <w:szCs w:val="20"/>
                <w:color w:val="auto"/>
              </w:rPr>
            </w:pPr>
            <w:r>
              <w:rPr>
                <w:rFonts w:ascii="Arial" w:cs="Arial" w:eastAsia="Arial" w:hAnsi="Arial"/>
                <w:sz w:val="16"/>
                <w:szCs w:val="16"/>
                <w:color w:val="auto"/>
              </w:rPr>
              <w:t>plans not approved by</w:t>
            </w:r>
          </w:p>
        </w:tc>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5"/>
        </w:trPr>
        <w:tc>
          <w:tcPr>
            <w:tcW w:w="2200" w:type="dxa"/>
            <w:vAlign w:val="bottom"/>
          </w:tcPr>
          <w:p>
            <w:pPr>
              <w:ind w:left="80"/>
              <w:spacing w:after="0"/>
              <w:rPr>
                <w:sz w:val="20"/>
                <w:szCs w:val="20"/>
                <w:color w:val="auto"/>
              </w:rPr>
            </w:pPr>
            <w:r>
              <w:rPr>
                <w:rFonts w:ascii="Arial" w:cs="Arial" w:eastAsia="Arial" w:hAnsi="Arial"/>
                <w:sz w:val="16"/>
                <w:szCs w:val="16"/>
                <w:color w:val="auto"/>
              </w:rPr>
              <w:t>shareholders</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16"/>
                <w:szCs w:val="16"/>
                <w:color w:val="auto"/>
              </w:rPr>
            </w:pPr>
          </w:p>
        </w:tc>
        <w:tc>
          <w:tcPr>
            <w:tcW w:w="21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r>
      <w:tr>
        <w:trPr>
          <w:trHeight w:val="53"/>
        </w:trPr>
        <w:tc>
          <w:tcPr>
            <w:tcW w:w="220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29"/>
        </w:trPr>
        <w:tc>
          <w:tcPr>
            <w:tcW w:w="2200" w:type="dxa"/>
            <w:vAlign w:val="bottom"/>
            <w:shd w:val="clear" w:color="auto" w:fill="EAEAEA"/>
          </w:tcPr>
          <w:p>
            <w:pPr>
              <w:ind w:left="80"/>
              <w:spacing w:after="0"/>
              <w:rPr>
                <w:sz w:val="20"/>
                <w:szCs w:val="20"/>
                <w:color w:val="auto"/>
              </w:rPr>
            </w:pPr>
            <w:r>
              <w:rPr>
                <w:rFonts w:ascii="Arial" w:cs="Arial" w:eastAsia="Arial" w:hAnsi="Arial"/>
                <w:sz w:val="16"/>
                <w:szCs w:val="16"/>
                <w:color w:val="auto"/>
              </w:rPr>
              <w:t>Total</w:t>
            </w:r>
          </w:p>
        </w:tc>
        <w:tc>
          <w:tcPr>
            <w:tcW w:w="14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2,839,584</w:t>
            </w:r>
          </w:p>
        </w:tc>
        <w:tc>
          <w:tcPr>
            <w:tcW w:w="840" w:type="dxa"/>
            <w:vAlign w:val="bottom"/>
            <w:shd w:val="clear" w:color="auto" w:fill="EAEAEA"/>
          </w:tcPr>
          <w:p>
            <w:pPr>
              <w:spacing w:after="0"/>
              <w:rPr>
                <w:sz w:val="19"/>
                <w:szCs w:val="19"/>
                <w:color w:val="auto"/>
              </w:rPr>
            </w:pPr>
          </w:p>
        </w:tc>
        <w:tc>
          <w:tcPr>
            <w:tcW w:w="124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EAEAEA"/>
          </w:tcPr>
          <w:p>
            <w:pPr>
              <w:spacing w:after="0"/>
              <w:rPr>
                <w:sz w:val="19"/>
                <w:szCs w:val="19"/>
                <w:color w:val="auto"/>
              </w:rPr>
            </w:pPr>
          </w:p>
        </w:tc>
        <w:tc>
          <w:tcPr>
            <w:tcW w:w="124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1880" w:type="dxa"/>
            <w:vAlign w:val="bottom"/>
            <w:gridSpan w:val="2"/>
            <w:shd w:val="clear" w:color="auto" w:fill="EAEAEA"/>
          </w:tcPr>
          <w:p>
            <w:pPr>
              <w:jc w:val="right"/>
              <w:spacing w:after="0"/>
              <w:rPr>
                <w:sz w:val="20"/>
                <w:szCs w:val="20"/>
                <w:color w:val="auto"/>
              </w:rPr>
            </w:pPr>
            <w:r>
              <w:rPr>
                <w:rFonts w:ascii="Arial" w:cs="Arial" w:eastAsia="Arial" w:hAnsi="Arial"/>
                <w:sz w:val="16"/>
                <w:szCs w:val="16"/>
                <w:color w:val="auto"/>
              </w:rPr>
              <w:t>13,881,368</w:t>
            </w:r>
          </w:p>
        </w:tc>
        <w:tc>
          <w:tcPr>
            <w:tcW w:w="640" w:type="dxa"/>
            <w:vAlign w:val="bottom"/>
            <w:shd w:val="clear" w:color="auto" w:fill="EAEAEA"/>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40" w:lineRule="exact"/>
        <w:rPr>
          <w:sz w:val="20"/>
          <w:szCs w:val="20"/>
          <w:color w:val="auto"/>
        </w:rPr>
      </w:pPr>
    </w:p>
    <w:p>
      <w:pPr>
        <w:ind w:left="960" w:right="420" w:hanging="293"/>
        <w:spacing w:after="0" w:line="241" w:lineRule="auto"/>
        <w:tabs>
          <w:tab w:leader="none" w:pos="9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of March 31, 2020, the Company also had 12,969 shares of outstanding restricted stock, which are not reflected in the table because they are treated as issued and outstanding and will not have additional dilutive impact on the Company when the awards vest.</w:t>
      </w:r>
    </w:p>
    <w:p>
      <w:pPr>
        <w:ind w:left="960" w:right="420" w:hanging="293"/>
        <w:spacing w:after="0" w:line="241" w:lineRule="auto"/>
        <w:tabs>
          <w:tab w:leader="none" w:pos="9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No weighted-average exercise price is reported for the awards reported because shares of common stock are issued under all of the outstanding awards without any cash payment.</w:t>
      </w:r>
    </w:p>
    <w:p>
      <w:pPr>
        <w:ind w:left="960" w:right="40" w:hanging="293"/>
        <w:spacing w:after="0" w:line="241" w:lineRule="auto"/>
        <w:tabs>
          <w:tab w:leader="none" w:pos="9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of March 31, 2020, consisted of (i) 5,064,544 shares of common stock remaining available for future issuance under the 2017 Plan and (ii) 8,816,824 shares of common stock remaining available for future issuance under the 2017 Global ESPP. After giving effect to the purchase on April 30, 2020 by our employees of an aggregate of 65,443 shares of common stock pursuant to the 2017 Global ESPP, there were 8,751,381 shares of common stock remaining available for future issuance under the 2017 Global ESPP.</w:t>
      </w:r>
    </w:p>
    <w:p>
      <w:pPr>
        <w:spacing w:after="0" w:line="1" w:lineRule="exact"/>
        <w:rPr>
          <w:rFonts w:ascii="Arial" w:cs="Arial" w:eastAsia="Arial" w:hAnsi="Arial"/>
          <w:sz w:val="14"/>
          <w:szCs w:val="14"/>
          <w:color w:val="auto"/>
        </w:rPr>
      </w:pPr>
    </w:p>
    <w:p>
      <w:pPr>
        <w:jc w:val="both"/>
        <w:ind w:left="960" w:right="120" w:hanging="293"/>
        <w:spacing w:after="0" w:line="249" w:lineRule="auto"/>
        <w:tabs>
          <w:tab w:leader="none" w:pos="9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amount shown does not include shares of our common stock to be available for issuance under the Amended and Restated 2017 Plan proposed for approval by our shareholders at the Annual Meeting under Proposal 3 of this Proxy Statement. If approved, the aggregate number of shares of our common stock available for issuance under the 2017 Plan will be increased by 2,000,000.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information concerning our equity compensation plans as of June 30, 2020:</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spacing w:after="0"/>
              <w:rPr>
                <w:sz w:val="14"/>
                <w:szCs w:val="14"/>
                <w:color w:val="auto"/>
              </w:rPr>
            </w:pPr>
          </w:p>
        </w:tc>
        <w:tc>
          <w:tcPr>
            <w:tcW w:w="800" w:type="dxa"/>
            <w:vAlign w:val="bottom"/>
            <w:shd w:val="clear" w:color="auto" w:fill="005CB9"/>
          </w:tcPr>
          <w:p>
            <w:pPr>
              <w:spacing w:after="0"/>
              <w:rPr>
                <w:sz w:val="14"/>
                <w:szCs w:val="14"/>
                <w:color w:val="auto"/>
              </w:rPr>
            </w:pPr>
          </w:p>
        </w:tc>
        <w:tc>
          <w:tcPr>
            <w:tcW w:w="1240" w:type="dxa"/>
            <w:vAlign w:val="bottom"/>
            <w:shd w:val="clear" w:color="auto" w:fill="005CB9"/>
          </w:tcPr>
          <w:p>
            <w:pPr>
              <w:spacing w:after="0"/>
              <w:rPr>
                <w:sz w:val="14"/>
                <w:szCs w:val="14"/>
                <w:color w:val="auto"/>
              </w:rPr>
            </w:pPr>
          </w:p>
        </w:tc>
        <w:tc>
          <w:tcPr>
            <w:tcW w:w="42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Weighted-</w:t>
            </w:r>
          </w:p>
        </w:tc>
        <w:tc>
          <w:tcPr>
            <w:tcW w:w="360" w:type="dxa"/>
            <w:vAlign w:val="bottom"/>
            <w:shd w:val="clear" w:color="auto" w:fill="005CB9"/>
          </w:tcPr>
          <w:p>
            <w:pPr>
              <w:spacing w:after="0"/>
              <w:rPr>
                <w:sz w:val="14"/>
                <w:szCs w:val="14"/>
                <w:color w:val="auto"/>
              </w:rPr>
            </w:pPr>
          </w:p>
        </w:tc>
        <w:tc>
          <w:tcPr>
            <w:tcW w:w="2200" w:type="dxa"/>
            <w:vAlign w:val="bottom"/>
            <w:gridSpan w:val="2"/>
            <w:shd w:val="clear" w:color="auto" w:fill="005CB9"/>
          </w:tcPr>
          <w:p>
            <w:pPr>
              <w:jc w:val="center"/>
              <w:ind w:right="740"/>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spacing w:after="0"/>
              <w:rPr>
                <w:sz w:val="14"/>
                <w:szCs w:val="14"/>
                <w:color w:val="auto"/>
              </w:rPr>
            </w:pPr>
          </w:p>
        </w:tc>
        <w:tc>
          <w:tcPr>
            <w:tcW w:w="800" w:type="dxa"/>
            <w:vAlign w:val="bottom"/>
            <w:shd w:val="clear" w:color="auto" w:fill="005CB9"/>
          </w:tcPr>
          <w:p>
            <w:pPr>
              <w:spacing w:after="0"/>
              <w:rPr>
                <w:sz w:val="14"/>
                <w:szCs w:val="14"/>
                <w:color w:val="auto"/>
              </w:rPr>
            </w:pPr>
          </w:p>
        </w:tc>
        <w:tc>
          <w:tcPr>
            <w:tcW w:w="1240" w:type="dxa"/>
            <w:vAlign w:val="bottom"/>
            <w:shd w:val="clear" w:color="auto" w:fill="005CB9"/>
          </w:tcPr>
          <w:p>
            <w:pPr>
              <w:spacing w:after="0"/>
              <w:rPr>
                <w:sz w:val="14"/>
                <w:szCs w:val="14"/>
                <w:color w:val="auto"/>
              </w:rPr>
            </w:pPr>
          </w:p>
        </w:tc>
        <w:tc>
          <w:tcPr>
            <w:tcW w:w="42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Average</w:t>
            </w:r>
          </w:p>
        </w:tc>
        <w:tc>
          <w:tcPr>
            <w:tcW w:w="360" w:type="dxa"/>
            <w:vAlign w:val="bottom"/>
            <w:shd w:val="clear" w:color="auto" w:fill="005CB9"/>
          </w:tcPr>
          <w:p>
            <w:pPr>
              <w:spacing w:after="0"/>
              <w:rPr>
                <w:sz w:val="14"/>
                <w:szCs w:val="14"/>
                <w:color w:val="auto"/>
              </w:rPr>
            </w:pPr>
          </w:p>
        </w:tc>
        <w:tc>
          <w:tcPr>
            <w:tcW w:w="2200" w:type="dxa"/>
            <w:vAlign w:val="bottom"/>
            <w:gridSpan w:val="2"/>
            <w:shd w:val="clear" w:color="auto" w:fill="005CB9"/>
          </w:tcPr>
          <w:p>
            <w:pPr>
              <w:jc w:val="center"/>
              <w:ind w:right="720"/>
              <w:spacing w:after="0"/>
              <w:rPr>
                <w:sz w:val="20"/>
                <w:szCs w:val="20"/>
                <w:color w:val="auto"/>
              </w:rPr>
            </w:pPr>
            <w:r>
              <w:rPr>
                <w:rFonts w:ascii="Arial" w:cs="Arial" w:eastAsia="Arial" w:hAnsi="Arial"/>
                <w:sz w:val="14"/>
                <w:szCs w:val="14"/>
                <w:b w:val="1"/>
                <w:bCs w:val="1"/>
                <w:color w:val="FFFFFF"/>
              </w:rPr>
              <w:t>Remaining Available</w:t>
            </w:r>
          </w:p>
        </w:tc>
      </w:tr>
      <w:tr>
        <w:trPr>
          <w:trHeight w:val="162"/>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80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Weighted-</w:t>
            </w:r>
          </w:p>
        </w:tc>
        <w:tc>
          <w:tcPr>
            <w:tcW w:w="42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Remaining</w:t>
            </w:r>
          </w:p>
        </w:tc>
        <w:tc>
          <w:tcPr>
            <w:tcW w:w="360" w:type="dxa"/>
            <w:vAlign w:val="bottom"/>
            <w:shd w:val="clear" w:color="auto" w:fill="005CB9"/>
          </w:tcPr>
          <w:p>
            <w:pPr>
              <w:spacing w:after="0"/>
              <w:rPr>
                <w:sz w:val="14"/>
                <w:szCs w:val="14"/>
                <w:color w:val="auto"/>
              </w:rPr>
            </w:pPr>
          </w:p>
        </w:tc>
        <w:tc>
          <w:tcPr>
            <w:tcW w:w="2200" w:type="dxa"/>
            <w:vAlign w:val="bottom"/>
            <w:gridSpan w:val="2"/>
            <w:shd w:val="clear" w:color="auto" w:fill="005CB9"/>
          </w:tcPr>
          <w:p>
            <w:pPr>
              <w:jc w:val="center"/>
              <w:ind w:right="740"/>
              <w:spacing w:after="0"/>
              <w:rPr>
                <w:sz w:val="20"/>
                <w:szCs w:val="20"/>
                <w:color w:val="auto"/>
              </w:rPr>
            </w:pPr>
            <w:r>
              <w:rPr>
                <w:rFonts w:ascii="Arial" w:cs="Arial" w:eastAsia="Arial" w:hAnsi="Arial"/>
                <w:sz w:val="14"/>
                <w:szCs w:val="14"/>
                <w:b w:val="1"/>
                <w:bCs w:val="1"/>
                <w:color w:val="FFFFFF"/>
              </w:rPr>
              <w:t>for Future Issuance</w:t>
            </w:r>
          </w:p>
        </w:tc>
      </w:tr>
      <w:tr>
        <w:trPr>
          <w:trHeight w:val="162"/>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to be Issued</w:t>
            </w:r>
          </w:p>
        </w:tc>
        <w:tc>
          <w:tcPr>
            <w:tcW w:w="80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Average</w:t>
            </w:r>
          </w:p>
        </w:tc>
        <w:tc>
          <w:tcPr>
            <w:tcW w:w="42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Contractual Life</w:t>
            </w:r>
          </w:p>
        </w:tc>
        <w:tc>
          <w:tcPr>
            <w:tcW w:w="360" w:type="dxa"/>
            <w:vAlign w:val="bottom"/>
            <w:shd w:val="clear" w:color="auto" w:fill="005CB9"/>
          </w:tcPr>
          <w:p>
            <w:pPr>
              <w:spacing w:after="0"/>
              <w:rPr>
                <w:sz w:val="14"/>
                <w:szCs w:val="14"/>
                <w:color w:val="auto"/>
              </w:rPr>
            </w:pPr>
          </w:p>
        </w:tc>
        <w:tc>
          <w:tcPr>
            <w:tcW w:w="2200" w:type="dxa"/>
            <w:vAlign w:val="bottom"/>
            <w:gridSpan w:val="2"/>
            <w:shd w:val="clear" w:color="auto" w:fill="005CB9"/>
          </w:tcPr>
          <w:p>
            <w:pPr>
              <w:jc w:val="center"/>
              <w:ind w:right="740"/>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Upon Exercise</w:t>
            </w:r>
          </w:p>
        </w:tc>
        <w:tc>
          <w:tcPr>
            <w:tcW w:w="80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Exercise Price</w:t>
            </w:r>
          </w:p>
        </w:tc>
        <w:tc>
          <w:tcPr>
            <w:tcW w:w="42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of Outstanding</w:t>
            </w:r>
          </w:p>
        </w:tc>
        <w:tc>
          <w:tcPr>
            <w:tcW w:w="360" w:type="dxa"/>
            <w:vAlign w:val="bottom"/>
            <w:shd w:val="clear" w:color="auto" w:fill="005CB9"/>
          </w:tcPr>
          <w:p>
            <w:pPr>
              <w:spacing w:after="0"/>
              <w:rPr>
                <w:sz w:val="14"/>
                <w:szCs w:val="14"/>
                <w:color w:val="auto"/>
              </w:rPr>
            </w:pPr>
          </w:p>
        </w:tc>
        <w:tc>
          <w:tcPr>
            <w:tcW w:w="2200" w:type="dxa"/>
            <w:vAlign w:val="bottom"/>
            <w:gridSpan w:val="2"/>
            <w:shd w:val="clear" w:color="auto" w:fill="005CB9"/>
          </w:tcPr>
          <w:p>
            <w:pPr>
              <w:jc w:val="center"/>
              <w:ind w:right="740"/>
              <w:spacing w:after="0"/>
              <w:rPr>
                <w:sz w:val="20"/>
                <w:szCs w:val="20"/>
                <w:color w:val="auto"/>
              </w:rPr>
            </w:pPr>
            <w:r>
              <w:rPr>
                <w:rFonts w:ascii="Arial" w:cs="Arial" w:eastAsia="Arial" w:hAnsi="Arial"/>
                <w:sz w:val="14"/>
                <w:szCs w:val="14"/>
                <w:b w:val="1"/>
                <w:bCs w:val="1"/>
                <w:color w:val="FFFFFF"/>
              </w:rPr>
              <w:t>Compensation Plans</w:t>
            </w:r>
          </w:p>
        </w:tc>
      </w:tr>
      <w:tr>
        <w:trPr>
          <w:trHeight w:val="162"/>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of Outstanding</w:t>
            </w:r>
          </w:p>
        </w:tc>
        <w:tc>
          <w:tcPr>
            <w:tcW w:w="80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of Outstanding</w:t>
            </w:r>
          </w:p>
        </w:tc>
        <w:tc>
          <w:tcPr>
            <w:tcW w:w="1660" w:type="dxa"/>
            <w:vAlign w:val="bottom"/>
            <w:gridSpan w:val="2"/>
            <w:shd w:val="clear" w:color="auto" w:fill="005CB9"/>
          </w:tcPr>
          <w:p>
            <w:pPr>
              <w:jc w:val="center"/>
              <w:ind w:left="348"/>
              <w:spacing w:after="0"/>
              <w:rPr>
                <w:sz w:val="20"/>
                <w:szCs w:val="20"/>
                <w:color w:val="auto"/>
              </w:rPr>
            </w:pPr>
            <w:r>
              <w:rPr>
                <w:rFonts w:ascii="Arial" w:cs="Arial" w:eastAsia="Arial" w:hAnsi="Arial"/>
                <w:sz w:val="14"/>
                <w:szCs w:val="14"/>
                <w:b w:val="1"/>
                <w:bCs w:val="1"/>
                <w:color w:val="FFFFFF"/>
              </w:rPr>
              <w:t>Options, Warrants</w:t>
            </w:r>
          </w:p>
        </w:tc>
        <w:tc>
          <w:tcPr>
            <w:tcW w:w="360" w:type="dxa"/>
            <w:vAlign w:val="bottom"/>
            <w:shd w:val="clear" w:color="auto" w:fill="005CB9"/>
          </w:tcPr>
          <w:p>
            <w:pPr>
              <w:spacing w:after="0"/>
              <w:rPr>
                <w:sz w:val="14"/>
                <w:szCs w:val="14"/>
                <w:color w:val="auto"/>
              </w:rPr>
            </w:pPr>
          </w:p>
        </w:tc>
        <w:tc>
          <w:tcPr>
            <w:tcW w:w="2200" w:type="dxa"/>
            <w:vAlign w:val="bottom"/>
            <w:gridSpan w:val="2"/>
            <w:shd w:val="clear" w:color="auto" w:fill="005CB9"/>
          </w:tcPr>
          <w:p>
            <w:pPr>
              <w:jc w:val="center"/>
              <w:ind w:right="740"/>
              <w:spacing w:after="0"/>
              <w:rPr>
                <w:sz w:val="20"/>
                <w:szCs w:val="20"/>
                <w:color w:val="auto"/>
              </w:rPr>
            </w:pPr>
            <w:r>
              <w:rPr>
                <w:rFonts w:ascii="Arial" w:cs="Arial" w:eastAsia="Arial" w:hAnsi="Arial"/>
                <w:sz w:val="14"/>
                <w:szCs w:val="14"/>
                <w:b w:val="1"/>
                <w:bCs w:val="1"/>
                <w:color w:val="FFFFFF"/>
              </w:rPr>
              <w:t>(Excluding Securities</w:t>
            </w:r>
          </w:p>
        </w:tc>
      </w:tr>
      <w:tr>
        <w:trPr>
          <w:trHeight w:val="162"/>
        </w:trPr>
        <w:tc>
          <w:tcPr>
            <w:tcW w:w="2200" w:type="dxa"/>
            <w:vAlign w:val="bottom"/>
            <w:shd w:val="clear" w:color="auto" w:fill="005CB9"/>
          </w:tcPr>
          <w:p>
            <w:pPr>
              <w:spacing w:after="0"/>
              <w:rPr>
                <w:sz w:val="14"/>
                <w:szCs w:val="14"/>
                <w:color w:val="auto"/>
              </w:rPr>
            </w:pP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Options, Warrants</w:t>
            </w:r>
          </w:p>
        </w:tc>
        <w:tc>
          <w:tcPr>
            <w:tcW w:w="2040" w:type="dxa"/>
            <w:vAlign w:val="bottom"/>
            <w:gridSpan w:val="2"/>
            <w:shd w:val="clear" w:color="auto" w:fill="005CB9"/>
          </w:tcPr>
          <w:p>
            <w:pPr>
              <w:jc w:val="center"/>
              <w:ind w:left="728"/>
              <w:spacing w:after="0"/>
              <w:rPr>
                <w:sz w:val="20"/>
                <w:szCs w:val="20"/>
                <w:color w:val="auto"/>
              </w:rPr>
            </w:pPr>
            <w:r>
              <w:rPr>
                <w:rFonts w:ascii="Arial" w:cs="Arial" w:eastAsia="Arial" w:hAnsi="Arial"/>
                <w:sz w:val="14"/>
                <w:szCs w:val="14"/>
                <w:b w:val="1"/>
                <w:bCs w:val="1"/>
                <w:color w:val="FFFFFF"/>
              </w:rPr>
              <w:t>Options, Warrants</w:t>
            </w:r>
          </w:p>
        </w:tc>
        <w:tc>
          <w:tcPr>
            <w:tcW w:w="420" w:type="dxa"/>
            <w:vAlign w:val="bottom"/>
            <w:shd w:val="clear" w:color="auto" w:fill="005CB9"/>
          </w:tcPr>
          <w:p>
            <w:pPr>
              <w:spacing w:after="0"/>
              <w:rPr>
                <w:sz w:val="14"/>
                <w:szCs w:val="14"/>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and Rights</w:t>
            </w:r>
          </w:p>
        </w:tc>
        <w:tc>
          <w:tcPr>
            <w:tcW w:w="360" w:type="dxa"/>
            <w:vAlign w:val="bottom"/>
            <w:shd w:val="clear" w:color="auto" w:fill="005CB9"/>
          </w:tcPr>
          <w:p>
            <w:pPr>
              <w:spacing w:after="0"/>
              <w:rPr>
                <w:sz w:val="14"/>
                <w:szCs w:val="14"/>
                <w:color w:val="auto"/>
              </w:rPr>
            </w:pPr>
          </w:p>
        </w:tc>
        <w:tc>
          <w:tcPr>
            <w:tcW w:w="2200" w:type="dxa"/>
            <w:vAlign w:val="bottom"/>
            <w:gridSpan w:val="2"/>
            <w:shd w:val="clear" w:color="auto" w:fill="005CB9"/>
          </w:tcPr>
          <w:p>
            <w:pPr>
              <w:jc w:val="center"/>
              <w:ind w:right="740"/>
              <w:spacing w:after="0"/>
              <w:rPr>
                <w:sz w:val="20"/>
                <w:szCs w:val="20"/>
                <w:color w:val="auto"/>
              </w:rPr>
            </w:pPr>
            <w:r>
              <w:rPr>
                <w:rFonts w:ascii="Arial" w:cs="Arial" w:eastAsia="Arial" w:hAnsi="Arial"/>
                <w:sz w:val="14"/>
                <w:szCs w:val="14"/>
                <w:b w:val="1"/>
                <w:bCs w:val="1"/>
                <w:color w:val="FFFFFF"/>
              </w:rPr>
              <w:t>Reflected in the</w:t>
            </w:r>
          </w:p>
        </w:tc>
      </w:tr>
      <w:tr>
        <w:trPr>
          <w:trHeight w:val="189"/>
        </w:trPr>
        <w:tc>
          <w:tcPr>
            <w:tcW w:w="220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Plan Category</w:t>
            </w: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and Rights(1)</w:t>
            </w:r>
          </w:p>
        </w:tc>
        <w:tc>
          <w:tcPr>
            <w:tcW w:w="800" w:type="dxa"/>
            <w:vAlign w:val="bottom"/>
            <w:shd w:val="clear" w:color="auto" w:fill="005CB9"/>
          </w:tcPr>
          <w:p>
            <w:pPr>
              <w:spacing w:after="0"/>
              <w:rPr>
                <w:sz w:val="16"/>
                <w:szCs w:val="16"/>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and Rights ($)(2)</w:t>
            </w:r>
          </w:p>
        </w:tc>
        <w:tc>
          <w:tcPr>
            <w:tcW w:w="420" w:type="dxa"/>
            <w:vAlign w:val="bottom"/>
            <w:shd w:val="clear" w:color="auto" w:fill="005CB9"/>
          </w:tcPr>
          <w:p>
            <w:pPr>
              <w:spacing w:after="0"/>
              <w:rPr>
                <w:sz w:val="16"/>
                <w:szCs w:val="16"/>
                <w:color w:val="auto"/>
              </w:rPr>
            </w:pPr>
          </w:p>
        </w:tc>
        <w:tc>
          <w:tcPr>
            <w:tcW w:w="12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(years)</w:t>
            </w:r>
          </w:p>
        </w:tc>
        <w:tc>
          <w:tcPr>
            <w:tcW w:w="360" w:type="dxa"/>
            <w:vAlign w:val="bottom"/>
            <w:shd w:val="clear" w:color="auto" w:fill="005CB9"/>
          </w:tcPr>
          <w:p>
            <w:pPr>
              <w:spacing w:after="0"/>
              <w:rPr>
                <w:sz w:val="16"/>
                <w:szCs w:val="16"/>
                <w:color w:val="auto"/>
              </w:rPr>
            </w:pPr>
          </w:p>
        </w:tc>
        <w:tc>
          <w:tcPr>
            <w:tcW w:w="2200" w:type="dxa"/>
            <w:vAlign w:val="bottom"/>
            <w:gridSpan w:val="2"/>
            <w:shd w:val="clear" w:color="auto" w:fill="005CB9"/>
          </w:tcPr>
          <w:p>
            <w:pPr>
              <w:jc w:val="center"/>
              <w:ind w:right="740"/>
              <w:spacing w:after="0"/>
              <w:rPr>
                <w:sz w:val="20"/>
                <w:szCs w:val="20"/>
                <w:color w:val="auto"/>
              </w:rPr>
            </w:pPr>
            <w:r>
              <w:rPr>
                <w:rFonts w:ascii="Arial" w:cs="Arial" w:eastAsia="Arial" w:hAnsi="Arial"/>
                <w:sz w:val="14"/>
                <w:szCs w:val="14"/>
                <w:b w:val="1"/>
                <w:bCs w:val="1"/>
                <w:color w:val="FFFFFF"/>
              </w:rPr>
              <w:t>First Column)</w:t>
            </w:r>
          </w:p>
        </w:tc>
      </w:tr>
      <w:tr>
        <w:trPr>
          <w:trHeight w:val="231"/>
        </w:trPr>
        <w:tc>
          <w:tcPr>
            <w:tcW w:w="2200" w:type="dxa"/>
            <w:vAlign w:val="bottom"/>
            <w:shd w:val="clear" w:color="auto" w:fill="EAEAEA"/>
          </w:tcPr>
          <w:p>
            <w:pPr>
              <w:ind w:left="80"/>
              <w:spacing w:after="0"/>
              <w:rPr>
                <w:sz w:val="20"/>
                <w:szCs w:val="20"/>
                <w:color w:val="auto"/>
              </w:rPr>
            </w:pPr>
            <w:r>
              <w:rPr>
                <w:rFonts w:ascii="Arial" w:cs="Arial" w:eastAsia="Arial" w:hAnsi="Arial"/>
                <w:sz w:val="16"/>
                <w:szCs w:val="16"/>
                <w:color w:val="auto"/>
              </w:rPr>
              <w:t>Equity compensation</w:t>
            </w:r>
          </w:p>
        </w:tc>
        <w:tc>
          <w:tcPr>
            <w:tcW w:w="1460" w:type="dxa"/>
            <w:vAlign w:val="bottom"/>
            <w:shd w:val="clear" w:color="auto" w:fill="EAEAEA"/>
          </w:tcPr>
          <w:p>
            <w:pPr>
              <w:spacing w:after="0"/>
              <w:rPr>
                <w:sz w:val="20"/>
                <w:szCs w:val="20"/>
                <w:color w:val="auto"/>
              </w:rPr>
            </w:pPr>
          </w:p>
        </w:tc>
        <w:tc>
          <w:tcPr>
            <w:tcW w:w="800" w:type="dxa"/>
            <w:vAlign w:val="bottom"/>
            <w:shd w:val="clear" w:color="auto" w:fill="EAEAEA"/>
          </w:tcPr>
          <w:p>
            <w:pPr>
              <w:spacing w:after="0"/>
              <w:rPr>
                <w:sz w:val="20"/>
                <w:szCs w:val="20"/>
                <w:color w:val="auto"/>
              </w:rPr>
            </w:pPr>
          </w:p>
        </w:tc>
        <w:tc>
          <w:tcPr>
            <w:tcW w:w="1240" w:type="dxa"/>
            <w:vAlign w:val="bottom"/>
            <w:shd w:val="clear" w:color="auto" w:fill="EAEAEA"/>
          </w:tcPr>
          <w:p>
            <w:pPr>
              <w:spacing w:after="0"/>
              <w:rPr>
                <w:sz w:val="20"/>
                <w:szCs w:val="20"/>
                <w:color w:val="auto"/>
              </w:rPr>
            </w:pPr>
          </w:p>
        </w:tc>
        <w:tc>
          <w:tcPr>
            <w:tcW w:w="420" w:type="dxa"/>
            <w:vAlign w:val="bottom"/>
            <w:shd w:val="clear" w:color="auto" w:fill="EAEAEA"/>
          </w:tcPr>
          <w:p>
            <w:pPr>
              <w:spacing w:after="0"/>
              <w:rPr>
                <w:sz w:val="20"/>
                <w:szCs w:val="20"/>
                <w:color w:val="auto"/>
              </w:rPr>
            </w:pPr>
          </w:p>
        </w:tc>
        <w:tc>
          <w:tcPr>
            <w:tcW w:w="1240" w:type="dxa"/>
            <w:vAlign w:val="bottom"/>
            <w:shd w:val="clear" w:color="auto" w:fill="EAEAEA"/>
          </w:tcPr>
          <w:p>
            <w:pPr>
              <w:spacing w:after="0"/>
              <w:rPr>
                <w:sz w:val="20"/>
                <w:szCs w:val="20"/>
                <w:color w:val="auto"/>
              </w:rPr>
            </w:pPr>
          </w:p>
        </w:tc>
        <w:tc>
          <w:tcPr>
            <w:tcW w:w="360" w:type="dxa"/>
            <w:vAlign w:val="bottom"/>
            <w:shd w:val="clear" w:color="auto" w:fill="EAEAEA"/>
          </w:tcPr>
          <w:p>
            <w:pPr>
              <w:spacing w:after="0"/>
              <w:rPr>
                <w:sz w:val="20"/>
                <w:szCs w:val="20"/>
                <w:color w:val="auto"/>
              </w:rPr>
            </w:pPr>
          </w:p>
        </w:tc>
        <w:tc>
          <w:tcPr>
            <w:tcW w:w="1460" w:type="dxa"/>
            <w:vAlign w:val="bottom"/>
            <w:shd w:val="clear" w:color="auto" w:fill="EAEAEA"/>
          </w:tcPr>
          <w:p>
            <w:pPr>
              <w:spacing w:after="0"/>
              <w:rPr>
                <w:sz w:val="20"/>
                <w:szCs w:val="20"/>
                <w:color w:val="auto"/>
              </w:rPr>
            </w:pPr>
          </w:p>
        </w:tc>
        <w:tc>
          <w:tcPr>
            <w:tcW w:w="740" w:type="dxa"/>
            <w:vAlign w:val="bottom"/>
            <w:shd w:val="clear" w:color="auto" w:fill="EAEAEA"/>
          </w:tcPr>
          <w:p>
            <w:pPr>
              <w:spacing w:after="0"/>
              <w:rPr>
                <w:sz w:val="20"/>
                <w:szCs w:val="20"/>
                <w:color w:val="auto"/>
              </w:rPr>
            </w:pPr>
          </w:p>
        </w:tc>
      </w:tr>
      <w:tr>
        <w:trPr>
          <w:trHeight w:val="189"/>
        </w:trPr>
        <w:tc>
          <w:tcPr>
            <w:tcW w:w="2200" w:type="dxa"/>
            <w:vAlign w:val="bottom"/>
            <w:shd w:val="clear" w:color="auto" w:fill="EAEAEA"/>
          </w:tcPr>
          <w:p>
            <w:pPr>
              <w:ind w:left="80"/>
              <w:spacing w:after="0"/>
              <w:rPr>
                <w:sz w:val="20"/>
                <w:szCs w:val="20"/>
                <w:color w:val="auto"/>
              </w:rPr>
            </w:pPr>
            <w:r>
              <w:rPr>
                <w:rFonts w:ascii="Arial" w:cs="Arial" w:eastAsia="Arial" w:hAnsi="Arial"/>
                <w:sz w:val="16"/>
                <w:szCs w:val="16"/>
                <w:color w:val="auto"/>
              </w:rPr>
              <w:t>plans approved by</w:t>
            </w:r>
          </w:p>
        </w:tc>
        <w:tc>
          <w:tcPr>
            <w:tcW w:w="1460" w:type="dxa"/>
            <w:vAlign w:val="bottom"/>
            <w:shd w:val="clear" w:color="auto" w:fill="EAEAEA"/>
          </w:tcPr>
          <w:p>
            <w:pPr>
              <w:spacing w:after="0"/>
              <w:rPr>
                <w:sz w:val="16"/>
                <w:szCs w:val="16"/>
                <w:color w:val="auto"/>
              </w:rPr>
            </w:pPr>
          </w:p>
        </w:tc>
        <w:tc>
          <w:tcPr>
            <w:tcW w:w="800" w:type="dxa"/>
            <w:vAlign w:val="bottom"/>
            <w:shd w:val="clear" w:color="auto" w:fill="EAEAEA"/>
          </w:tcPr>
          <w:p>
            <w:pPr>
              <w:spacing w:after="0"/>
              <w:rPr>
                <w:sz w:val="16"/>
                <w:szCs w:val="16"/>
                <w:color w:val="auto"/>
              </w:rPr>
            </w:pPr>
          </w:p>
        </w:tc>
        <w:tc>
          <w:tcPr>
            <w:tcW w:w="1240" w:type="dxa"/>
            <w:vAlign w:val="bottom"/>
            <w:shd w:val="clear" w:color="auto" w:fill="EAEAEA"/>
          </w:tcPr>
          <w:p>
            <w:pPr>
              <w:spacing w:after="0"/>
              <w:rPr>
                <w:sz w:val="16"/>
                <w:szCs w:val="16"/>
                <w:color w:val="auto"/>
              </w:rPr>
            </w:pPr>
          </w:p>
        </w:tc>
        <w:tc>
          <w:tcPr>
            <w:tcW w:w="420" w:type="dxa"/>
            <w:vAlign w:val="bottom"/>
            <w:shd w:val="clear" w:color="auto" w:fill="EAEAEA"/>
          </w:tcPr>
          <w:p>
            <w:pPr>
              <w:spacing w:after="0"/>
              <w:rPr>
                <w:sz w:val="16"/>
                <w:szCs w:val="16"/>
                <w:color w:val="auto"/>
              </w:rPr>
            </w:pPr>
          </w:p>
        </w:tc>
        <w:tc>
          <w:tcPr>
            <w:tcW w:w="1240" w:type="dxa"/>
            <w:vAlign w:val="bottom"/>
            <w:shd w:val="clear" w:color="auto" w:fill="EAEAEA"/>
          </w:tcPr>
          <w:p>
            <w:pPr>
              <w:spacing w:after="0"/>
              <w:rPr>
                <w:sz w:val="16"/>
                <w:szCs w:val="16"/>
                <w:color w:val="auto"/>
              </w:rPr>
            </w:pPr>
          </w:p>
        </w:tc>
        <w:tc>
          <w:tcPr>
            <w:tcW w:w="360" w:type="dxa"/>
            <w:vAlign w:val="bottom"/>
            <w:shd w:val="clear" w:color="auto" w:fill="EAEAEA"/>
          </w:tcPr>
          <w:p>
            <w:pPr>
              <w:spacing w:after="0"/>
              <w:rPr>
                <w:sz w:val="16"/>
                <w:szCs w:val="16"/>
                <w:color w:val="auto"/>
              </w:rPr>
            </w:pPr>
          </w:p>
        </w:tc>
        <w:tc>
          <w:tcPr>
            <w:tcW w:w="1460" w:type="dxa"/>
            <w:vAlign w:val="bottom"/>
            <w:shd w:val="clear" w:color="auto" w:fill="EAEAEA"/>
          </w:tcPr>
          <w:p>
            <w:pPr>
              <w:spacing w:after="0"/>
              <w:rPr>
                <w:sz w:val="16"/>
                <w:szCs w:val="16"/>
                <w:color w:val="auto"/>
              </w:rPr>
            </w:pPr>
          </w:p>
        </w:tc>
        <w:tc>
          <w:tcPr>
            <w:tcW w:w="740" w:type="dxa"/>
            <w:vAlign w:val="bottom"/>
            <w:shd w:val="clear" w:color="auto" w:fill="EAEAEA"/>
          </w:tcPr>
          <w:p>
            <w:pPr>
              <w:spacing w:after="0"/>
              <w:rPr>
                <w:sz w:val="16"/>
                <w:szCs w:val="16"/>
                <w:color w:val="auto"/>
              </w:rPr>
            </w:pPr>
          </w:p>
        </w:tc>
      </w:tr>
      <w:tr>
        <w:trPr>
          <w:trHeight w:val="221"/>
        </w:trPr>
        <w:tc>
          <w:tcPr>
            <w:tcW w:w="22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6"/>
                <w:szCs w:val="16"/>
                <w:color w:val="auto"/>
              </w:rPr>
              <w:t>shareholders</w:t>
            </w:r>
          </w:p>
        </w:tc>
        <w:tc>
          <w:tcPr>
            <w:tcW w:w="14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2,461,933</w:t>
            </w:r>
          </w:p>
        </w:tc>
        <w:tc>
          <w:tcPr>
            <w:tcW w:w="800" w:type="dxa"/>
            <w:vAlign w:val="bottom"/>
            <w:tcBorders>
              <w:bottom w:val="single" w:sz="8" w:color="EAEAEA"/>
            </w:tcBorders>
            <w:shd w:val="clear" w:color="auto" w:fill="EAEAEA"/>
          </w:tcPr>
          <w:p>
            <w:pPr>
              <w:spacing w:after="0"/>
              <w:rPr>
                <w:sz w:val="19"/>
                <w:szCs w:val="19"/>
                <w:color w:val="auto"/>
              </w:rPr>
            </w:pPr>
          </w:p>
        </w:tc>
        <w:tc>
          <w:tcPr>
            <w:tcW w:w="12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bottom w:val="single" w:sz="8" w:color="EAEAEA"/>
            </w:tcBorders>
            <w:shd w:val="clear" w:color="auto" w:fill="EAEAEA"/>
          </w:tcPr>
          <w:p>
            <w:pPr>
              <w:spacing w:after="0"/>
              <w:rPr>
                <w:sz w:val="19"/>
                <w:szCs w:val="19"/>
                <w:color w:val="auto"/>
              </w:rPr>
            </w:pPr>
          </w:p>
        </w:tc>
        <w:tc>
          <w:tcPr>
            <w:tcW w:w="12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2560" w:type="dxa"/>
            <w:vAlign w:val="bottom"/>
            <w:tcBorders>
              <w:bottom w:val="single" w:sz="8" w:color="EAEAEA"/>
            </w:tcBorders>
            <w:gridSpan w:val="3"/>
            <w:shd w:val="clear" w:color="auto" w:fill="EAEAEA"/>
          </w:tcPr>
          <w:p>
            <w:pPr>
              <w:jc w:val="right"/>
              <w:ind w:right="240"/>
              <w:spacing w:after="0"/>
              <w:rPr>
                <w:sz w:val="20"/>
                <w:szCs w:val="20"/>
                <w:color w:val="auto"/>
              </w:rPr>
            </w:pPr>
            <w:r>
              <w:rPr>
                <w:rFonts w:ascii="Arial" w:cs="Arial" w:eastAsia="Arial" w:hAnsi="Arial"/>
                <w:sz w:val="16"/>
                <w:szCs w:val="16"/>
                <w:color w:val="auto"/>
              </w:rPr>
              <w:t>13,495,634(3)(4)</w:t>
            </w:r>
          </w:p>
        </w:tc>
      </w:tr>
      <w:tr>
        <w:trPr>
          <w:trHeight w:val="231"/>
        </w:trPr>
        <w:tc>
          <w:tcPr>
            <w:tcW w:w="2200" w:type="dxa"/>
            <w:vAlign w:val="bottom"/>
          </w:tcPr>
          <w:p>
            <w:pPr>
              <w:ind w:left="80"/>
              <w:spacing w:after="0"/>
              <w:rPr>
                <w:sz w:val="20"/>
                <w:szCs w:val="20"/>
                <w:color w:val="auto"/>
              </w:rPr>
            </w:pPr>
            <w:r>
              <w:rPr>
                <w:rFonts w:ascii="Arial" w:cs="Arial" w:eastAsia="Arial" w:hAnsi="Arial"/>
                <w:sz w:val="16"/>
                <w:szCs w:val="16"/>
                <w:color w:val="auto"/>
              </w:rPr>
              <w:t>Equity compensation</w:t>
            </w:r>
          </w:p>
        </w:tc>
        <w:tc>
          <w:tcPr>
            <w:tcW w:w="1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89"/>
        </w:trPr>
        <w:tc>
          <w:tcPr>
            <w:tcW w:w="2200" w:type="dxa"/>
            <w:vAlign w:val="bottom"/>
          </w:tcPr>
          <w:p>
            <w:pPr>
              <w:ind w:left="80"/>
              <w:spacing w:after="0"/>
              <w:rPr>
                <w:sz w:val="20"/>
                <w:szCs w:val="20"/>
                <w:color w:val="auto"/>
              </w:rPr>
            </w:pPr>
            <w:r>
              <w:rPr>
                <w:rFonts w:ascii="Arial" w:cs="Arial" w:eastAsia="Arial" w:hAnsi="Arial"/>
                <w:sz w:val="16"/>
                <w:szCs w:val="16"/>
                <w:color w:val="auto"/>
              </w:rPr>
              <w:t>plans not approved by</w:t>
            </w:r>
          </w:p>
        </w:tc>
        <w:tc>
          <w:tcPr>
            <w:tcW w:w="1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2200" w:type="dxa"/>
            <w:vAlign w:val="bottom"/>
          </w:tcPr>
          <w:p>
            <w:pPr>
              <w:ind w:left="80"/>
              <w:spacing w:after="0"/>
              <w:rPr>
                <w:sz w:val="20"/>
                <w:szCs w:val="20"/>
                <w:color w:val="auto"/>
              </w:rPr>
            </w:pPr>
            <w:r>
              <w:rPr>
                <w:rFonts w:ascii="Arial" w:cs="Arial" w:eastAsia="Arial" w:hAnsi="Arial"/>
                <w:sz w:val="16"/>
                <w:szCs w:val="16"/>
                <w:color w:val="auto"/>
              </w:rPr>
              <w:t>shareholders</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16"/>
                <w:szCs w:val="16"/>
                <w:color w:val="auto"/>
              </w:rPr>
            </w:pPr>
          </w:p>
        </w:tc>
        <w:tc>
          <w:tcPr>
            <w:tcW w:w="220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r>
      <w:tr>
        <w:trPr>
          <w:trHeight w:val="54"/>
        </w:trPr>
        <w:tc>
          <w:tcPr>
            <w:tcW w:w="220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40" w:type="dxa"/>
            <w:vAlign w:val="bottom"/>
          </w:tcPr>
          <w:p>
            <w:pPr>
              <w:spacing w:after="0"/>
              <w:rPr>
                <w:sz w:val="4"/>
                <w:szCs w:val="4"/>
                <w:color w:val="auto"/>
              </w:rPr>
            </w:pPr>
          </w:p>
        </w:tc>
      </w:tr>
      <w:tr>
        <w:trPr>
          <w:trHeight w:val="230"/>
        </w:trPr>
        <w:tc>
          <w:tcPr>
            <w:tcW w:w="2200" w:type="dxa"/>
            <w:vAlign w:val="bottom"/>
            <w:shd w:val="clear" w:color="auto" w:fill="EAEAEA"/>
          </w:tcPr>
          <w:p>
            <w:pPr>
              <w:ind w:left="80"/>
              <w:spacing w:after="0"/>
              <w:rPr>
                <w:sz w:val="20"/>
                <w:szCs w:val="20"/>
                <w:color w:val="auto"/>
              </w:rPr>
            </w:pPr>
            <w:r>
              <w:rPr>
                <w:rFonts w:ascii="Arial" w:cs="Arial" w:eastAsia="Arial" w:hAnsi="Arial"/>
                <w:sz w:val="16"/>
                <w:szCs w:val="16"/>
                <w:color w:val="auto"/>
              </w:rPr>
              <w:t>Total</w:t>
            </w:r>
          </w:p>
        </w:tc>
        <w:tc>
          <w:tcPr>
            <w:tcW w:w="14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2,461,933</w:t>
            </w:r>
          </w:p>
        </w:tc>
        <w:tc>
          <w:tcPr>
            <w:tcW w:w="800" w:type="dxa"/>
            <w:vAlign w:val="bottom"/>
            <w:shd w:val="clear" w:color="auto" w:fill="EAEAEA"/>
          </w:tcPr>
          <w:p>
            <w:pPr>
              <w:spacing w:after="0"/>
              <w:rPr>
                <w:sz w:val="19"/>
                <w:szCs w:val="19"/>
                <w:color w:val="auto"/>
              </w:rPr>
            </w:pPr>
          </w:p>
        </w:tc>
        <w:tc>
          <w:tcPr>
            <w:tcW w:w="124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EAEAEA"/>
          </w:tcPr>
          <w:p>
            <w:pPr>
              <w:spacing w:after="0"/>
              <w:rPr>
                <w:sz w:val="19"/>
                <w:szCs w:val="19"/>
                <w:color w:val="auto"/>
              </w:rPr>
            </w:pPr>
          </w:p>
        </w:tc>
        <w:tc>
          <w:tcPr>
            <w:tcW w:w="124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gridSpan w:val="2"/>
            <w:shd w:val="clear" w:color="auto" w:fill="EAEAEA"/>
          </w:tcPr>
          <w:p>
            <w:pPr>
              <w:jc w:val="right"/>
              <w:spacing w:after="0"/>
              <w:rPr>
                <w:sz w:val="20"/>
                <w:szCs w:val="20"/>
                <w:color w:val="auto"/>
              </w:rPr>
            </w:pPr>
            <w:r>
              <w:rPr>
                <w:rFonts w:ascii="Arial" w:cs="Arial" w:eastAsia="Arial" w:hAnsi="Arial"/>
                <w:sz w:val="16"/>
                <w:szCs w:val="16"/>
                <w:color w:val="auto"/>
              </w:rPr>
              <w:t>13,495,634</w:t>
            </w:r>
          </w:p>
        </w:tc>
        <w:tc>
          <w:tcPr>
            <w:tcW w:w="740" w:type="dxa"/>
            <w:vAlign w:val="bottom"/>
            <w:shd w:val="clear" w:color="auto" w:fill="EAEAEA"/>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40" w:lineRule="exact"/>
        <w:rPr>
          <w:sz w:val="20"/>
          <w:szCs w:val="20"/>
          <w:color w:val="auto"/>
        </w:rPr>
      </w:pPr>
    </w:p>
    <w:p>
      <w:pPr>
        <w:ind w:left="960" w:right="20" w:hanging="293"/>
        <w:spacing w:after="0" w:line="241" w:lineRule="auto"/>
        <w:tabs>
          <w:tab w:leader="none" w:pos="9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As of June 30, 2020, the Company also had 12,540 shares of outstanding restricted stock, which are not reflected in the table because they are treated as issued and outstanding and will not have additional dilutive impact on the Company when the awards vest.</w:t>
      </w:r>
    </w:p>
    <w:p>
      <w:pPr>
        <w:ind w:left="960" w:right="420" w:hanging="293"/>
        <w:spacing w:after="0" w:line="241" w:lineRule="auto"/>
        <w:tabs>
          <w:tab w:leader="none" w:pos="9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No weighted-average exercise price is reported for the awards reported because shares of common stock are issued under all of the outstanding awards without any cash payment.</w:t>
      </w:r>
    </w:p>
    <w:p>
      <w:pPr>
        <w:ind w:left="960" w:right="60" w:hanging="293"/>
        <w:spacing w:after="0" w:line="241" w:lineRule="auto"/>
        <w:tabs>
          <w:tab w:leader="none" w:pos="9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As of June 30, 2020, consisted of (i) 4,744,253 shares of common stock remaining available for future issuance under the 2017 Plan and (ii) 8,751,381 shares of common stock remaining available for future issuance under the 2017 Global ESPP.</w:t>
      </w:r>
    </w:p>
    <w:p>
      <w:pPr>
        <w:jc w:val="both"/>
        <w:ind w:left="960" w:right="120" w:hanging="293"/>
        <w:spacing w:after="0" w:line="249" w:lineRule="auto"/>
        <w:tabs>
          <w:tab w:leader="none" w:pos="9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amount shown does not include shares of our common stock to be available for issuance under the Amended and Restated 2017 Plan proposed for approval by our shareholders at the Annual Meeting under Proposal 3 of this Proxy Statement. If approved, the aggregate number of shares of our common stock available for issuance under the 2017 Plan will be increased by 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270510</wp:posOffset>
            </wp:positionV>
            <wp:extent cx="291465" cy="2743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81</w:t>
            </w:r>
          </w:p>
        </w:tc>
      </w:tr>
    </w:tbl>
    <w:p>
      <w:pPr>
        <w:sectPr>
          <w:pgSz w:w="11900" w:h="16838" w:orient="portrait"/>
          <w:cols w:equalWidth="0" w:num="1">
            <w:col w:w="10580"/>
          </w:cols>
          <w:pgMar w:left="320" w:top="459" w:right="9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9772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19"/>
        <w:spacing w:after="0"/>
        <w:rPr>
          <w:sz w:val="20"/>
          <w:szCs w:val="20"/>
          <w:color w:val="auto"/>
        </w:rPr>
      </w:pPr>
      <w:r>
        <w:rPr>
          <w:rFonts w:ascii="Arial" w:cs="Arial" w:eastAsia="Arial" w:hAnsi="Arial"/>
          <w:sz w:val="25"/>
          <w:szCs w:val="25"/>
          <w:b w:val="1"/>
          <w:bCs w:val="1"/>
          <w:color w:val="FFFFFF"/>
        </w:rPr>
        <w:t>Ratification of Appointment of Independent Registered</w:t>
      </w:r>
    </w:p>
    <w:p>
      <w:pPr>
        <w:spacing w:after="0" w:line="42" w:lineRule="exact"/>
        <w:rPr>
          <w:sz w:val="20"/>
          <w:szCs w:val="20"/>
          <w:color w:val="auto"/>
        </w:rPr>
      </w:pPr>
    </w:p>
    <w:p>
      <w:pPr>
        <w:jc w:val="center"/>
        <w:ind w:right="-719"/>
        <w:spacing w:after="0"/>
        <w:rPr>
          <w:sz w:val="20"/>
          <w:szCs w:val="20"/>
          <w:color w:val="auto"/>
        </w:rPr>
      </w:pPr>
      <w:r>
        <w:rPr>
          <w:rFonts w:ascii="Arial" w:cs="Arial" w:eastAsia="Arial" w:hAnsi="Arial"/>
          <w:sz w:val="25"/>
          <w:szCs w:val="25"/>
          <w:b w:val="1"/>
          <w:bCs w:val="1"/>
          <w:color w:val="FFFFFF"/>
        </w:rPr>
        <w:t>Public Accounting Firm</w:t>
      </w:r>
    </w:p>
    <w:p>
      <w:pPr>
        <w:spacing w:after="0" w:line="2"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FFFFFF"/>
        </w:rPr>
        <w:t>(Proposal 4)</w:t>
      </w:r>
    </w:p>
    <w:p>
      <w:pPr>
        <w:spacing w:after="0" w:line="200" w:lineRule="exact"/>
        <w:rPr>
          <w:sz w:val="20"/>
          <w:szCs w:val="20"/>
          <w:color w:val="auto"/>
        </w:rPr>
      </w:pPr>
    </w:p>
    <w:p>
      <w:pPr>
        <w:spacing w:after="0" w:line="336"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Audit Committee of the Board of Directors has appointed Ernst &amp; Young LLP (“</w:t>
      </w:r>
      <w:r>
        <w:rPr>
          <w:rFonts w:ascii="Arial" w:cs="Arial" w:eastAsia="Arial" w:hAnsi="Arial"/>
          <w:sz w:val="16"/>
          <w:szCs w:val="16"/>
          <w:i w:val="1"/>
          <w:iCs w:val="1"/>
          <w:color w:val="auto"/>
        </w:rPr>
        <w:t>Ernst &amp; Young</w:t>
      </w:r>
      <w:r>
        <w:rPr>
          <w:rFonts w:ascii="Arial" w:cs="Arial" w:eastAsia="Arial" w:hAnsi="Arial"/>
          <w:sz w:val="16"/>
          <w:szCs w:val="16"/>
          <w:color w:val="auto"/>
        </w:rPr>
        <w:t xml:space="preserve">”) as the Company’s independent registered public accounting firm to audit its consolidated financial statements for its fiscal year ending March 31, 2021. Although action by the shareholders on this matter is not required, the Audit Committee believes it is appropriate to seek shareholder ratification of the appointment of the independent registered public accounting firm to provide a forum for shareholders to express their views with regard to the Audit Committee’s appointment. If the shareholders do not ratify the appointment of Ernst &amp; Young, the selection of independent registered public accounting firms may be reconsidered by the Audit Committee;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Audit Committee retains the right to continue to engage Ernst &amp; Young. In addition, notwithstanding the ratification of Ernst &amp; Young as the Company’s independent registered public accounting firm for the year ending March 31, 2021, the Audit Committee retains the right to replace Ernst &amp; Young at any time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225425</wp:posOffset>
            </wp:positionV>
            <wp:extent cx="6292215" cy="8915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292215" cy="89154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left="1020" w:right="900"/>
        <w:spacing w:after="0"/>
        <w:rPr>
          <w:sz w:val="20"/>
          <w:szCs w:val="20"/>
          <w:color w:val="auto"/>
        </w:rPr>
      </w:pPr>
      <w:r>
        <w:rPr>
          <w:rFonts w:ascii="Arial" w:cs="Arial" w:eastAsia="Arial" w:hAnsi="Arial"/>
          <w:sz w:val="22"/>
          <w:szCs w:val="22"/>
          <w:b w:val="1"/>
          <w:bCs w:val="1"/>
          <w:color w:val="auto"/>
        </w:rPr>
        <w:t xml:space="preserve">THE BOARD OF DIRECTORS BELIEVES THAT RATIFICATION OF THE APPOINTMENT OF ERNST &amp; YOUNG LLP IS IN THE BEST INTERESTS OF THE COMPANY AND UNANIMOUSLY RECOMMENDS THAT SHAREHOLDERS VOTE </w:t>
      </w:r>
      <w:r>
        <w:rPr>
          <w:rFonts w:ascii="Arial" w:cs="Arial" w:eastAsia="Arial" w:hAnsi="Arial"/>
          <w:sz w:val="22"/>
          <w:szCs w:val="22"/>
          <w:b w:val="1"/>
          <w:bCs w:val="1"/>
          <w:color w:val="005CB9"/>
        </w:rPr>
        <w:t>“FOR”</w:t>
      </w:r>
      <w:r>
        <w:rPr>
          <w:rFonts w:ascii="Arial" w:cs="Arial" w:eastAsia="Arial" w:hAnsi="Arial"/>
          <w:sz w:val="22"/>
          <w:szCs w:val="22"/>
          <w:b w:val="1"/>
          <w:bCs w:val="1"/>
          <w:color w:val="auto"/>
        </w:rPr>
        <w:t xml:space="preserve"> SUCH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381000</wp:posOffset>
            </wp:positionV>
            <wp:extent cx="291465" cy="2743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82</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60"/>
          </w:cols>
          <w:pgMar w:left="320" w:top="459" w:right="10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289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20"/>
        <w:spacing w:after="0"/>
        <w:rPr>
          <w:sz w:val="20"/>
          <w:szCs w:val="20"/>
          <w:color w:val="auto"/>
        </w:rPr>
      </w:pPr>
      <w:r>
        <w:rPr>
          <w:rFonts w:ascii="Arial" w:cs="Arial" w:eastAsia="Arial" w:hAnsi="Arial"/>
          <w:sz w:val="40"/>
          <w:szCs w:val="40"/>
          <w:b w:val="1"/>
          <w:bCs w:val="1"/>
          <w:color w:val="FFFFFF"/>
        </w:rPr>
        <w:t>Independent Registered Public Accountants</w:t>
      </w:r>
    </w:p>
    <w:p>
      <w:pPr>
        <w:spacing w:after="0" w:line="200" w:lineRule="exact"/>
        <w:rPr>
          <w:sz w:val="20"/>
          <w:szCs w:val="20"/>
          <w:color w:val="auto"/>
        </w:rPr>
      </w:pPr>
    </w:p>
    <w:p>
      <w:pPr>
        <w:spacing w:after="0" w:line="385"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color w:val="auto"/>
        </w:rPr>
        <w:t>Ernst &amp; Young has been the Company’s independent registered public accounting firm and has audited the Company’s financial statements since April 2006. In selecting the Company’s independent registered public accounting firm, the Audit Committee conducts an assessment of the firm’s qualifications and performance; the quality and candor of their communications with the Audit Committee and the Company; independence; objectivity, and professionalism; benefits of audit firm or lead partner rotations; and the comprehensiveness of evaluations of internal controls. The Audit Committee also considers the relative costs, benefits, challenges, and other potential impacts of selecting a different independent public accounting firm The Company has been advised that representatives of Ernst &amp; Young will be present at the Annual Meeting with the opportunity to make a statement if the representatives desire to do so. It is expected that the representatives will be available to respond to appropriate questions.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66040</wp:posOffset>
            </wp:positionV>
            <wp:extent cx="62922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15"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Pursuant to its charter, the Audit Committee is responsible for reviewing and pre-approving all audit and non-audit services. In reviewing and approving audit and non-audit service fees, the Audit Committee considers a number of factors, including the scope and quality of work, as well as an assessment of the impact on auditor independence of non-audit fees and services. The Audit Committee may delegate pre-approval authority to the chair or another member of the Audit Committee, in which case such approval must be presented to the full Audit Committee at its next scheduled meeting. The Audit Committee pre-approved all audit, audit-related and tax services provided by Ernst &amp; Young for the recently completed fiscal year.</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Lead Audit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66040</wp:posOffset>
            </wp:positionV>
            <wp:extent cx="62922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7" w:lineRule="exact"/>
        <w:rPr>
          <w:sz w:val="20"/>
          <w:szCs w:val="20"/>
          <w:color w:val="auto"/>
        </w:rPr>
      </w:pPr>
    </w:p>
    <w:p>
      <w:pPr>
        <w:ind w:left="660" w:right="280"/>
        <w:spacing w:after="0" w:line="251" w:lineRule="auto"/>
        <w:rPr>
          <w:sz w:val="20"/>
          <w:szCs w:val="20"/>
          <w:color w:val="auto"/>
        </w:rPr>
      </w:pPr>
      <w:r>
        <w:rPr>
          <w:rFonts w:ascii="Arial" w:cs="Arial" w:eastAsia="Arial" w:hAnsi="Arial"/>
          <w:sz w:val="16"/>
          <w:szCs w:val="16"/>
          <w:color w:val="auto"/>
        </w:rPr>
        <w:t>In accordance with SEC rules, audit partners are subject to rotation requirements to limit the number of consecutive years an individual partner may provide service to our Company. For lead audit partners, the maximum number of consecutive years of service in that capacity is five years. The process for consideration and selection of the Company’s lead audit partner pursuant to this rotation policy involves a comprehensive interview process in which management and the chair of the Audit Committee participate.</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Independent Auditor Fee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66040</wp:posOffset>
            </wp:positionV>
            <wp:extent cx="62922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15" w:lineRule="exact"/>
        <w:rPr>
          <w:sz w:val="20"/>
          <w:szCs w:val="20"/>
          <w:color w:val="auto"/>
        </w:rPr>
      </w:pPr>
    </w:p>
    <w:p>
      <w:pPr>
        <w:ind w:left="660" w:right="120"/>
        <w:spacing w:after="0" w:line="253" w:lineRule="auto"/>
        <w:rPr>
          <w:sz w:val="20"/>
          <w:szCs w:val="20"/>
          <w:color w:val="auto"/>
        </w:rPr>
      </w:pPr>
      <w:r>
        <w:rPr>
          <w:rFonts w:ascii="Arial" w:cs="Arial" w:eastAsia="Arial" w:hAnsi="Arial"/>
          <w:sz w:val="16"/>
          <w:szCs w:val="16"/>
          <w:color w:val="auto"/>
        </w:rPr>
        <w:t>Fees for professional services provided by Ernst &amp; Young in each of the last two fiscal years, in each of the following categories including related expenses are set forth below. The Audit Committee believes that the professional services performed by Ernst &amp; Young were compatible with maintaining Ernst &amp; Young’s independence.</w:t>
      </w:r>
    </w:p>
    <w:p>
      <w:pPr>
        <w:spacing w:after="0" w:line="213" w:lineRule="exact"/>
        <w:rPr>
          <w:sz w:val="20"/>
          <w:szCs w:val="20"/>
          <w:color w:val="auto"/>
        </w:rPr>
      </w:pPr>
    </w:p>
    <w:tbl>
      <w:tblPr>
        <w:tblLayout w:type="fixed"/>
        <w:tblInd w:w="1460" w:type="dxa"/>
        <w:tblCellMar>
          <w:top w:w="0" w:type="dxa"/>
          <w:left w:w="0" w:type="dxa"/>
          <w:bottom w:w="0" w:type="dxa"/>
          <w:right w:w="0" w:type="dxa"/>
        </w:tblCellMar>
      </w:tblPr>
      <w:tr>
        <w:trPr>
          <w:trHeight w:val="175"/>
        </w:trPr>
        <w:tc>
          <w:tcPr>
            <w:tcW w:w="6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005CB9"/>
              </w:rPr>
              <w:t>3/31/2020</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005CB9"/>
              </w:rPr>
              <w:t>3/31/2019</w:t>
            </w:r>
          </w:p>
        </w:tc>
        <w:tc>
          <w:tcPr>
            <w:tcW w:w="60" w:type="dxa"/>
            <w:vAlign w:val="bottom"/>
            <w:tcBorders>
              <w:bottom w:val="single" w:sz="8" w:color="auto"/>
            </w:tcBorders>
          </w:tcPr>
          <w:p>
            <w:pPr>
              <w:spacing w:after="0"/>
              <w:rPr>
                <w:sz w:val="15"/>
                <w:szCs w:val="15"/>
                <w:color w:val="auto"/>
              </w:rPr>
            </w:pPr>
          </w:p>
        </w:tc>
      </w:tr>
      <w:tr>
        <w:trPr>
          <w:trHeight w:val="223"/>
        </w:trPr>
        <w:tc>
          <w:tcPr>
            <w:tcW w:w="6240" w:type="dxa"/>
            <w:vAlign w:val="bottom"/>
            <w:shd w:val="clear" w:color="auto" w:fill="EAEAEA"/>
          </w:tcPr>
          <w:p>
            <w:pPr>
              <w:ind w:left="80"/>
              <w:spacing w:after="0"/>
              <w:rPr>
                <w:sz w:val="20"/>
                <w:szCs w:val="20"/>
                <w:color w:val="auto"/>
              </w:rPr>
            </w:pPr>
            <w:r>
              <w:rPr>
                <w:rFonts w:ascii="Arial" w:cs="Arial" w:eastAsia="Arial" w:hAnsi="Arial"/>
                <w:sz w:val="16"/>
                <w:szCs w:val="16"/>
                <w:color w:val="auto"/>
              </w:rPr>
              <w:t>Audit fees(1)</w:t>
            </w: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w w:val="99"/>
              </w:rPr>
              <w:t>$3,614,880</w:t>
            </w:r>
          </w:p>
        </w:tc>
        <w:tc>
          <w:tcPr>
            <w:tcW w:w="1200" w:type="dxa"/>
            <w:vAlign w:val="bottom"/>
            <w:gridSpan w:val="2"/>
            <w:shd w:val="clear" w:color="auto" w:fill="EAEAEA"/>
          </w:tcPr>
          <w:p>
            <w:pPr>
              <w:jc w:val="right"/>
              <w:spacing w:after="0"/>
              <w:rPr>
                <w:sz w:val="20"/>
                <w:szCs w:val="20"/>
                <w:color w:val="auto"/>
              </w:rPr>
            </w:pPr>
            <w:r>
              <w:rPr>
                <w:rFonts w:ascii="Arial" w:cs="Arial" w:eastAsia="Arial" w:hAnsi="Arial"/>
                <w:sz w:val="16"/>
                <w:szCs w:val="16"/>
                <w:color w:val="auto"/>
              </w:rPr>
              <w:t>$3,394,675</w:t>
            </w:r>
          </w:p>
        </w:tc>
        <w:tc>
          <w:tcPr>
            <w:tcW w:w="60" w:type="dxa"/>
            <w:vAlign w:val="bottom"/>
            <w:shd w:val="clear" w:color="auto" w:fill="EAEAEA"/>
          </w:tcPr>
          <w:p>
            <w:pPr>
              <w:spacing w:after="0"/>
              <w:rPr>
                <w:sz w:val="19"/>
                <w:szCs w:val="19"/>
                <w:color w:val="auto"/>
              </w:rPr>
            </w:pPr>
          </w:p>
        </w:tc>
      </w:tr>
      <w:tr>
        <w:trPr>
          <w:trHeight w:val="220"/>
        </w:trPr>
        <w:tc>
          <w:tcPr>
            <w:tcW w:w="6240" w:type="dxa"/>
            <w:vAlign w:val="bottom"/>
          </w:tcPr>
          <w:p>
            <w:pPr>
              <w:ind w:left="80"/>
              <w:spacing w:after="0"/>
              <w:rPr>
                <w:sz w:val="20"/>
                <w:szCs w:val="20"/>
                <w:color w:val="auto"/>
              </w:rPr>
            </w:pPr>
            <w:r>
              <w:rPr>
                <w:rFonts w:ascii="Arial" w:cs="Arial" w:eastAsia="Arial" w:hAnsi="Arial"/>
                <w:sz w:val="16"/>
                <w:szCs w:val="16"/>
                <w:color w:val="auto"/>
              </w:rPr>
              <w:t>Audit-related fees</w:t>
            </w:r>
          </w:p>
        </w:tc>
        <w:tc>
          <w:tcPr>
            <w:tcW w:w="820" w:type="dxa"/>
            <w:vAlign w:val="bottom"/>
          </w:tcPr>
          <w:p>
            <w:pPr>
              <w:jc w:val="right"/>
              <w:spacing w:after="0"/>
              <w:rPr>
                <w:sz w:val="20"/>
                <w:szCs w:val="20"/>
                <w:color w:val="auto"/>
              </w:rPr>
            </w:pPr>
            <w:r>
              <w:rPr>
                <w:rFonts w:ascii="Arial" w:cs="Arial" w:eastAsia="Arial" w:hAnsi="Arial"/>
                <w:sz w:val="16"/>
                <w:szCs w:val="16"/>
                <w:color w:val="auto"/>
              </w:rPr>
              <w:t>95,675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82,200</w:t>
            </w:r>
          </w:p>
        </w:tc>
        <w:tc>
          <w:tcPr>
            <w:tcW w:w="60" w:type="dxa"/>
            <w:vAlign w:val="bottom"/>
          </w:tcPr>
          <w:p>
            <w:pPr>
              <w:spacing w:after="0"/>
              <w:rPr>
                <w:sz w:val="19"/>
                <w:szCs w:val="19"/>
                <w:color w:val="auto"/>
              </w:rPr>
            </w:pPr>
          </w:p>
        </w:tc>
      </w:tr>
      <w:tr>
        <w:trPr>
          <w:trHeight w:val="233"/>
        </w:trPr>
        <w:tc>
          <w:tcPr>
            <w:tcW w:w="6240" w:type="dxa"/>
            <w:vAlign w:val="bottom"/>
            <w:shd w:val="clear" w:color="auto" w:fill="EAEAEA"/>
          </w:tcPr>
          <w:p>
            <w:pPr>
              <w:ind w:left="80"/>
              <w:spacing w:after="0"/>
              <w:rPr>
                <w:sz w:val="20"/>
                <w:szCs w:val="20"/>
                <w:color w:val="auto"/>
              </w:rPr>
            </w:pPr>
            <w:r>
              <w:rPr>
                <w:rFonts w:ascii="Arial" w:cs="Arial" w:eastAsia="Arial" w:hAnsi="Arial"/>
                <w:sz w:val="16"/>
                <w:szCs w:val="16"/>
                <w:color w:val="auto"/>
              </w:rPr>
              <w:t>Tax fees(2)</w:t>
            </w: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1,291,374</w:t>
            </w:r>
          </w:p>
        </w:tc>
        <w:tc>
          <w:tcPr>
            <w:tcW w:w="380" w:type="dxa"/>
            <w:vAlign w:val="bottom"/>
            <w:shd w:val="clear" w:color="auto" w:fill="EAEAEA"/>
          </w:tcPr>
          <w:p>
            <w:pPr>
              <w:spacing w:after="0"/>
              <w:rPr>
                <w:sz w:val="20"/>
                <w:szCs w:val="20"/>
                <w:color w:val="auto"/>
              </w:rPr>
            </w:pP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1,239,236</w:t>
            </w:r>
          </w:p>
        </w:tc>
        <w:tc>
          <w:tcPr>
            <w:tcW w:w="60" w:type="dxa"/>
            <w:vAlign w:val="bottom"/>
            <w:shd w:val="clear" w:color="auto" w:fill="EAEAEA"/>
          </w:tcPr>
          <w:p>
            <w:pPr>
              <w:spacing w:after="0"/>
              <w:rPr>
                <w:sz w:val="20"/>
                <w:szCs w:val="20"/>
                <w:color w:val="auto"/>
              </w:rPr>
            </w:pPr>
          </w:p>
        </w:tc>
      </w:tr>
      <w:tr>
        <w:trPr>
          <w:trHeight w:val="237"/>
        </w:trPr>
        <w:tc>
          <w:tcPr>
            <w:tcW w:w="6240" w:type="dxa"/>
            <w:vAlign w:val="bottom"/>
          </w:tcPr>
          <w:p>
            <w:pPr>
              <w:ind w:left="80"/>
              <w:spacing w:after="0"/>
              <w:rPr>
                <w:sz w:val="20"/>
                <w:szCs w:val="20"/>
                <w:color w:val="auto"/>
              </w:rPr>
            </w:pPr>
            <w:r>
              <w:rPr>
                <w:rFonts w:ascii="Arial" w:cs="Arial" w:eastAsia="Arial" w:hAnsi="Arial"/>
                <w:sz w:val="16"/>
                <w:szCs w:val="16"/>
                <w:color w:val="auto"/>
              </w:rPr>
              <w:t>Total fees</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$5,001,929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$4,716,111</w:t>
            </w:r>
          </w:p>
        </w:tc>
        <w:tc>
          <w:tcPr>
            <w:tcW w:w="60" w:type="dxa"/>
            <w:vAlign w:val="bottom"/>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ind w:left="960" w:right="40" w:hanging="291"/>
        <w:spacing w:after="0" w:line="241" w:lineRule="auto"/>
        <w:tabs>
          <w:tab w:leader="none" w:pos="9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Audit fees were for audit services, including (a) the annual audit (including required quarterly reviews), subsidiary audits and other procedures required to be performed by the independent auditor to be able to form an opinion on the Company’s consolidated financial statements, (b) the audit of the effectiveness of the Company’s internal control over financial reporting, (c) consultation with management as to the accounting or disclosure treatment of transactions or events and/or the actual or potential impact of final proposed rules, standards or interpretations by the SEC, the Financial Accounting Standards Board or other regulatory or standard-setting bodies, (d) international statutory audits, and (e) services that only the independent auditor reasonably can provide, such as services associated with SEC registration statements, periodic reports and other documents filed with the SEC or other documents issued in connection with securities offerings and assistance in responding to SEC comment letters.</w:t>
      </w:r>
    </w:p>
    <w:p>
      <w:pPr>
        <w:spacing w:after="0" w:line="2" w:lineRule="exact"/>
        <w:rPr>
          <w:rFonts w:ascii="Arial" w:cs="Arial" w:eastAsia="Arial" w:hAnsi="Arial"/>
          <w:sz w:val="14"/>
          <w:szCs w:val="14"/>
          <w:color w:val="auto"/>
        </w:rPr>
      </w:pPr>
    </w:p>
    <w:p>
      <w:pPr>
        <w:ind w:left="960" w:right="80" w:hanging="291"/>
        <w:spacing w:after="0" w:line="258" w:lineRule="auto"/>
        <w:tabs>
          <w:tab w:leader="none" w:pos="9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Tax fees were for services related to (a) tax compliance (including the preparation, review and filing of tax returns) and advice and (b) tax planning and tax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266065</wp:posOffset>
            </wp:positionV>
            <wp:extent cx="291465" cy="2743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83</w:t>
            </w:r>
          </w:p>
        </w:tc>
      </w:tr>
    </w:tbl>
    <w:p>
      <w:pPr>
        <w:sectPr>
          <w:pgSz w:w="11900" w:h="16838" w:orient="portrait"/>
          <w:cols w:equalWidth="0" w:num="1">
            <w:col w:w="10580"/>
          </w:cols>
          <w:pgMar w:left="320" w:top="459" w:right="9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0204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59"/>
        <w:spacing w:after="0"/>
        <w:rPr>
          <w:sz w:val="20"/>
          <w:szCs w:val="20"/>
          <w:color w:val="auto"/>
        </w:rPr>
      </w:pPr>
      <w:r>
        <w:rPr>
          <w:rFonts w:ascii="Arial" w:cs="Arial" w:eastAsia="Arial" w:hAnsi="Arial"/>
          <w:sz w:val="40"/>
          <w:szCs w:val="40"/>
          <w:b w:val="1"/>
          <w:bCs w:val="1"/>
          <w:color w:val="FFFFFF"/>
        </w:rPr>
        <w:t>Report of the Audit Committee of the Board</w:t>
      </w:r>
    </w:p>
    <w:p>
      <w:pPr>
        <w:spacing w:after="0" w:line="49" w:lineRule="exact"/>
        <w:rPr>
          <w:sz w:val="20"/>
          <w:szCs w:val="20"/>
          <w:color w:val="auto"/>
        </w:rPr>
      </w:pPr>
    </w:p>
    <w:p>
      <w:pPr>
        <w:jc w:val="center"/>
        <w:ind w:right="-759"/>
        <w:spacing w:after="0"/>
        <w:rPr>
          <w:sz w:val="20"/>
          <w:szCs w:val="20"/>
          <w:color w:val="auto"/>
        </w:rPr>
      </w:pPr>
      <w:r>
        <w:rPr>
          <w:rFonts w:ascii="Arial" w:cs="Arial" w:eastAsia="Arial" w:hAnsi="Arial"/>
          <w:sz w:val="40"/>
          <w:szCs w:val="40"/>
          <w:b w:val="1"/>
          <w:bCs w:val="1"/>
          <w:color w:val="FFFFFF"/>
        </w:rPr>
        <w:t>Of Directors</w:t>
      </w:r>
    </w:p>
    <w:p>
      <w:pPr>
        <w:spacing w:after="0" w:line="200" w:lineRule="exact"/>
        <w:rPr>
          <w:sz w:val="20"/>
          <w:szCs w:val="20"/>
          <w:color w:val="auto"/>
        </w:rPr>
      </w:pPr>
    </w:p>
    <w:p>
      <w:pPr>
        <w:spacing w:after="0" w:line="319" w:lineRule="exact"/>
        <w:rPr>
          <w:sz w:val="20"/>
          <w:szCs w:val="20"/>
          <w:color w:val="auto"/>
        </w:rPr>
      </w:pPr>
    </w:p>
    <w:p>
      <w:pPr>
        <w:ind w:left="660" w:right="100"/>
        <w:spacing w:after="0" w:line="258" w:lineRule="auto"/>
        <w:rPr>
          <w:sz w:val="20"/>
          <w:szCs w:val="20"/>
          <w:color w:val="auto"/>
        </w:rPr>
      </w:pPr>
      <w:r>
        <w:rPr>
          <w:rFonts w:ascii="Arial" w:cs="Arial" w:eastAsia="Arial" w:hAnsi="Arial"/>
          <w:sz w:val="16"/>
          <w:szCs w:val="16"/>
          <w:i w:val="1"/>
          <w:iCs w:val="1"/>
          <w:color w:val="auto"/>
        </w:rPr>
        <w:t>Notwithstanding anything to the contrary set forth in any of our previous or future filings under the Securities Act of 1933 or the Securities Exchange Act of 1934 that might incorporate this Proxy Statement or future filings with the SEC, in whole or in part, the following report shall not be deemed to be “soliciting material” or “filed” with the SEC and shall not be deemed to be incorporated by reference into any such filing.</w:t>
      </w:r>
    </w:p>
    <w:p>
      <w:pPr>
        <w:spacing w:after="0" w:line="270" w:lineRule="exact"/>
        <w:rPr>
          <w:sz w:val="20"/>
          <w:szCs w:val="20"/>
          <w:color w:val="auto"/>
        </w:rPr>
      </w:pPr>
    </w:p>
    <w:p>
      <w:pPr>
        <w:ind w:left="660" w:right="500"/>
        <w:spacing w:after="0" w:line="261" w:lineRule="auto"/>
        <w:rPr>
          <w:sz w:val="20"/>
          <w:szCs w:val="20"/>
          <w:color w:val="auto"/>
        </w:rPr>
      </w:pPr>
      <w:r>
        <w:rPr>
          <w:rFonts w:ascii="Arial" w:cs="Arial" w:eastAsia="Arial" w:hAnsi="Arial"/>
          <w:sz w:val="22"/>
          <w:szCs w:val="22"/>
          <w:b w:val="1"/>
          <w:bCs w:val="1"/>
          <w:color w:val="005CB9"/>
        </w:rPr>
        <w:t>Review of the Company’s Audited Financial Statements for the Fiscal Year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31115</wp:posOffset>
            </wp:positionV>
            <wp:extent cx="62922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61" w:lineRule="exact"/>
        <w:rPr>
          <w:sz w:val="20"/>
          <w:szCs w:val="20"/>
          <w:color w:val="auto"/>
        </w:rPr>
      </w:pPr>
    </w:p>
    <w:p>
      <w:pPr>
        <w:ind w:left="660" w:right="20"/>
        <w:spacing w:after="0" w:line="249"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The Company’s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included in the Annual Report on Form 10-K for the year ended March 31, 2020 with Company management, including a discussion of the quality, not just the acceptability, of the accounting principles; the reasonableness of significant judgments; and the clarity of disclosures in the financial statements.</w:t>
      </w:r>
    </w:p>
    <w:p>
      <w:pPr>
        <w:spacing w:after="0" w:line="205"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Audit Committee reviewed with the independent registered public accounting firm, which is responsible for expressing an opinion on the conformity of those audited consolidated financial statements with U.S. generally accepted accounting principles, its judgments as to the quality, not just the acceptability, of the Company’s accounting principles and such other matters as are required to be discussed with the Audit Committee by the applicable requirements of the Public Company Accounting Oversight Board (United States), rules of the SEC, and other applicable regulations. In addition, the Audit Committee has received the written disclosures and the letter from the independent registered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207" w:lineRule="exact"/>
        <w:rPr>
          <w:sz w:val="20"/>
          <w:szCs w:val="20"/>
          <w:color w:val="auto"/>
        </w:rPr>
      </w:pPr>
    </w:p>
    <w:p>
      <w:pPr>
        <w:jc w:val="both"/>
        <w:ind w:left="660" w:right="220"/>
        <w:spacing w:after="0" w:line="253" w:lineRule="auto"/>
        <w:rPr>
          <w:sz w:val="20"/>
          <w:szCs w:val="20"/>
          <w:color w:val="auto"/>
        </w:rPr>
      </w:pPr>
      <w:r>
        <w:rPr>
          <w:rFonts w:ascii="Arial" w:cs="Arial" w:eastAsia="Arial" w:hAnsi="Arial"/>
          <w:sz w:val="16"/>
          <w:szCs w:val="16"/>
          <w:color w:val="auto"/>
        </w:rPr>
        <w:t>The Audit Committee also reviewed management’s report on its assessment of the effectiveness of the Company’s internal control over financial reporting and the independent registered public accounting firm’s report on the effectiveness of the Company’s internal control over financial reporting.</w:t>
      </w:r>
    </w:p>
    <w:p>
      <w:pPr>
        <w:spacing w:after="0" w:line="201" w:lineRule="exact"/>
        <w:rPr>
          <w:sz w:val="20"/>
          <w:szCs w:val="20"/>
          <w:color w:val="auto"/>
        </w:rPr>
      </w:pPr>
    </w:p>
    <w:p>
      <w:pPr>
        <w:ind w:left="660" w:right="60"/>
        <w:spacing w:after="0" w:line="251" w:lineRule="auto"/>
        <w:rPr>
          <w:sz w:val="20"/>
          <w:szCs w:val="20"/>
          <w:color w:val="auto"/>
        </w:rPr>
      </w:pPr>
      <w:r>
        <w:rPr>
          <w:rFonts w:ascii="Arial" w:cs="Arial" w:eastAsia="Arial" w:hAnsi="Arial"/>
          <w:sz w:val="16"/>
          <w:szCs w:val="16"/>
          <w:color w:val="auto"/>
        </w:rPr>
        <w:t>The Audit Committee discussed with the Company’s internal auditors and independent registered public accounting firm the overall scope and plans for their respective audits. The Audit Committee meets with the internal auditors and the independent registered public accounting firm, with and without management present, to discuss the results of their examinations, their evaluations of the Company’s internal control, including internal control over financial reporting, and the overall quality of the Company’s financial reporting.</w:t>
      </w:r>
    </w:p>
    <w:p>
      <w:pPr>
        <w:spacing w:after="0" w:line="202"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of Directors has approved, that the audited consolidated financial statements and management’s assessment of the effectiveness of the Company’s internal control over financial reporting be included in the Annual Report on Form 10-K for the year ended March 31, 2020 filed by the Company with the SEC. The Audit Committee also has appointed Ernst &amp; Young as the Company’s independent registered public accounting firm for the fiscal year ending March 31, 2021.</w:t>
      </w:r>
    </w:p>
    <w:p>
      <w:pPr>
        <w:spacing w:after="0" w:line="183"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Submitted by the Audit Committee</w:t>
      </w:r>
    </w:p>
    <w:p>
      <w:pPr>
        <w:spacing w:after="0" w:line="25"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of the Board of Directors:</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Susan Tolson (Chair)</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Michael Dornemann</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J Moses</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Paul Viera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Dated: July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285115</wp:posOffset>
            </wp:positionV>
            <wp:extent cx="291465" cy="2743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84</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60"/>
          </w:cols>
          <w:pgMar w:left="320" w:top="459" w:right="10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0287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79"/>
        <w:spacing w:after="0"/>
        <w:rPr>
          <w:sz w:val="20"/>
          <w:szCs w:val="20"/>
          <w:color w:val="auto"/>
        </w:rPr>
      </w:pPr>
      <w:r>
        <w:rPr>
          <w:rFonts w:ascii="Arial" w:cs="Arial" w:eastAsia="Arial" w:hAnsi="Arial"/>
          <w:sz w:val="40"/>
          <w:szCs w:val="40"/>
          <w:b w:val="1"/>
          <w:bCs w:val="1"/>
          <w:color w:val="FFFFFF"/>
        </w:rPr>
        <w:t>Cautionary Note About Forward-Looking</w:t>
      </w:r>
    </w:p>
    <w:p>
      <w:pPr>
        <w:spacing w:after="0" w:line="49" w:lineRule="exact"/>
        <w:rPr>
          <w:sz w:val="20"/>
          <w:szCs w:val="20"/>
          <w:color w:val="auto"/>
        </w:rPr>
      </w:pPr>
    </w:p>
    <w:p>
      <w:pPr>
        <w:jc w:val="center"/>
        <w:ind w:right="-679"/>
        <w:spacing w:after="0"/>
        <w:rPr>
          <w:sz w:val="20"/>
          <w:szCs w:val="20"/>
          <w:color w:val="auto"/>
        </w:rPr>
      </w:pPr>
      <w:r>
        <w:rPr>
          <w:rFonts w:ascii="Arial" w:cs="Arial" w:eastAsia="Arial" w:hAnsi="Arial"/>
          <w:sz w:val="40"/>
          <w:szCs w:val="40"/>
          <w:b w:val="1"/>
          <w:bCs w:val="1"/>
          <w:color w:val="FFFFFF"/>
        </w:rPr>
        <w:t>Statements</w:t>
      </w:r>
    </w:p>
    <w:p>
      <w:pPr>
        <w:spacing w:after="0" w:line="200" w:lineRule="exact"/>
        <w:rPr>
          <w:sz w:val="20"/>
          <w:szCs w:val="20"/>
          <w:color w:val="auto"/>
        </w:rPr>
      </w:pPr>
    </w:p>
    <w:p>
      <w:pPr>
        <w:spacing w:after="0" w:line="332"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i w:val="1"/>
          <w:iCs w:val="1"/>
          <w:color w:val="auto"/>
        </w:rPr>
        <w:t>The statements contained in this Proxy Statement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the impact of reductions in interest rates by the Federal Reserve and other central banks, including on our short-term investment portfolio; and the impact of potential inflation; volatility in foreign currency exchange rates. Important risk factors and other information are contained in the Company’s most recent Annual Report on Form 10-K, including the risks summarized in the section titled “Risk Factors,” the Company’s most recent Quarterly Report on Form 10-Q, and the Company’s other periodic filings with the SEC, which can be accessed at www.take2games.com. All forward-looking statements are qualified by these cautionary statements and speak only as of the date they are made. The Company undertakes no obligation to update any forward-looking statement, whether as a result of new information, future events or otherwise.</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005CB9"/>
        </w:rPr>
        <w:t>INFORMATION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34290</wp:posOffset>
            </wp:positionV>
            <wp:extent cx="629221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What matters will be considered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83185</wp:posOffset>
            </wp:positionV>
            <wp:extent cx="6292215" cy="13195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292215" cy="1319530"/>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376" w:lineRule="exact"/>
        <w:rPr>
          <w:sz w:val="20"/>
          <w:szCs w:val="20"/>
          <w:color w:val="auto"/>
        </w:rPr>
      </w:pPr>
    </w:p>
    <w:p>
      <w:pPr>
        <w:ind w:left="1040" w:hanging="279"/>
        <w:spacing w:after="0" w:line="260" w:lineRule="auto"/>
        <w:tabs>
          <w:tab w:leader="none" w:pos="1040" w:val="left"/>
        </w:tabs>
        <w:numPr>
          <w:ilvl w:val="0"/>
          <w:numId w:val="96"/>
        </w:numPr>
        <w:rPr>
          <w:rFonts w:ascii="Arial" w:cs="Arial" w:eastAsia="Arial" w:hAnsi="Arial"/>
          <w:sz w:val="16"/>
          <w:szCs w:val="16"/>
          <w:color w:val="005CB9"/>
        </w:rPr>
      </w:pPr>
      <w:r>
        <w:rPr>
          <w:rFonts w:ascii="Arial" w:cs="Arial" w:eastAsia="Arial" w:hAnsi="Arial"/>
          <w:sz w:val="16"/>
          <w:szCs w:val="16"/>
          <w:color w:val="auto"/>
        </w:rPr>
        <w:t>the election as directors of the eight nominees named in the attached Proxy Statement;</w:t>
      </w:r>
    </w:p>
    <w:p>
      <w:pPr>
        <w:spacing w:after="0" w:line="60" w:lineRule="exact"/>
        <w:rPr>
          <w:rFonts w:ascii="Arial" w:cs="Arial" w:eastAsia="Arial" w:hAnsi="Arial"/>
          <w:sz w:val="16"/>
          <w:szCs w:val="16"/>
          <w:color w:val="005CB9"/>
        </w:rPr>
      </w:pPr>
    </w:p>
    <w:p>
      <w:pPr>
        <w:ind w:left="1040" w:right="40" w:hanging="279"/>
        <w:spacing w:after="0" w:line="253" w:lineRule="auto"/>
        <w:tabs>
          <w:tab w:leader="none" w:pos="1040" w:val="left"/>
        </w:tabs>
        <w:numPr>
          <w:ilvl w:val="0"/>
          <w:numId w:val="96"/>
        </w:numPr>
        <w:rPr>
          <w:rFonts w:ascii="Arial" w:cs="Arial" w:eastAsia="Arial" w:hAnsi="Arial"/>
          <w:sz w:val="16"/>
          <w:szCs w:val="16"/>
          <w:color w:val="005CB9"/>
        </w:rPr>
      </w:pPr>
      <w:r>
        <w:rPr>
          <w:rFonts w:ascii="Arial" w:cs="Arial" w:eastAsia="Arial" w:hAnsi="Arial"/>
          <w:sz w:val="16"/>
          <w:szCs w:val="16"/>
          <w:color w:val="auto"/>
        </w:rPr>
        <w:t>the approval, on a non-binding advisory basis, of the compensation of the Company’s “named executive officers” as disclosed in this Proxy Statement;</w:t>
      </w:r>
    </w:p>
    <w:p>
      <w:pPr>
        <w:spacing w:after="0" w:line="66" w:lineRule="exact"/>
        <w:rPr>
          <w:rFonts w:ascii="Arial" w:cs="Arial" w:eastAsia="Arial" w:hAnsi="Arial"/>
          <w:sz w:val="16"/>
          <w:szCs w:val="16"/>
          <w:color w:val="005CB9"/>
        </w:rPr>
      </w:pPr>
    </w:p>
    <w:p>
      <w:pPr>
        <w:ind w:left="1040" w:right="260" w:hanging="279"/>
        <w:spacing w:after="0" w:line="260" w:lineRule="auto"/>
        <w:tabs>
          <w:tab w:leader="none" w:pos="1040" w:val="left"/>
        </w:tabs>
        <w:numPr>
          <w:ilvl w:val="0"/>
          <w:numId w:val="96"/>
        </w:numPr>
        <w:rPr>
          <w:rFonts w:ascii="Arial" w:cs="Arial" w:eastAsia="Arial" w:hAnsi="Arial"/>
          <w:sz w:val="16"/>
          <w:szCs w:val="16"/>
          <w:color w:val="005CB9"/>
        </w:rPr>
      </w:pPr>
      <w:r>
        <w:rPr>
          <w:rFonts w:ascii="Arial" w:cs="Arial" w:eastAsia="Arial" w:hAnsi="Arial"/>
          <w:sz w:val="16"/>
          <w:szCs w:val="16"/>
          <w:color w:val="auto"/>
        </w:rPr>
        <w:t>the approval of the Amended and Restated 2017 Plan to increase the available shares reserved thereunder;</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276" w:right="20" w:hanging="276"/>
        <w:spacing w:after="0" w:line="253" w:lineRule="auto"/>
        <w:tabs>
          <w:tab w:leader="none" w:pos="276" w:val="left"/>
        </w:tabs>
        <w:numPr>
          <w:ilvl w:val="0"/>
          <w:numId w:val="97"/>
        </w:numPr>
        <w:rPr>
          <w:rFonts w:ascii="Arial" w:cs="Arial" w:eastAsia="Arial" w:hAnsi="Arial"/>
          <w:sz w:val="16"/>
          <w:szCs w:val="16"/>
          <w:color w:val="005CB9"/>
        </w:rPr>
      </w:pPr>
      <w:r>
        <w:rPr>
          <w:rFonts w:ascii="Arial" w:cs="Arial" w:eastAsia="Arial" w:hAnsi="Arial"/>
          <w:sz w:val="16"/>
          <w:szCs w:val="16"/>
          <w:color w:val="auto"/>
        </w:rPr>
        <w:t>the ratification of the appointment of Ernst &amp; Young LLP as our independent registered public accounting firm for the fiscal year ending March 31, 2021; and</w:t>
      </w:r>
    </w:p>
    <w:p>
      <w:pPr>
        <w:spacing w:after="0" w:line="66" w:lineRule="exact"/>
        <w:rPr>
          <w:rFonts w:ascii="Arial" w:cs="Arial" w:eastAsia="Arial" w:hAnsi="Arial"/>
          <w:sz w:val="16"/>
          <w:szCs w:val="16"/>
          <w:color w:val="005CB9"/>
        </w:rPr>
      </w:pPr>
    </w:p>
    <w:p>
      <w:pPr>
        <w:ind w:left="276" w:right="540" w:hanging="276"/>
        <w:spacing w:after="0" w:line="260" w:lineRule="auto"/>
        <w:tabs>
          <w:tab w:leader="none" w:pos="276" w:val="left"/>
        </w:tabs>
        <w:numPr>
          <w:ilvl w:val="0"/>
          <w:numId w:val="97"/>
        </w:numPr>
        <w:rPr>
          <w:rFonts w:ascii="Arial" w:cs="Arial" w:eastAsia="Arial" w:hAnsi="Arial"/>
          <w:sz w:val="16"/>
          <w:szCs w:val="16"/>
          <w:color w:val="005CB9"/>
        </w:rPr>
      </w:pPr>
      <w:r>
        <w:rPr>
          <w:rFonts w:ascii="Arial" w:cs="Arial" w:eastAsia="Arial" w:hAnsi="Arial"/>
          <w:sz w:val="16"/>
          <w:szCs w:val="16"/>
          <w:color w:val="auto"/>
        </w:rPr>
        <w:t>such other business that may properly come before the Annual Meeting or any adjournment thereof.</w:t>
      </w:r>
    </w:p>
    <w:p>
      <w:pPr>
        <w:spacing w:after="0" w:line="658" w:lineRule="exact"/>
        <w:rPr>
          <w:sz w:val="20"/>
          <w:szCs w:val="20"/>
          <w:color w:val="auto"/>
        </w:rPr>
      </w:pPr>
    </w:p>
    <w:p>
      <w:pPr>
        <w:sectPr>
          <w:pgSz w:w="11900" w:h="16838" w:orient="portrait"/>
          <w:cols w:equalWidth="0" w:num="2">
            <w:col w:w="5340" w:space="464"/>
            <w:col w:w="4776"/>
          </w:cols>
          <w:pgMar w:left="320" w:top="459" w:right="99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How does the Board of Directors recommend that shareholders vote on these matters?</w:t>
      </w:r>
    </w:p>
    <w:p>
      <w:pPr>
        <w:spacing w:after="0" w:line="133" w:lineRule="exact"/>
        <w:rPr>
          <w:sz w:val="20"/>
          <w:szCs w:val="20"/>
          <w:color w:val="auto"/>
        </w:rPr>
      </w:pPr>
    </w:p>
    <w:p>
      <w:pPr>
        <w:ind w:left="660" w:right="80"/>
        <w:spacing w:after="0" w:line="251" w:lineRule="auto"/>
        <w:rPr>
          <w:sz w:val="20"/>
          <w:szCs w:val="20"/>
          <w:color w:val="auto"/>
        </w:rPr>
      </w:pPr>
      <w:r>
        <w:rPr>
          <w:rFonts w:ascii="Arial" w:cs="Arial" w:eastAsia="Arial" w:hAnsi="Arial"/>
          <w:sz w:val="16"/>
          <w:szCs w:val="16"/>
          <w:color w:val="auto"/>
        </w:rPr>
        <w:t>The Board of Directors believes that the election of the nominated directors, the approval on an advisory basis of the compensation of the named executive officers, the approval of the Amended and Restated Take-Two Interactive Software, Inc. 2017 Stock Incentive Plan and the ratification of the appointment of Ernst &amp; Young are in the best interests of the Company and its shareholders and, accordingly, recommends a vote “FOR” for each of these proposals.</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Who is entitled to vote?</w:t>
      </w:r>
    </w:p>
    <w:p>
      <w:pPr>
        <w:spacing w:after="0" w:line="117" w:lineRule="exact"/>
        <w:rPr>
          <w:sz w:val="20"/>
          <w:szCs w:val="20"/>
          <w:color w:val="auto"/>
        </w:rPr>
      </w:pPr>
    </w:p>
    <w:p>
      <w:pPr>
        <w:ind w:left="660" w:right="160"/>
        <w:spacing w:after="0" w:line="263" w:lineRule="auto"/>
        <w:rPr>
          <w:sz w:val="20"/>
          <w:szCs w:val="20"/>
          <w:color w:val="auto"/>
        </w:rPr>
      </w:pPr>
      <w:r>
        <w:rPr>
          <w:rFonts w:ascii="Arial" w:cs="Arial" w:eastAsia="Arial" w:hAnsi="Arial"/>
          <w:sz w:val="16"/>
          <w:szCs w:val="16"/>
          <w:color w:val="auto"/>
        </w:rPr>
        <w:t>Shareholders of record as of the close of business on July 20, 2020 (the “</w:t>
      </w:r>
      <w:r>
        <w:rPr>
          <w:rFonts w:ascii="Arial" w:cs="Arial" w:eastAsia="Arial" w:hAnsi="Arial"/>
          <w:sz w:val="16"/>
          <w:szCs w:val="16"/>
          <w:i w:val="1"/>
          <w:iCs w:val="1"/>
          <w:color w:val="auto"/>
        </w:rPr>
        <w:t>Record Date</w:t>
      </w:r>
      <w:r>
        <w:rPr>
          <w:rFonts w:ascii="Arial" w:cs="Arial" w:eastAsia="Arial" w:hAnsi="Arial"/>
          <w:sz w:val="16"/>
          <w:szCs w:val="16"/>
          <w:color w:val="auto"/>
        </w:rPr>
        <w:t>”) are entitled to attend and vote at the Annual Meeting. Each shareholder is entitled to one vote for each share of common stock held on each matter submitted to a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259080</wp:posOffset>
            </wp:positionV>
            <wp:extent cx="291465" cy="2743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85</w:t>
            </w:r>
          </w:p>
        </w:tc>
      </w:tr>
    </w:tbl>
    <w:p>
      <w:pPr>
        <w:sectPr>
          <w:pgSz w:w="11900" w:h="16838" w:orient="portrait"/>
          <w:cols w:equalWidth="0" w:num="1">
            <w:col w:w="10580"/>
          </w:cols>
          <w:pgMar w:left="320" w:top="459" w:right="99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223260"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2326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I</w:t>
      </w:r>
      <w:r>
        <w:rPr>
          <w:rFonts w:ascii="Arial" w:cs="Arial" w:eastAsia="Arial" w:hAnsi="Arial"/>
          <w:sz w:val="11"/>
          <w:szCs w:val="11"/>
          <w:b w:val="1"/>
          <w:bCs w:val="1"/>
          <w:color w:val="005CB9"/>
        </w:rPr>
        <w:t>NFORMATION</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BOUT THE</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NNUAL</w:t>
      </w:r>
      <w:r>
        <w:rPr>
          <w:rFonts w:ascii="Arial" w:cs="Arial" w:eastAsia="Arial" w:hAnsi="Arial"/>
          <w:sz w:val="14"/>
          <w:szCs w:val="14"/>
          <w:b w:val="1"/>
          <w:bCs w:val="1"/>
          <w:color w:val="005CB9"/>
        </w:rPr>
        <w:t xml:space="preserve"> M</w:t>
      </w:r>
      <w:r>
        <w:rPr>
          <w:rFonts w:ascii="Arial" w:cs="Arial" w:eastAsia="Arial" w:hAnsi="Arial"/>
          <w:sz w:val="11"/>
          <w:szCs w:val="11"/>
          <w:b w:val="1"/>
          <w:bCs w:val="1"/>
          <w:color w:val="005CB9"/>
        </w:rPr>
        <w:t>EETING AND</w:t>
      </w:r>
      <w:r>
        <w:rPr>
          <w:rFonts w:ascii="Arial" w:cs="Arial" w:eastAsia="Arial" w:hAnsi="Arial"/>
          <w:sz w:val="14"/>
          <w:szCs w:val="14"/>
          <w:b w:val="1"/>
          <w:bCs w:val="1"/>
          <w:color w:val="005CB9"/>
        </w:rPr>
        <w:t xml:space="preserve"> V</w:t>
      </w:r>
      <w:r>
        <w:rPr>
          <w:rFonts w:ascii="Arial" w:cs="Arial" w:eastAsia="Arial" w:hAnsi="Arial"/>
          <w:sz w:val="11"/>
          <w:szCs w:val="11"/>
          <w:b w:val="1"/>
          <w:bCs w:val="1"/>
          <w:color w:val="005CB9"/>
        </w:rPr>
        <w:t>OTING</w:t>
      </w:r>
    </w:p>
    <w:p>
      <w:pPr>
        <w:spacing w:after="0" w:line="200" w:lineRule="exact"/>
        <w:rPr>
          <w:sz w:val="20"/>
          <w:szCs w:val="20"/>
          <w:color w:val="auto"/>
        </w:rPr>
      </w:pPr>
    </w:p>
    <w:p>
      <w:pPr>
        <w:spacing w:after="0" w:line="228"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b w:val="1"/>
          <w:bCs w:val="1"/>
          <w:color w:val="005CB9"/>
        </w:rPr>
        <w:t>Why did I receive a one-page notice in the mail regarding the Internet availability of proxy materials instead of a full set of proxy materials?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rules of the SEC permit us to make our proxy materials available to beneficial owners of our stock electronically over the Internet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without mailing printed copies of the proxy materials. Accordingly, we are sending a Notice of Internet Availability of Proxy Materials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Notice of Internet Availability</w:t>
      </w:r>
      <w:r>
        <w:rPr>
          <w:rFonts w:ascii="Arial" w:cs="Arial" w:eastAsia="Arial" w:hAnsi="Arial"/>
          <w:sz w:val="16"/>
          <w:szCs w:val="16"/>
          <w:color w:val="auto"/>
        </w:rPr>
        <w:t>”) to our beneficial owners. All beneficial owners will have the ability to access the proxy materials, including</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Proxy Statement and our 2020 Annual Report, on the website referred to in the Notice of Internet Availability or to request a printed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set of the proxy materials. Instructions on how to access the proxy materials over the Internet or how to request a printed copy can be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found in the Notice of Internet Availability. The Notice of Internet Availability also includes information regarding the possibility that we hold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Annual Meeting solely as a virtual meeting as part of our precautions regarding the COVID-19 pandemic. In addition, beneficial owners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may request to receive proxy materials in printed form by mail or electronically by email on an ongoing basis.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Could the COVID-19 pandemic impact the Annual Meeting?</w:t>
      </w:r>
    </w:p>
    <w:p>
      <w:pPr>
        <w:spacing w:after="0" w:line="133" w:lineRule="exact"/>
        <w:rPr>
          <w:sz w:val="20"/>
          <w:szCs w:val="20"/>
          <w:color w:val="auto"/>
        </w:rPr>
      </w:pPr>
    </w:p>
    <w:p>
      <w:pPr>
        <w:ind w:left="660" w:right="60"/>
        <w:spacing w:after="0" w:line="250" w:lineRule="auto"/>
        <w:rPr>
          <w:sz w:val="20"/>
          <w:szCs w:val="20"/>
          <w:color w:val="auto"/>
        </w:rPr>
      </w:pPr>
      <w:r>
        <w:rPr>
          <w:rFonts w:ascii="Arial" w:cs="Arial" w:eastAsia="Arial" w:hAnsi="Arial"/>
          <w:sz w:val="16"/>
          <w:szCs w:val="16"/>
          <w:color w:val="auto"/>
        </w:rPr>
        <w:t>We intend to hold our Annual Meeting in person. However, the health and safety of our stockholders are important to us and as part of our precautions regarding the COVID-19 pandemic, we are planning for the possibility that our Annual Meeting may be held at a different venue or holding the meeting solely by means of remote communication. If we take this step, we will announce the decision to do so in advance, and details on how to participate will be posted on our website at www.take2games.com and filed with the SEC as additional proxy materials. If you are planning to attend our meeting, please check our website the week of the meeting.</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What does it mean if I receive more than one Notice of Internet Availability or proxy card?</w:t>
      </w:r>
    </w:p>
    <w:p>
      <w:pPr>
        <w:spacing w:after="0" w:line="133" w:lineRule="exact"/>
        <w:rPr>
          <w:sz w:val="20"/>
          <w:szCs w:val="20"/>
          <w:color w:val="auto"/>
        </w:rPr>
      </w:pPr>
    </w:p>
    <w:p>
      <w:pPr>
        <w:ind w:left="660" w:right="100"/>
        <w:spacing w:after="0" w:line="251" w:lineRule="auto"/>
        <w:rPr>
          <w:sz w:val="20"/>
          <w:szCs w:val="20"/>
          <w:color w:val="auto"/>
        </w:rPr>
      </w:pPr>
      <w:r>
        <w:rPr>
          <w:rFonts w:ascii="Arial" w:cs="Arial" w:eastAsia="Arial" w:hAnsi="Arial"/>
          <w:sz w:val="16"/>
          <w:szCs w:val="16"/>
          <w:color w:val="auto"/>
        </w:rPr>
        <w:t>It may mean that you hold shares registered in more than one account. Follow the voting instructions provided on each Notice of Internet Availability that you received to ensure that all of your shares are voted. If you received paper proxy cards, sign and return all proxy cards to ensure that all of your shares are voted. You may call American Stock Transfer &amp; Trust Company at 1-800-937-5449 if you have any questions regarding the share information or your address appearing on the paper proxy card.</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How do I vote?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can vote by proxy over the Internet by following the instructions provided in the Notice of Internet Availability.</w:t>
      </w:r>
    </w:p>
    <w:p>
      <w:pPr>
        <w:spacing w:after="0" w:line="221" w:lineRule="exact"/>
        <w:rPr>
          <w:sz w:val="20"/>
          <w:szCs w:val="20"/>
          <w:color w:val="auto"/>
        </w:rPr>
      </w:pPr>
    </w:p>
    <w:p>
      <w:pPr>
        <w:ind w:left="660" w:right="140"/>
        <w:spacing w:after="0" w:line="250" w:lineRule="auto"/>
        <w:rPr>
          <w:sz w:val="20"/>
          <w:szCs w:val="20"/>
          <w:color w:val="auto"/>
        </w:rPr>
      </w:pPr>
      <w:r>
        <w:rPr>
          <w:rFonts w:ascii="Arial" w:cs="Arial" w:eastAsia="Arial" w:hAnsi="Arial"/>
          <w:sz w:val="16"/>
          <w:szCs w:val="16"/>
          <w:color w:val="auto"/>
        </w:rPr>
        <w:t>If you received a full set of proxy materials and your shares are registered directly with American Stock Transfer &amp; Trust Company, you may vote via the Internet at www.proxyvote.com. Although we encourage you to vote via the Internet, you may also sign and date each paper proxy card you receive and return it in the prepaid envelope; the paper proxy card may also contain instructions for voting by telephone. The enclosed proxy will be voted in accordance with the instructions thereon. Unless otherwise stated, all shares represented by such proxy will be voted as instructed. Proxies may be revoked in the manner described above.</w:t>
      </w:r>
    </w:p>
    <w:p>
      <w:pPr>
        <w:spacing w:after="0" w:line="203" w:lineRule="exact"/>
        <w:rPr>
          <w:sz w:val="20"/>
          <w:szCs w:val="20"/>
          <w:color w:val="auto"/>
        </w:rPr>
      </w:pPr>
    </w:p>
    <w:p>
      <w:pPr>
        <w:ind w:left="660" w:right="100"/>
        <w:spacing w:after="0" w:line="251" w:lineRule="auto"/>
        <w:rPr>
          <w:sz w:val="20"/>
          <w:szCs w:val="20"/>
          <w:color w:val="auto"/>
        </w:rPr>
      </w:pPr>
      <w:r>
        <w:rPr>
          <w:rFonts w:ascii="Arial" w:cs="Arial" w:eastAsia="Arial" w:hAnsi="Arial"/>
          <w:sz w:val="16"/>
          <w:szCs w:val="16"/>
          <w:color w:val="auto"/>
        </w:rPr>
        <w:t>If you hold your shares through a stockbroker, nominee, fiduciary or other custodian you may also be able to vote through a program provided through Broadridge Financial Solutions (“</w:t>
      </w:r>
      <w:r>
        <w:rPr>
          <w:rFonts w:ascii="Arial" w:cs="Arial" w:eastAsia="Arial" w:hAnsi="Arial"/>
          <w:sz w:val="16"/>
          <w:szCs w:val="16"/>
          <w:i w:val="1"/>
          <w:iCs w:val="1"/>
          <w:color w:val="auto"/>
        </w:rPr>
        <w:t>Broadridge</w:t>
      </w:r>
      <w:r>
        <w:rPr>
          <w:rFonts w:ascii="Arial" w:cs="Arial" w:eastAsia="Arial" w:hAnsi="Arial"/>
          <w:sz w:val="16"/>
          <w:szCs w:val="16"/>
          <w:color w:val="auto"/>
        </w:rPr>
        <w:t>”) that offers Internet voting options. If your shares are held in an account at a brokerage firm or bank participating in the Broadridge program, you are offered the opportunity to elect to vote via the Internet. Votes submitted via the Internet through the Broadridge program must be received by 11:59 p.m. (Eastern Time) on September 15, 2020.</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What happens if I do not give specific voting instructions?</w:t>
      </w:r>
    </w:p>
    <w:p>
      <w:pPr>
        <w:spacing w:after="0" w:line="117" w:lineRule="exact"/>
        <w:rPr>
          <w:sz w:val="20"/>
          <w:szCs w:val="20"/>
          <w:color w:val="auto"/>
        </w:rPr>
      </w:pPr>
    </w:p>
    <w:p>
      <w:pPr>
        <w:ind w:left="660" w:right="20"/>
        <w:spacing w:after="0" w:line="255" w:lineRule="auto"/>
        <w:rPr>
          <w:sz w:val="20"/>
          <w:szCs w:val="20"/>
          <w:color w:val="auto"/>
        </w:rPr>
      </w:pPr>
      <w:r>
        <w:rPr>
          <w:rFonts w:ascii="Arial" w:cs="Arial" w:eastAsia="Arial" w:hAnsi="Arial"/>
          <w:sz w:val="16"/>
          <w:szCs w:val="16"/>
          <w:i w:val="1"/>
          <w:iCs w:val="1"/>
          <w:color w:val="auto"/>
        </w:rPr>
        <w:t xml:space="preserve">For Shares Directly Registered in the Name of the Shareholder: </w:t>
      </w:r>
      <w:r>
        <w:rPr>
          <w:rFonts w:ascii="Arial" w:cs="Arial" w:eastAsia="Arial" w:hAnsi="Arial"/>
          <w:sz w:val="16"/>
          <w:szCs w:val="16"/>
          <w:color w:val="auto"/>
        </w:rPr>
        <w:t>If you return your signed proxy but do not indicate your voting</w:t>
      </w:r>
      <w:r>
        <w:rPr>
          <w:rFonts w:ascii="Arial" w:cs="Arial" w:eastAsia="Arial" w:hAnsi="Arial"/>
          <w:sz w:val="16"/>
          <w:szCs w:val="16"/>
          <w:i w:val="1"/>
          <w:iCs w:val="1"/>
          <w:color w:val="auto"/>
        </w:rPr>
        <w:t xml:space="preserve"> </w:t>
      </w:r>
      <w:r>
        <w:rPr>
          <w:rFonts w:ascii="Arial" w:cs="Arial" w:eastAsia="Arial" w:hAnsi="Arial"/>
          <w:sz w:val="16"/>
          <w:szCs w:val="16"/>
          <w:color w:val="auto"/>
        </w:rPr>
        <w:t>preferences, the Company will vote on your behalf “FOR” the election of the nominated directors, “FOR” the approval on an advisory basis of the compensation of the named executive officers, “FOR” the Amended and Restated 2017 Plan and “FOR” the ratification of the appointment of Ernst &amp; Young. If any other matter properly comes before the shareholders for a vote at the Annual Meeting, the proxy holders will vote your shares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271145</wp:posOffset>
            </wp:positionV>
            <wp:extent cx="291465" cy="2743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86</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205740</wp:posOffset>
            </wp:positionV>
            <wp:extent cx="328295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82950" cy="137160"/>
                    </a:xfrm>
                    <a:prstGeom prst="rect">
                      <a:avLst/>
                    </a:prstGeom>
                    <a:noFill/>
                  </pic:spPr>
                </pic:pic>
              </a:graphicData>
            </a:graphic>
          </wp:anchor>
        </w:drawing>
      </w:r>
    </w:p>
    <w:p>
      <w:pPr>
        <w:spacing w:after="0" w:line="331"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005CB9"/>
        </w:rPr>
        <w:t>I</w:t>
      </w:r>
      <w:r>
        <w:rPr>
          <w:rFonts w:ascii="Arial" w:cs="Arial" w:eastAsia="Arial" w:hAnsi="Arial"/>
          <w:sz w:val="11"/>
          <w:szCs w:val="11"/>
          <w:b w:val="1"/>
          <w:bCs w:val="1"/>
          <w:color w:val="005CB9"/>
        </w:rPr>
        <w:t>NFORMATION</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BOUT THE</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NNUAL</w:t>
      </w:r>
      <w:r>
        <w:rPr>
          <w:rFonts w:ascii="Arial" w:cs="Arial" w:eastAsia="Arial" w:hAnsi="Arial"/>
          <w:sz w:val="14"/>
          <w:szCs w:val="14"/>
          <w:b w:val="1"/>
          <w:bCs w:val="1"/>
          <w:color w:val="005CB9"/>
        </w:rPr>
        <w:t xml:space="preserve"> M</w:t>
      </w:r>
      <w:r>
        <w:rPr>
          <w:rFonts w:ascii="Arial" w:cs="Arial" w:eastAsia="Arial" w:hAnsi="Arial"/>
          <w:sz w:val="11"/>
          <w:szCs w:val="11"/>
          <w:b w:val="1"/>
          <w:bCs w:val="1"/>
          <w:color w:val="005CB9"/>
        </w:rPr>
        <w:t>EETING AND</w:t>
      </w:r>
      <w:r>
        <w:rPr>
          <w:rFonts w:ascii="Arial" w:cs="Arial" w:eastAsia="Arial" w:hAnsi="Arial"/>
          <w:sz w:val="14"/>
          <w:szCs w:val="14"/>
          <w:b w:val="1"/>
          <w:bCs w:val="1"/>
          <w:color w:val="005CB9"/>
        </w:rPr>
        <w:t xml:space="preserve"> V</w:t>
      </w:r>
      <w:r>
        <w:rPr>
          <w:rFonts w:ascii="Arial" w:cs="Arial" w:eastAsia="Arial" w:hAnsi="Arial"/>
          <w:sz w:val="11"/>
          <w:szCs w:val="11"/>
          <w:b w:val="1"/>
          <w:bCs w:val="1"/>
          <w:color w:val="005CB9"/>
        </w:rPr>
        <w:t>OTING</w:t>
      </w:r>
    </w:p>
    <w:p>
      <w:pPr>
        <w:spacing w:after="0" w:line="200" w:lineRule="exact"/>
        <w:rPr>
          <w:sz w:val="20"/>
          <w:szCs w:val="20"/>
          <w:color w:val="auto"/>
        </w:rPr>
      </w:pPr>
    </w:p>
    <w:p>
      <w:pPr>
        <w:spacing w:after="0" w:line="232"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i w:val="1"/>
          <w:iCs w:val="1"/>
          <w:color w:val="auto"/>
        </w:rPr>
        <w:t xml:space="preserve">For Shares Registered in the Name of a Brokerage Firm or Bank: </w:t>
      </w:r>
      <w:r>
        <w:rPr>
          <w:rFonts w:ascii="Arial" w:cs="Arial" w:eastAsia="Arial" w:hAnsi="Arial"/>
          <w:sz w:val="16"/>
          <w:szCs w:val="16"/>
          <w:color w:val="auto"/>
        </w:rPr>
        <w:t>If your shares are held in street name, your broker or nominee will ask</w:t>
      </w:r>
      <w:r>
        <w:rPr>
          <w:rFonts w:ascii="Arial" w:cs="Arial" w:eastAsia="Arial" w:hAnsi="Arial"/>
          <w:sz w:val="16"/>
          <w:szCs w:val="16"/>
          <w:i w:val="1"/>
          <w:iCs w:val="1"/>
          <w:color w:val="auto"/>
        </w:rPr>
        <w:t xml:space="preserve"> </w:t>
      </w:r>
      <w:r>
        <w:rPr>
          <w:rFonts w:ascii="Arial" w:cs="Arial" w:eastAsia="Arial" w:hAnsi="Arial"/>
          <w:sz w:val="16"/>
          <w:szCs w:val="16"/>
          <w:color w:val="auto"/>
        </w:rPr>
        <w:t>you how you want your shares to be voted. If you provide voting instructions, your shares must be voted as you direct. If you do not furnish voting instructions, one of two things can happen, depending upon whether a proposal is “routine.” Under the rules that govern brokers that have record ownership of shares beneficially owned by their clients, brokers have discretion to cast votes on routine matters, such as the ratification of the appointment of independent registered public accounting firms, without voting instructions from their clients. Brokers are not permitted, however, to cast votes on “non-routine” matters, such as the election of directors, the non-binding advisory vote to approve the compensation of the Company’s “named executive officers” as disclosed in this Proxy Statement, and the approval of the Amended and Restated 2017 Plan without such voting instructions. A “broker non-vote” occurs when a broker holding shares for a beneficial owner does not vote on a particular proposal because the broker does not have discretionary voting power for that proposal and has not received voting instructions from the beneficial owner.</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What is an abstention?</w:t>
      </w:r>
    </w:p>
    <w:p>
      <w:pPr>
        <w:spacing w:after="0" w:line="133" w:lineRule="exact"/>
        <w:rPr>
          <w:sz w:val="20"/>
          <w:szCs w:val="20"/>
          <w:color w:val="auto"/>
        </w:rPr>
      </w:pPr>
    </w:p>
    <w:p>
      <w:pPr>
        <w:ind w:left="660" w:right="460"/>
        <w:spacing w:after="0" w:line="260" w:lineRule="auto"/>
        <w:rPr>
          <w:sz w:val="20"/>
          <w:szCs w:val="20"/>
          <w:color w:val="auto"/>
        </w:rPr>
      </w:pPr>
      <w:r>
        <w:rPr>
          <w:rFonts w:ascii="Arial" w:cs="Arial" w:eastAsia="Arial" w:hAnsi="Arial"/>
          <w:sz w:val="16"/>
          <w:szCs w:val="16"/>
          <w:color w:val="auto"/>
        </w:rPr>
        <w:t>An abstention is a properly signed proxy card that is marked “abstain” or properly completed instructions via the Internet to the same effect.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How do I sign the paper proxy card?</w:t>
      </w:r>
    </w:p>
    <w:p>
      <w:pPr>
        <w:spacing w:after="0" w:line="133" w:lineRule="exact"/>
        <w:rPr>
          <w:sz w:val="20"/>
          <w:szCs w:val="20"/>
          <w:color w:val="auto"/>
        </w:rPr>
      </w:pPr>
    </w:p>
    <w:p>
      <w:pPr>
        <w:ind w:left="660" w:right="20"/>
        <w:spacing w:after="0" w:line="251" w:lineRule="auto"/>
        <w:rPr>
          <w:sz w:val="20"/>
          <w:szCs w:val="20"/>
          <w:color w:val="auto"/>
        </w:rPr>
      </w:pPr>
      <w:r>
        <w:rPr>
          <w:rFonts w:ascii="Arial" w:cs="Arial" w:eastAsia="Arial" w:hAnsi="Arial"/>
          <w:sz w:val="16"/>
          <w:szCs w:val="16"/>
          <w:color w:val="auto"/>
        </w:rPr>
        <w:t>Sign your name exactly as it appears on the proxy card. If you are signing in a representative capacity (for example, as an attorney, executor, administrator, guardian, trustee or the officer or agent of a company), you should indicate your name and title or capacity. If the stock is held in custody for a minor (for example, under the Uniform Transfers to Minors Act), the custodian should sign the proxy card, not the minor. If the stock is held in joint ownership, both owners must sign.</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May I vote my shares in person at the Annual Meeting?</w:t>
      </w:r>
    </w:p>
    <w:p>
      <w:pPr>
        <w:spacing w:after="0" w:line="117" w:lineRule="exact"/>
        <w:rPr>
          <w:sz w:val="20"/>
          <w:szCs w:val="20"/>
          <w:color w:val="auto"/>
        </w:rPr>
      </w:pPr>
    </w:p>
    <w:p>
      <w:pPr>
        <w:ind w:left="660"/>
        <w:spacing w:after="0" w:line="258" w:lineRule="auto"/>
        <w:rPr>
          <w:sz w:val="20"/>
          <w:szCs w:val="20"/>
          <w:color w:val="auto"/>
        </w:rPr>
      </w:pPr>
      <w:r>
        <w:rPr>
          <w:rFonts w:ascii="Arial" w:cs="Arial" w:eastAsia="Arial" w:hAnsi="Arial"/>
          <w:sz w:val="16"/>
          <w:szCs w:val="16"/>
          <w:i w:val="1"/>
          <w:iCs w:val="1"/>
          <w:color w:val="auto"/>
        </w:rPr>
        <w:t xml:space="preserve">For Shares Directly Registered in the Name of the Shareholder: </w:t>
      </w:r>
      <w:r>
        <w:rPr>
          <w:rFonts w:ascii="Arial" w:cs="Arial" w:eastAsia="Arial" w:hAnsi="Arial"/>
          <w:sz w:val="16"/>
          <w:szCs w:val="16"/>
          <w:color w:val="auto"/>
        </w:rPr>
        <w:t>Yes, however, we encourage you to vote by proxy card or the 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even if you plan to attend the meeting. If you wish to give a proxy to someone other than the individuals named as proxies on the enclosed proxy card, you may cross out the names appearing on the enclosed proxy card, insert the name of some other person, sign the card and give the proxy card to that person for use at the meeting.</w:t>
      </w:r>
    </w:p>
    <w:p>
      <w:pPr>
        <w:spacing w:after="0" w:line="181" w:lineRule="exact"/>
        <w:rPr>
          <w:sz w:val="20"/>
          <w:szCs w:val="20"/>
          <w:color w:val="auto"/>
        </w:rPr>
      </w:pPr>
    </w:p>
    <w:p>
      <w:pPr>
        <w:ind w:left="660" w:right="160"/>
        <w:spacing w:after="0" w:line="258" w:lineRule="auto"/>
        <w:rPr>
          <w:sz w:val="20"/>
          <w:szCs w:val="20"/>
          <w:color w:val="auto"/>
        </w:rPr>
      </w:pPr>
      <w:r>
        <w:rPr>
          <w:rFonts w:ascii="Arial" w:cs="Arial" w:eastAsia="Arial" w:hAnsi="Arial"/>
          <w:sz w:val="16"/>
          <w:szCs w:val="16"/>
          <w:i w:val="1"/>
          <w:iCs w:val="1"/>
          <w:color w:val="auto"/>
        </w:rPr>
        <w:t xml:space="preserve">For Shares Registered in the Name of a Brokerage Firm or Bank: </w:t>
      </w:r>
      <w:r>
        <w:rPr>
          <w:rFonts w:ascii="Arial" w:cs="Arial" w:eastAsia="Arial" w:hAnsi="Arial"/>
          <w:sz w:val="16"/>
          <w:szCs w:val="16"/>
          <w:color w:val="auto"/>
        </w:rPr>
        <w:t>Yes, but in order to do so you will first have to ask your bank, broker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intermediary to furnish you with a legal proxy. You will need to bring the legal proxy with you to the meeting, and hand it in with a signed ballot that you can request at the meeting. You will not be able to vote your shares at the meeting without a legal proxy and a signed ballot.</w:t>
      </w:r>
    </w:p>
    <w:p>
      <w:pPr>
        <w:spacing w:after="0" w:line="177" w:lineRule="exact"/>
        <w:rPr>
          <w:sz w:val="20"/>
          <w:szCs w:val="20"/>
          <w:color w:val="auto"/>
        </w:rPr>
      </w:pPr>
    </w:p>
    <w:p>
      <w:pPr>
        <w:ind w:left="660" w:right="200"/>
        <w:spacing w:after="0" w:line="286" w:lineRule="auto"/>
        <w:rPr>
          <w:sz w:val="20"/>
          <w:szCs w:val="20"/>
          <w:color w:val="auto"/>
        </w:rPr>
      </w:pPr>
      <w:r>
        <w:rPr>
          <w:rFonts w:ascii="Arial" w:cs="Arial" w:eastAsia="Arial" w:hAnsi="Arial"/>
          <w:sz w:val="16"/>
          <w:szCs w:val="16"/>
          <w:b w:val="1"/>
          <w:bCs w:val="1"/>
          <w:i w:val="1"/>
          <w:iCs w:val="1"/>
          <w:color w:val="auto"/>
        </w:rPr>
        <w:t>Your attendance at the Annual Meeting in and of itself will not automatically revoke a proxy that was submitted via the Internet or telephone or by mail.</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Who will count the votes?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representative of Broadridge will tabulate the votes and act as independent inspector of election.</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What constitutes a quorum?</w:t>
      </w:r>
    </w:p>
    <w:p>
      <w:pPr>
        <w:spacing w:after="0" w:line="133" w:lineRule="exact"/>
        <w:rPr>
          <w:sz w:val="20"/>
          <w:szCs w:val="20"/>
          <w:color w:val="auto"/>
        </w:rPr>
      </w:pPr>
    </w:p>
    <w:p>
      <w:pPr>
        <w:ind w:left="660" w:right="180"/>
        <w:spacing w:after="0" w:line="249" w:lineRule="auto"/>
        <w:rPr>
          <w:sz w:val="20"/>
          <w:szCs w:val="20"/>
          <w:color w:val="auto"/>
        </w:rPr>
      </w:pPr>
      <w:r>
        <w:rPr>
          <w:rFonts w:ascii="Arial" w:cs="Arial" w:eastAsia="Arial" w:hAnsi="Arial"/>
          <w:sz w:val="16"/>
          <w:szCs w:val="16"/>
          <w:color w:val="auto"/>
        </w:rPr>
        <w:t>The holders of a majority of the outstanding shares of common stock on the Record Date present in person or represented by proxy constitutes a quorum for the Annual Meeting. As of the close of business on July 20, 2020, 114,338,764 shares of common stock were issued and outstanding. Subject to the rules regarding the votes necessary to adopt the proposals discussed below, abstentions and broker non-votes (as described above) will be counted for purposes of determining whether a quorum is present. Once a share is represented for any purpose at the Annual Meeting, it will be deemed present for quorum purposes for the remainder of the Annual Meeting (including any meeting resulting from an adjournment or postponement of the Annual Meeting, unless a new record date is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274320</wp:posOffset>
            </wp:positionV>
            <wp:extent cx="291465" cy="2743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87</w:t>
            </w:r>
          </w:p>
        </w:tc>
      </w:tr>
    </w:tbl>
    <w:p>
      <w:pPr>
        <w:sectPr>
          <w:pgSz w:w="11900" w:h="16838" w:orient="portrait"/>
          <w:cols w:equalWidth="0" w:num="1">
            <w:col w:w="10580"/>
          </w:cols>
          <w:pgMar w:left="320" w:top="459" w:right="9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22326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23260" cy="137160"/>
                    </a:xfrm>
                    <a:prstGeom prst="rect">
                      <a:avLst/>
                    </a:prstGeom>
                    <a:noFill/>
                  </pic:spPr>
                </pic:pic>
              </a:graphicData>
            </a:graphic>
          </wp:anchor>
        </w:drawing>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005CB9"/>
        </w:rPr>
        <w:t>I</w:t>
      </w:r>
      <w:r>
        <w:rPr>
          <w:rFonts w:ascii="Arial" w:cs="Arial" w:eastAsia="Arial" w:hAnsi="Arial"/>
          <w:sz w:val="11"/>
          <w:szCs w:val="11"/>
          <w:b w:val="1"/>
          <w:bCs w:val="1"/>
          <w:color w:val="005CB9"/>
        </w:rPr>
        <w:t>NFORMATION</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BOUT THE</w:t>
      </w:r>
      <w:r>
        <w:rPr>
          <w:rFonts w:ascii="Arial" w:cs="Arial" w:eastAsia="Arial" w:hAnsi="Arial"/>
          <w:sz w:val="14"/>
          <w:szCs w:val="14"/>
          <w:b w:val="1"/>
          <w:bCs w:val="1"/>
          <w:color w:val="005CB9"/>
        </w:rPr>
        <w:t xml:space="preserve"> A</w:t>
      </w:r>
      <w:r>
        <w:rPr>
          <w:rFonts w:ascii="Arial" w:cs="Arial" w:eastAsia="Arial" w:hAnsi="Arial"/>
          <w:sz w:val="11"/>
          <w:szCs w:val="11"/>
          <w:b w:val="1"/>
          <w:bCs w:val="1"/>
          <w:color w:val="005CB9"/>
        </w:rPr>
        <w:t>NNUAL</w:t>
      </w:r>
      <w:r>
        <w:rPr>
          <w:rFonts w:ascii="Arial" w:cs="Arial" w:eastAsia="Arial" w:hAnsi="Arial"/>
          <w:sz w:val="14"/>
          <w:szCs w:val="14"/>
          <w:b w:val="1"/>
          <w:bCs w:val="1"/>
          <w:color w:val="005CB9"/>
        </w:rPr>
        <w:t xml:space="preserve"> M</w:t>
      </w:r>
      <w:r>
        <w:rPr>
          <w:rFonts w:ascii="Arial" w:cs="Arial" w:eastAsia="Arial" w:hAnsi="Arial"/>
          <w:sz w:val="11"/>
          <w:szCs w:val="11"/>
          <w:b w:val="1"/>
          <w:bCs w:val="1"/>
          <w:color w:val="005CB9"/>
        </w:rPr>
        <w:t>EETING AND</w:t>
      </w:r>
      <w:r>
        <w:rPr>
          <w:rFonts w:ascii="Arial" w:cs="Arial" w:eastAsia="Arial" w:hAnsi="Arial"/>
          <w:sz w:val="14"/>
          <w:szCs w:val="14"/>
          <w:b w:val="1"/>
          <w:bCs w:val="1"/>
          <w:color w:val="005CB9"/>
        </w:rPr>
        <w:t xml:space="preserve"> V</w:t>
      </w:r>
      <w:r>
        <w:rPr>
          <w:rFonts w:ascii="Arial" w:cs="Arial" w:eastAsia="Arial" w:hAnsi="Arial"/>
          <w:sz w:val="11"/>
          <w:szCs w:val="11"/>
          <w:b w:val="1"/>
          <w:bCs w:val="1"/>
          <w:color w:val="005CB9"/>
        </w:rPr>
        <w:t>OTING</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What vote is needed to approve the matters to be presented at the Annual Meeting?</w:t>
      </w:r>
    </w:p>
    <w:p>
      <w:pPr>
        <w:spacing w:after="0" w:line="133" w:lineRule="exact"/>
        <w:rPr>
          <w:sz w:val="20"/>
          <w:szCs w:val="20"/>
          <w:color w:val="auto"/>
        </w:rPr>
      </w:pPr>
    </w:p>
    <w:p>
      <w:pPr>
        <w:ind w:left="660" w:right="60"/>
        <w:spacing w:after="0" w:line="247" w:lineRule="auto"/>
        <w:rPr>
          <w:sz w:val="20"/>
          <w:szCs w:val="20"/>
          <w:color w:val="auto"/>
        </w:rPr>
      </w:pPr>
      <w:r>
        <w:rPr>
          <w:rFonts w:ascii="Arial" w:cs="Arial" w:eastAsia="Arial" w:hAnsi="Arial"/>
          <w:sz w:val="16"/>
          <w:szCs w:val="16"/>
          <w:color w:val="auto"/>
        </w:rPr>
        <w:t>In an uncontested election for directors, a director shall be elected at the Annual Meeting if the number of votes that are cast “FOR” his or her election by holders of the stock present in person or represented by proxy entitled to vote on the election of directors exceed the number of votes cast “AGAINST” his or her election by such holders. The Company’s bylaws provide that any incumbent nominee for director who fails to meet this standard shall promptly tender the individual’s resignation to the Corporate Governance Committee for consideration following certification of the shareholder vote. See above under the heading “Election of Directors (Proposal 1)—Policy on Majority Voting for Directors.” A “FOR” vote by a majority of the votes cast is required to approve, on a non-binding advisory basis, the compensation of the Company’s “named executive officers” as disclosed in this Proxy Statement; a “FOR” vote by a majority of the votes cast is required to approve the Amended and Restated 2017 Plan pursuant to applicable NASDAQ rules; and a “FOR” vote by the holders of a majority of the shares present in person or represented by proxy and entitled to vote is required to ratify the appointment of Ernst &amp; Young and to approve any shareholder proposal. For purposes of determining approval of a matter presented at the Annual Meeting, abstentions will be deemed present and entitled to vote (but not cast), other than for purposes of the non-binding advisory vote to approve the compensation of the Company’s “named executive officers” as disclosed in this Proxy Statement and the proposal to approve the Amended and Restated 2017 Plan, for which an abstention will have the effect of a vote “against” such proposals, while broker non-votes will not be deemed present and entitled to vote. An abstention will also have the effect of a vote “against” the proposal to ratify the appointment of Ernst &amp; Young. Both abstentions and broker non-votes will be counted for purposes of determining whether a quorum is present.</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Will any other matters be acted on at the Annual Meeting?</w:t>
      </w:r>
    </w:p>
    <w:p>
      <w:pPr>
        <w:spacing w:after="0" w:line="133" w:lineRule="exact"/>
        <w:rPr>
          <w:sz w:val="20"/>
          <w:szCs w:val="20"/>
          <w:color w:val="auto"/>
        </w:rPr>
      </w:pPr>
    </w:p>
    <w:p>
      <w:pPr>
        <w:jc w:val="both"/>
        <w:ind w:left="660" w:right="20"/>
        <w:spacing w:after="0" w:line="251" w:lineRule="auto"/>
        <w:rPr>
          <w:sz w:val="20"/>
          <w:szCs w:val="20"/>
          <w:color w:val="auto"/>
        </w:rPr>
      </w:pPr>
      <w:r>
        <w:rPr>
          <w:rFonts w:ascii="Arial" w:cs="Arial" w:eastAsia="Arial" w:hAnsi="Arial"/>
          <w:sz w:val="16"/>
          <w:szCs w:val="16"/>
          <w:color w:val="auto"/>
        </w:rPr>
        <w:t>If any other matters are properly presented at the Annual Meeting or any adjournment, the persons named in the proxy will have discretion to vote on those matters. As of the date by which shareholder proposals must have been received by the Company to be presented at the Annual Meeting, and as of the date of this Proxy Statement, the Company did not know of any other matters to be presented at the Annual Meeting.</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Who pays for this proxy solicitation?</w:t>
      </w:r>
    </w:p>
    <w:p>
      <w:pPr>
        <w:spacing w:after="0" w:line="133"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Company will bear the entire cost of soliciting proxies, including the costs of preparing, assembling, printing and mailing this Proxy Statement, the proxy and any additional soliciting material furnished to shareholders. The Company has retained MacKenzie Partners, Inc., a proxy solicitation firm, to solicit proxies for a fee of $20,000, plus reimbursement of its out-of-pocket expenses. Arrangements will be made with brokerage houses and other custodians, nominees and fiduciaries to send proxies and proxy materials to the beneficial owners of stock, and these entities may be reimbursed by the Company for their expenses. Proxies also may be solicited by directors, officers or employees of the Company in person or by telephone, e-mail or other means. No additional compensation will be paid to such individuals for these services.</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CB9"/>
        </w:rPr>
        <w:t>How may I communicate with the Board of Directors?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Shareholders wishing to send communications to the Board of Directors individually or as a group may do so by writing to: The Board of</w:t>
      </w:r>
    </w:p>
    <w:p>
      <w:pPr>
        <w:ind w:left="660" w:right="140"/>
        <w:spacing w:after="0" w:line="213" w:lineRule="auto"/>
        <w:rPr>
          <w:sz w:val="20"/>
          <w:szCs w:val="20"/>
          <w:color w:val="auto"/>
        </w:rPr>
      </w:pPr>
      <w:r>
        <w:rPr>
          <w:rFonts w:ascii="Arial" w:cs="Arial" w:eastAsia="Arial" w:hAnsi="Arial"/>
          <w:sz w:val="16"/>
          <w:szCs w:val="16"/>
          <w:color w:val="auto"/>
        </w:rPr>
        <w:t>Directors of Take-Two Interactive Software, Inc., 110 West 44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Street, New York, New York 10036, Attention: Investor Relations. You should identify your communication as being from a shareholder of the Company. The Company may require reasonable evidence that your communication or other submission is made by a shareholder of the Company before transmitting your communication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278765</wp:posOffset>
            </wp:positionV>
            <wp:extent cx="291465" cy="2743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88</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289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520"/>
        <w:spacing w:after="0"/>
        <w:rPr>
          <w:sz w:val="20"/>
          <w:szCs w:val="20"/>
          <w:color w:val="auto"/>
        </w:rPr>
      </w:pPr>
      <w:r>
        <w:rPr>
          <w:rFonts w:ascii="Arial" w:cs="Arial" w:eastAsia="Arial" w:hAnsi="Arial"/>
          <w:sz w:val="40"/>
          <w:szCs w:val="40"/>
          <w:b w:val="1"/>
          <w:bCs w:val="1"/>
          <w:color w:val="FFFFFF"/>
        </w:rPr>
        <w:t>Availability of Certain Documents</w:t>
      </w: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Householding of Annual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66040</wp:posOffset>
            </wp:positionV>
            <wp:extent cx="629221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15" w:lineRule="exact"/>
        <w:rPr>
          <w:sz w:val="20"/>
          <w:szCs w:val="20"/>
          <w:color w:val="auto"/>
        </w:rPr>
      </w:pPr>
    </w:p>
    <w:p>
      <w:pPr>
        <w:ind w:left="660" w:right="60"/>
        <w:spacing w:after="0" w:line="225" w:lineRule="auto"/>
        <w:rPr>
          <w:sz w:val="20"/>
          <w:szCs w:val="20"/>
          <w:color w:val="auto"/>
        </w:rPr>
      </w:pPr>
      <w:r>
        <w:rPr>
          <w:rFonts w:ascii="Arial" w:cs="Arial" w:eastAsia="Arial" w:hAnsi="Arial"/>
          <w:sz w:val="16"/>
          <w:szCs w:val="16"/>
          <w:color w:val="auto"/>
        </w:rPr>
        <w:t>Some banks, brokers and other nominee record holders may participate in the practice of “householding” proxy statements and their accompanying documents and/or Notices of Internet Availability. This means that only one copy of our Proxy Statement and/or Notice of Internet Availability is sent to multiple shareholders in your household. We will promptly deliver a separate copy of these documents without charge to you upon written request to Take-Two Interactive Software, Inc., 110 West 44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Street, New York, New York 10036, Attn: Investor Relations; our main telephone number is (646) 536-2842. If you want to receive separate copies of our proxy statements and/or Notice of Internet Availability in the future, or if you are receiving multiple copies and would like to receive only one copy per household, you should contact your bank, broker or other nominee record holder, or you may contact us at the above address.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66040</wp:posOffset>
            </wp:positionV>
            <wp:extent cx="629221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15" w:lineRule="exact"/>
        <w:rPr>
          <w:sz w:val="20"/>
          <w:szCs w:val="20"/>
          <w:color w:val="auto"/>
        </w:rPr>
      </w:pPr>
    </w:p>
    <w:p>
      <w:pPr>
        <w:ind w:left="660" w:right="60"/>
        <w:spacing w:after="0" w:line="258" w:lineRule="auto"/>
        <w:rPr>
          <w:sz w:val="20"/>
          <w:szCs w:val="20"/>
          <w:color w:val="auto"/>
        </w:rPr>
      </w:pPr>
      <w:r>
        <w:rPr>
          <w:rFonts w:ascii="Arial" w:cs="Arial" w:eastAsia="Arial" w:hAnsi="Arial"/>
          <w:sz w:val="16"/>
          <w:szCs w:val="16"/>
          <w:color w:val="auto"/>
        </w:rPr>
        <w:t xml:space="preserve">We are required to file annual, quarterly and current reports, proxy statements and other reports with the SEC. Copies of these filings are available through our Internet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xml:space="preserve"> or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We will furnish copies of our SEC filings (without exhibits), including our Annual Report on Form 10-K for the year ended March 31, 2020, without charge to any shareholder upon written request to Take-Two Interactive Software, Inc., 110 West 44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Street, New York, New York 10036, Attn: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172720</wp:posOffset>
            </wp:positionV>
            <wp:extent cx="291465" cy="2743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356"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89</w:t>
            </w:r>
          </w:p>
        </w:tc>
      </w:tr>
    </w:tbl>
    <w:p>
      <w:pPr>
        <w:sectPr>
          <w:pgSz w:w="11900" w:h="16838" w:orient="portrait"/>
          <w:cols w:equalWidth="0" w:num="1">
            <w:col w:w="10580"/>
          </w:cols>
          <w:pgMar w:left="320" w:top="459" w:right="9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289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780"/>
        <w:spacing w:after="0"/>
        <w:rPr>
          <w:sz w:val="20"/>
          <w:szCs w:val="20"/>
          <w:color w:val="auto"/>
        </w:rPr>
      </w:pPr>
      <w:r>
        <w:rPr>
          <w:rFonts w:ascii="Arial" w:cs="Arial" w:eastAsia="Arial" w:hAnsi="Arial"/>
          <w:sz w:val="40"/>
          <w:szCs w:val="40"/>
          <w:b w:val="1"/>
          <w:bCs w:val="1"/>
          <w:color w:val="FFFFFF"/>
        </w:rPr>
        <w:t>No Incorporation by Reference</w:t>
      </w:r>
    </w:p>
    <w:p>
      <w:pPr>
        <w:spacing w:after="0" w:line="200" w:lineRule="exact"/>
        <w:rPr>
          <w:sz w:val="20"/>
          <w:szCs w:val="20"/>
          <w:color w:val="auto"/>
        </w:rPr>
      </w:pPr>
    </w:p>
    <w:p>
      <w:pPr>
        <w:spacing w:after="0" w:line="385"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In its filings with the SEC, the Company sometimes “incorporates by reference” certain information. This means that we are referring you to information that has previously been filed with the SEC and the information should be considered as part of the particular filing. As provided under SEC regulations, the “Report of the Audit Committee of the Board of Directors” and the “Report of the Compensation Committee of the Board of Directors” contained in this Proxy Statement specifically are not incorporated by reference into any other filings with the SEC and shall not be deemed to be “soliciting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273050</wp:posOffset>
            </wp:positionV>
            <wp:extent cx="291465" cy="2743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b w:val="1"/>
          <w:bCs w:val="1"/>
          <w:color w:val="auto"/>
        </w:rPr>
        <w:t>90</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20"/>
          </w:cols>
          <w:pgMar w:left="320" w:top="459" w:right="10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029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60"/>
        <w:spacing w:after="0"/>
        <w:rPr>
          <w:sz w:val="20"/>
          <w:szCs w:val="20"/>
          <w:color w:val="auto"/>
        </w:rPr>
      </w:pPr>
      <w:r>
        <w:rPr>
          <w:rFonts w:ascii="Arial" w:cs="Arial" w:eastAsia="Arial" w:hAnsi="Arial"/>
          <w:sz w:val="36"/>
          <w:szCs w:val="36"/>
          <w:b w:val="1"/>
          <w:bCs w:val="1"/>
          <w:color w:val="FFFFFF"/>
        </w:rPr>
        <w:t>Shareholder Proposals for Next Annual Meeting</w:t>
      </w:r>
    </w:p>
    <w:p>
      <w:pPr>
        <w:spacing w:after="0" w:line="200" w:lineRule="exact"/>
        <w:rPr>
          <w:sz w:val="20"/>
          <w:szCs w:val="20"/>
          <w:color w:val="auto"/>
        </w:rPr>
      </w:pPr>
    </w:p>
    <w:p>
      <w:pPr>
        <w:spacing w:after="0" w:line="394" w:lineRule="exact"/>
        <w:rPr>
          <w:sz w:val="20"/>
          <w:szCs w:val="20"/>
          <w:color w:val="auto"/>
        </w:rPr>
      </w:pPr>
    </w:p>
    <w:p>
      <w:pPr>
        <w:ind w:left="660" w:right="80"/>
        <w:spacing w:after="0" w:line="249" w:lineRule="auto"/>
        <w:rPr>
          <w:sz w:val="20"/>
          <w:szCs w:val="20"/>
          <w:color w:val="auto"/>
        </w:rPr>
      </w:pPr>
      <w:r>
        <w:rPr>
          <w:rFonts w:ascii="Arial" w:cs="Arial" w:eastAsia="Arial" w:hAnsi="Arial"/>
          <w:sz w:val="16"/>
          <w:szCs w:val="16"/>
          <w:color w:val="auto"/>
        </w:rPr>
        <w:t>The Company currently anticipates holding its Annual Meeting of Shareholders for its fiscal year ending March 31, 2021 in September 2021. Accordingly, shareholders who wish to present proposals, nominate directors or present other business appropriate for consideration at the Company’s Annual Meeting of Shareholders to be held in 2021 must submit the proposal in proper form and in satisfaction of the conditions established by the SEC, to the Company at its address set forth on the first page of this Proxy Statement not later than April 1, 2021 in order for the proposal to be considered for inclusion in the Company’s proxy statement and form of proxy relating to such annual meeting.</w:t>
      </w:r>
    </w:p>
    <w:p>
      <w:pPr>
        <w:spacing w:after="0" w:line="205" w:lineRule="exact"/>
        <w:rPr>
          <w:sz w:val="20"/>
          <w:szCs w:val="20"/>
          <w:color w:val="auto"/>
        </w:rPr>
      </w:pPr>
    </w:p>
    <w:p>
      <w:pPr>
        <w:jc w:val="both"/>
        <w:ind w:left="660" w:right="160"/>
        <w:spacing w:after="0" w:line="255" w:lineRule="auto"/>
        <w:rPr>
          <w:sz w:val="20"/>
          <w:szCs w:val="20"/>
          <w:color w:val="auto"/>
        </w:rPr>
      </w:pPr>
      <w:r>
        <w:rPr>
          <w:rFonts w:ascii="Arial" w:cs="Arial" w:eastAsia="Arial" w:hAnsi="Arial"/>
          <w:sz w:val="16"/>
          <w:szCs w:val="16"/>
          <w:color w:val="auto"/>
        </w:rPr>
        <w:t>As provided in the Company’s bylaws, for any proposal, director nomination or other business that is not submitted for inclusion in next year’s proxy statement, but is instead sought to be presented directly at the 2021 Annual Meeting of Shareholders, notice of intention to present the proposal, nominate directors or present other appropriate business must be received in writing by the Company by no earlier than May 19, 2021 and no later than June 18, 2021. Address all notices of intention to present proposals at the 2020 Annual Meeting of Shareholders to Take-Two Interactive Software, Inc., 110 West 44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Street, New York, New York 10036, Attn: Corporate Secretary.</w:t>
      </w:r>
    </w:p>
    <w:p>
      <w:pPr>
        <w:spacing w:after="0" w:line="49" w:lineRule="exact"/>
        <w:rPr>
          <w:sz w:val="20"/>
          <w:szCs w:val="20"/>
          <w:color w:val="auto"/>
        </w:rPr>
      </w:pPr>
    </w:p>
    <w:p>
      <w:pPr>
        <w:ind w:left="660" w:right="20"/>
        <w:spacing w:after="0" w:line="251" w:lineRule="auto"/>
        <w:rPr>
          <w:sz w:val="20"/>
          <w:szCs w:val="20"/>
          <w:color w:val="auto"/>
        </w:rPr>
      </w:pPr>
      <w:r>
        <w:rPr>
          <w:rFonts w:ascii="Arial" w:cs="Arial" w:eastAsia="Arial" w:hAnsi="Arial"/>
          <w:sz w:val="16"/>
          <w:szCs w:val="16"/>
          <w:color w:val="auto"/>
        </w:rPr>
        <w:t>A notice for a director nomination is required to contain information about both the nominee and the shareholder making the nomination, including information specific to the recommended candidate that is relevant to a determination of whether the recommended candidate would be considered independent under the applicable rules of The NASDAQ Stock Market. A nomination that does not comply with these requirements will not be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273050</wp:posOffset>
            </wp:positionV>
            <wp:extent cx="291465" cy="2743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6360" w:type="dxa"/>
        <w:tblCellMar>
          <w:top w:w="0" w:type="dxa"/>
          <w:left w:w="0" w:type="dxa"/>
          <w:bottom w:w="0" w:type="dxa"/>
          <w:right w:w="0" w:type="dxa"/>
        </w:tblCellMar>
      </w:tblPr>
      <w:tr>
        <w:trPr>
          <w:trHeight w:val="215"/>
        </w:trPr>
        <w:tc>
          <w:tcPr>
            <w:tcW w:w="390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91</w:t>
            </w:r>
          </w:p>
        </w:tc>
      </w:tr>
    </w:tbl>
    <w:p>
      <w:pPr>
        <w:sectPr>
          <w:pgSz w:w="11900" w:h="16838" w:orient="portrait"/>
          <w:cols w:equalWidth="0" w:num="1">
            <w:col w:w="10580"/>
          </w:cols>
          <w:pgMar w:left="320" w:top="459" w:right="9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283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380"/>
        <w:spacing w:after="0"/>
        <w:rPr>
          <w:sz w:val="20"/>
          <w:szCs w:val="20"/>
          <w:color w:val="auto"/>
        </w:rPr>
      </w:pPr>
      <w:r>
        <w:rPr>
          <w:rFonts w:ascii="Arial" w:cs="Arial" w:eastAsia="Arial" w:hAnsi="Arial"/>
          <w:sz w:val="40"/>
          <w:szCs w:val="40"/>
          <w:b w:val="1"/>
          <w:bCs w:val="1"/>
          <w:color w:val="FFFFFF"/>
        </w:rPr>
        <w:t>Other Matters</w:t>
      </w:r>
    </w:p>
    <w:p>
      <w:pPr>
        <w:spacing w:after="0" w:line="200" w:lineRule="exact"/>
        <w:rPr>
          <w:sz w:val="20"/>
          <w:szCs w:val="20"/>
          <w:color w:val="auto"/>
        </w:rPr>
      </w:pPr>
    </w:p>
    <w:p>
      <w:pPr>
        <w:spacing w:after="0" w:line="385" w:lineRule="exact"/>
        <w:rPr>
          <w:sz w:val="20"/>
          <w:szCs w:val="20"/>
          <w:color w:val="auto"/>
        </w:rPr>
      </w:pPr>
    </w:p>
    <w:p>
      <w:pPr>
        <w:ind w:left="660" w:right="139"/>
        <w:spacing w:after="0" w:line="251" w:lineRule="auto"/>
        <w:rPr>
          <w:sz w:val="20"/>
          <w:szCs w:val="20"/>
          <w:color w:val="auto"/>
        </w:rPr>
      </w:pPr>
      <w:r>
        <w:rPr>
          <w:rFonts w:ascii="Arial" w:cs="Arial" w:eastAsia="Arial" w:hAnsi="Arial"/>
          <w:sz w:val="16"/>
          <w:szCs w:val="16"/>
          <w:color w:val="auto"/>
        </w:rPr>
        <w:t>The Board of Directors is aware of no other matter, except for those incident to the conduct of the Annual Meeting, that are to be presented to shareholders for formal action at the Annual Meeting. If, however, any other matter properly comes before the Annual Meeting or any adjournment thereof, it is the intention of the persons named in the proxy to vote the proxy in accordance with their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273050</wp:posOffset>
            </wp:positionV>
            <wp:extent cx="291465" cy="2743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140" w:hanging="471"/>
        <w:spacing w:after="0"/>
        <w:tabs>
          <w:tab w:leader="none" w:pos="1140" w:val="left"/>
        </w:tabs>
        <w:numPr>
          <w:ilvl w:val="0"/>
          <w:numId w:val="98"/>
        </w:numPr>
        <w:rPr>
          <w:rFonts w:ascii="Arial" w:cs="Arial" w:eastAsia="Arial" w:hAnsi="Arial"/>
          <w:sz w:val="16"/>
          <w:szCs w:val="16"/>
          <w:b w:val="1"/>
          <w:bCs w:val="1"/>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139"/>
          </w:cols>
          <w:pgMar w:left="320" w:top="459" w:right="1440"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928"/>
        </w:trPr>
        <w:tc>
          <w:tcPr>
            <w:tcW w:w="540" w:type="dxa"/>
            <w:vAlign w:val="bottom"/>
            <w:shd w:val="clear" w:color="auto" w:fill="005CB9"/>
          </w:tcPr>
          <w:p>
            <w:pPr>
              <w:spacing w:after="0"/>
              <w:rPr>
                <w:sz w:val="24"/>
                <w:szCs w:val="24"/>
                <w:color w:val="auto"/>
              </w:rPr>
            </w:pPr>
          </w:p>
        </w:tc>
        <w:tc>
          <w:tcPr>
            <w:tcW w:w="7440" w:type="dxa"/>
            <w:vAlign w:val="bottom"/>
            <w:shd w:val="clear" w:color="auto" w:fill="005CB9"/>
          </w:tcPr>
          <w:p>
            <w:pPr>
              <w:jc w:val="right"/>
              <w:ind w:right="1590"/>
              <w:spacing w:after="0"/>
              <w:rPr>
                <w:sz w:val="20"/>
                <w:szCs w:val="20"/>
                <w:color w:val="auto"/>
              </w:rPr>
            </w:pPr>
            <w:r>
              <w:rPr>
                <w:rFonts w:ascii="Arial" w:cs="Arial" w:eastAsia="Arial" w:hAnsi="Arial"/>
                <w:sz w:val="40"/>
                <w:szCs w:val="40"/>
                <w:b w:val="1"/>
                <w:bCs w:val="1"/>
                <w:color w:val="FFFFFF"/>
              </w:rPr>
              <w:t>Annex A</w:t>
            </w:r>
          </w:p>
        </w:tc>
        <w:tc>
          <w:tcPr>
            <w:tcW w:w="2480" w:type="dxa"/>
            <w:vAlign w:val="bottom"/>
            <w:shd w:val="clear" w:color="auto" w:fill="005CB9"/>
          </w:tcPr>
          <w:p>
            <w:pPr>
              <w:spacing w:after="0"/>
              <w:rPr>
                <w:sz w:val="24"/>
                <w:szCs w:val="24"/>
                <w:color w:val="auto"/>
              </w:rPr>
            </w:pPr>
          </w:p>
        </w:tc>
        <w:tc>
          <w:tcPr>
            <w:tcW w:w="560" w:type="dxa"/>
            <w:vAlign w:val="bottom"/>
            <w:shd w:val="clear" w:color="auto" w:fill="005CB9"/>
          </w:tcPr>
          <w:p>
            <w:pPr>
              <w:spacing w:after="0"/>
              <w:rPr>
                <w:sz w:val="24"/>
                <w:szCs w:val="24"/>
                <w:color w:val="auto"/>
              </w:rPr>
            </w:pPr>
          </w:p>
        </w:tc>
      </w:tr>
      <w:tr>
        <w:trPr>
          <w:trHeight w:val="219"/>
        </w:trPr>
        <w:tc>
          <w:tcPr>
            <w:tcW w:w="540" w:type="dxa"/>
            <w:vAlign w:val="bottom"/>
            <w:shd w:val="clear" w:color="auto" w:fill="005CB9"/>
          </w:tcPr>
          <w:p>
            <w:pPr>
              <w:spacing w:after="0"/>
              <w:rPr>
                <w:sz w:val="19"/>
                <w:szCs w:val="19"/>
                <w:color w:val="auto"/>
              </w:rPr>
            </w:pPr>
          </w:p>
        </w:tc>
        <w:tc>
          <w:tcPr>
            <w:tcW w:w="7440" w:type="dxa"/>
            <w:vAlign w:val="bottom"/>
            <w:shd w:val="clear" w:color="auto" w:fill="005CB9"/>
          </w:tcPr>
          <w:p>
            <w:pPr>
              <w:spacing w:after="0"/>
              <w:rPr>
                <w:sz w:val="19"/>
                <w:szCs w:val="19"/>
                <w:color w:val="auto"/>
              </w:rPr>
            </w:pPr>
          </w:p>
        </w:tc>
        <w:tc>
          <w:tcPr>
            <w:tcW w:w="2480" w:type="dxa"/>
            <w:vAlign w:val="bottom"/>
            <w:shd w:val="clear" w:color="auto" w:fill="005CB9"/>
          </w:tcPr>
          <w:p>
            <w:pPr>
              <w:spacing w:after="0"/>
              <w:rPr>
                <w:sz w:val="19"/>
                <w:szCs w:val="19"/>
                <w:color w:val="auto"/>
              </w:rPr>
            </w:pPr>
          </w:p>
        </w:tc>
        <w:tc>
          <w:tcPr>
            <w:tcW w:w="560" w:type="dxa"/>
            <w:vAlign w:val="bottom"/>
            <w:shd w:val="clear" w:color="auto" w:fill="005CB9"/>
          </w:tcPr>
          <w:p>
            <w:pPr>
              <w:spacing w:after="0"/>
              <w:rPr>
                <w:sz w:val="19"/>
                <w:szCs w:val="19"/>
                <w:color w:val="auto"/>
              </w:rPr>
            </w:pPr>
          </w:p>
        </w:tc>
      </w:tr>
      <w:tr>
        <w:trPr>
          <w:trHeight w:val="552"/>
        </w:trPr>
        <w:tc>
          <w:tcPr>
            <w:tcW w:w="540" w:type="dxa"/>
            <w:vAlign w:val="bottom"/>
          </w:tcPr>
          <w:p>
            <w:pPr>
              <w:spacing w:after="0"/>
              <w:rPr>
                <w:sz w:val="24"/>
                <w:szCs w:val="24"/>
                <w:color w:val="auto"/>
              </w:rPr>
            </w:pPr>
          </w:p>
        </w:tc>
        <w:tc>
          <w:tcPr>
            <w:tcW w:w="7440" w:type="dxa"/>
            <w:vAlign w:val="bottom"/>
            <w:tcBorders>
              <w:bottom w:val="single" w:sz="8" w:color="auto"/>
            </w:tcBorders>
          </w:tcPr>
          <w:p>
            <w:pPr>
              <w:jc w:val="right"/>
              <w:ind w:right="1590"/>
              <w:spacing w:after="0"/>
              <w:rPr>
                <w:sz w:val="20"/>
                <w:szCs w:val="20"/>
                <w:color w:val="auto"/>
              </w:rPr>
            </w:pPr>
            <w:r>
              <w:rPr>
                <w:rFonts w:ascii="Arial" w:cs="Arial" w:eastAsia="Arial" w:hAnsi="Arial"/>
                <w:sz w:val="22"/>
                <w:szCs w:val="22"/>
                <w:b w:val="1"/>
                <w:bCs w:val="1"/>
                <w:color w:val="005CB9"/>
                <w:w w:val="97"/>
              </w:rPr>
              <w:t>Reconciliation of GAAP Net Income to Adjusted EBITDA</w:t>
            </w:r>
          </w:p>
        </w:tc>
        <w:tc>
          <w:tcPr>
            <w:tcW w:w="24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279"/>
        </w:trPr>
        <w:tc>
          <w:tcPr>
            <w:tcW w:w="5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040" w:type="dxa"/>
            <w:vAlign w:val="bottom"/>
            <w:gridSpan w:val="2"/>
          </w:tcPr>
          <w:p>
            <w:pPr>
              <w:spacing w:after="0"/>
              <w:rPr>
                <w:sz w:val="24"/>
                <w:szCs w:val="24"/>
                <w:color w:val="auto"/>
              </w:rPr>
            </w:pPr>
          </w:p>
        </w:tc>
      </w:tr>
      <w:tr>
        <w:trPr>
          <w:trHeight w:val="189"/>
        </w:trPr>
        <w:tc>
          <w:tcPr>
            <w:tcW w:w="540" w:type="dxa"/>
            <w:vAlign w:val="bottom"/>
          </w:tcPr>
          <w:p>
            <w:pPr>
              <w:spacing w:after="0"/>
              <w:rPr>
                <w:sz w:val="16"/>
                <w:szCs w:val="16"/>
                <w:color w:val="auto"/>
              </w:rPr>
            </w:pPr>
          </w:p>
        </w:tc>
        <w:tc>
          <w:tcPr>
            <w:tcW w:w="7440" w:type="dxa"/>
            <w:vAlign w:val="bottom"/>
            <w:shd w:val="clear" w:color="auto" w:fill="005CB9"/>
          </w:tcPr>
          <w:p>
            <w:pPr>
              <w:spacing w:after="0"/>
              <w:rPr>
                <w:sz w:val="16"/>
                <w:szCs w:val="16"/>
                <w:color w:val="auto"/>
              </w:rPr>
            </w:pPr>
          </w:p>
        </w:tc>
        <w:tc>
          <w:tcPr>
            <w:tcW w:w="2480" w:type="dxa"/>
            <w:vAlign w:val="bottom"/>
            <w:shd w:val="clear" w:color="auto" w:fill="005CB9"/>
          </w:tcPr>
          <w:p>
            <w:pPr>
              <w:jc w:val="center"/>
              <w:ind w:left="1561"/>
              <w:spacing w:after="0"/>
              <w:rPr>
                <w:sz w:val="20"/>
                <w:szCs w:val="20"/>
                <w:color w:val="auto"/>
              </w:rPr>
            </w:pPr>
            <w:r>
              <w:rPr>
                <w:rFonts w:ascii="Arial" w:cs="Arial" w:eastAsia="Arial" w:hAnsi="Arial"/>
                <w:sz w:val="14"/>
                <w:szCs w:val="14"/>
                <w:b w:val="1"/>
                <w:bCs w:val="1"/>
                <w:color w:val="FFFFFF"/>
              </w:rPr>
              <w:t>Fiscal Year</w:t>
            </w:r>
          </w:p>
        </w:tc>
        <w:tc>
          <w:tcPr>
            <w:tcW w:w="560" w:type="dxa"/>
            <w:vAlign w:val="bottom"/>
          </w:tcPr>
          <w:p>
            <w:pPr>
              <w:spacing w:after="0"/>
              <w:rPr>
                <w:sz w:val="16"/>
                <w:szCs w:val="16"/>
                <w:color w:val="auto"/>
              </w:rPr>
            </w:pPr>
          </w:p>
        </w:tc>
      </w:tr>
      <w:tr>
        <w:trPr>
          <w:trHeight w:val="162"/>
        </w:trPr>
        <w:tc>
          <w:tcPr>
            <w:tcW w:w="540" w:type="dxa"/>
            <w:vAlign w:val="bottom"/>
          </w:tcPr>
          <w:p>
            <w:pPr>
              <w:spacing w:after="0"/>
              <w:rPr>
                <w:sz w:val="14"/>
                <w:szCs w:val="14"/>
                <w:color w:val="auto"/>
              </w:rPr>
            </w:pPr>
          </w:p>
        </w:tc>
        <w:tc>
          <w:tcPr>
            <w:tcW w:w="7440" w:type="dxa"/>
            <w:vAlign w:val="bottom"/>
            <w:shd w:val="clear" w:color="auto" w:fill="005CB9"/>
          </w:tcPr>
          <w:p>
            <w:pPr>
              <w:spacing w:after="0"/>
              <w:rPr>
                <w:sz w:val="14"/>
                <w:szCs w:val="14"/>
                <w:color w:val="auto"/>
              </w:rPr>
            </w:pPr>
          </w:p>
        </w:tc>
        <w:tc>
          <w:tcPr>
            <w:tcW w:w="2480" w:type="dxa"/>
            <w:vAlign w:val="bottom"/>
            <w:shd w:val="clear" w:color="auto" w:fill="005CB9"/>
          </w:tcPr>
          <w:p>
            <w:pPr>
              <w:jc w:val="center"/>
              <w:ind w:left="1561"/>
              <w:spacing w:after="0"/>
              <w:rPr>
                <w:sz w:val="20"/>
                <w:szCs w:val="20"/>
                <w:color w:val="auto"/>
              </w:rPr>
            </w:pPr>
            <w:r>
              <w:rPr>
                <w:rFonts w:ascii="Arial" w:cs="Arial" w:eastAsia="Arial" w:hAnsi="Arial"/>
                <w:sz w:val="14"/>
                <w:szCs w:val="14"/>
                <w:b w:val="1"/>
                <w:bCs w:val="1"/>
                <w:color w:val="FFFFFF"/>
              </w:rPr>
              <w:t>Ended</w:t>
            </w:r>
          </w:p>
        </w:tc>
        <w:tc>
          <w:tcPr>
            <w:tcW w:w="5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7440" w:type="dxa"/>
            <w:vAlign w:val="bottom"/>
            <w:shd w:val="clear" w:color="auto" w:fill="005CB9"/>
          </w:tcPr>
          <w:p>
            <w:pPr>
              <w:spacing w:after="0"/>
              <w:rPr>
                <w:sz w:val="14"/>
                <w:szCs w:val="14"/>
                <w:color w:val="auto"/>
              </w:rPr>
            </w:pPr>
          </w:p>
        </w:tc>
        <w:tc>
          <w:tcPr>
            <w:tcW w:w="2480" w:type="dxa"/>
            <w:vAlign w:val="bottom"/>
            <w:shd w:val="clear" w:color="auto" w:fill="005CB9"/>
          </w:tcPr>
          <w:p>
            <w:pPr>
              <w:jc w:val="center"/>
              <w:ind w:left="1561"/>
              <w:spacing w:after="0"/>
              <w:rPr>
                <w:sz w:val="20"/>
                <w:szCs w:val="20"/>
                <w:color w:val="auto"/>
              </w:rPr>
            </w:pPr>
            <w:r>
              <w:rPr>
                <w:rFonts w:ascii="Arial" w:cs="Arial" w:eastAsia="Arial" w:hAnsi="Arial"/>
                <w:sz w:val="14"/>
                <w:szCs w:val="14"/>
                <w:b w:val="1"/>
                <w:bCs w:val="1"/>
                <w:color w:val="FFFFFF"/>
              </w:rPr>
              <w:t>March 31,</w:t>
            </w:r>
          </w:p>
        </w:tc>
        <w:tc>
          <w:tcPr>
            <w:tcW w:w="560" w:type="dxa"/>
            <w:vAlign w:val="bottom"/>
          </w:tcPr>
          <w:p>
            <w:pPr>
              <w:spacing w:after="0"/>
              <w:rPr>
                <w:sz w:val="14"/>
                <w:szCs w:val="14"/>
                <w:color w:val="auto"/>
              </w:rPr>
            </w:pPr>
          </w:p>
        </w:tc>
      </w:tr>
      <w:tr>
        <w:trPr>
          <w:trHeight w:val="202"/>
        </w:trPr>
        <w:tc>
          <w:tcPr>
            <w:tcW w:w="540" w:type="dxa"/>
            <w:vAlign w:val="bottom"/>
          </w:tcPr>
          <w:p>
            <w:pPr>
              <w:spacing w:after="0"/>
              <w:rPr>
                <w:sz w:val="17"/>
                <w:szCs w:val="17"/>
                <w:color w:val="auto"/>
              </w:rPr>
            </w:pPr>
          </w:p>
        </w:tc>
        <w:tc>
          <w:tcPr>
            <w:tcW w:w="744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(in thousands)</w:t>
            </w:r>
          </w:p>
        </w:tc>
        <w:tc>
          <w:tcPr>
            <w:tcW w:w="2480" w:type="dxa"/>
            <w:vAlign w:val="bottom"/>
            <w:shd w:val="clear" w:color="auto" w:fill="005CB9"/>
          </w:tcPr>
          <w:p>
            <w:pPr>
              <w:jc w:val="center"/>
              <w:ind w:left="1561"/>
              <w:spacing w:after="0"/>
              <w:rPr>
                <w:sz w:val="20"/>
                <w:szCs w:val="20"/>
                <w:color w:val="auto"/>
              </w:rPr>
            </w:pPr>
            <w:r>
              <w:rPr>
                <w:rFonts w:ascii="Arial" w:cs="Arial" w:eastAsia="Arial" w:hAnsi="Arial"/>
                <w:sz w:val="14"/>
                <w:szCs w:val="14"/>
                <w:b w:val="1"/>
                <w:bCs w:val="1"/>
                <w:color w:val="FFFFFF"/>
              </w:rPr>
              <w:t>2020</w:t>
            </w:r>
          </w:p>
        </w:tc>
        <w:tc>
          <w:tcPr>
            <w:tcW w:w="560" w:type="dxa"/>
            <w:vAlign w:val="bottom"/>
          </w:tcPr>
          <w:p>
            <w:pPr>
              <w:spacing w:after="0"/>
              <w:rPr>
                <w:sz w:val="17"/>
                <w:szCs w:val="17"/>
                <w:color w:val="auto"/>
              </w:rPr>
            </w:pPr>
          </w:p>
        </w:tc>
      </w:tr>
      <w:tr>
        <w:trPr>
          <w:trHeight w:val="250"/>
        </w:trPr>
        <w:tc>
          <w:tcPr>
            <w:tcW w:w="540" w:type="dxa"/>
            <w:vAlign w:val="bottom"/>
          </w:tcPr>
          <w:p>
            <w:pPr>
              <w:spacing w:after="0"/>
              <w:rPr>
                <w:sz w:val="21"/>
                <w:szCs w:val="21"/>
                <w:color w:val="auto"/>
              </w:rPr>
            </w:pPr>
          </w:p>
        </w:tc>
        <w:tc>
          <w:tcPr>
            <w:tcW w:w="74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6"/>
                <w:szCs w:val="16"/>
                <w:color w:val="auto"/>
              </w:rPr>
              <w:t>GAAP Net Income</w:t>
            </w:r>
          </w:p>
        </w:tc>
        <w:tc>
          <w:tcPr>
            <w:tcW w:w="24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$404,459</w:t>
            </w:r>
          </w:p>
        </w:tc>
        <w:tc>
          <w:tcPr>
            <w:tcW w:w="560" w:type="dxa"/>
            <w:vAlign w:val="bottom"/>
          </w:tcPr>
          <w:p>
            <w:pPr>
              <w:spacing w:after="0"/>
              <w:rPr>
                <w:sz w:val="21"/>
                <w:szCs w:val="21"/>
                <w:color w:val="auto"/>
              </w:rPr>
            </w:pPr>
          </w:p>
        </w:tc>
      </w:tr>
      <w:tr>
        <w:trPr>
          <w:trHeight w:val="237"/>
        </w:trPr>
        <w:tc>
          <w:tcPr>
            <w:tcW w:w="540" w:type="dxa"/>
            <w:vAlign w:val="bottom"/>
          </w:tcPr>
          <w:p>
            <w:pPr>
              <w:spacing w:after="0"/>
              <w:rPr>
                <w:sz w:val="20"/>
                <w:szCs w:val="20"/>
                <w:color w:val="auto"/>
              </w:rPr>
            </w:pPr>
          </w:p>
        </w:tc>
        <w:tc>
          <w:tcPr>
            <w:tcW w:w="7440" w:type="dxa"/>
            <w:vAlign w:val="bottom"/>
          </w:tcPr>
          <w:p>
            <w:pPr>
              <w:ind w:left="340"/>
              <w:spacing w:after="0"/>
              <w:rPr>
                <w:sz w:val="20"/>
                <w:szCs w:val="20"/>
                <w:color w:val="auto"/>
              </w:rPr>
            </w:pPr>
            <w:r>
              <w:rPr>
                <w:rFonts w:ascii="Arial" w:cs="Arial" w:eastAsia="Arial" w:hAnsi="Arial"/>
                <w:sz w:val="16"/>
                <w:szCs w:val="16"/>
                <w:color w:val="auto"/>
              </w:rPr>
              <w:t>Net effect from deferral in net revenues and related cost of goods sold</w:t>
            </w:r>
          </w:p>
        </w:tc>
        <w:tc>
          <w:tcPr>
            <w:tcW w:w="2480" w:type="dxa"/>
            <w:vAlign w:val="bottom"/>
          </w:tcPr>
          <w:p>
            <w:pPr>
              <w:jc w:val="right"/>
              <w:spacing w:after="0"/>
              <w:rPr>
                <w:sz w:val="20"/>
                <w:szCs w:val="20"/>
                <w:color w:val="auto"/>
              </w:rPr>
            </w:pPr>
            <w:r>
              <w:rPr>
                <w:rFonts w:ascii="Arial" w:cs="Arial" w:eastAsia="Arial" w:hAnsi="Arial"/>
                <w:sz w:val="16"/>
                <w:szCs w:val="16"/>
                <w:color w:val="auto"/>
              </w:rPr>
              <w:t>(11,835)</w:t>
            </w:r>
          </w:p>
        </w:tc>
        <w:tc>
          <w:tcPr>
            <w:tcW w:w="560" w:type="dxa"/>
            <w:vAlign w:val="bottom"/>
          </w:tcPr>
          <w:p>
            <w:pPr>
              <w:spacing w:after="0"/>
              <w:rPr>
                <w:sz w:val="20"/>
                <w:szCs w:val="20"/>
                <w:color w:val="auto"/>
              </w:rPr>
            </w:pPr>
          </w:p>
        </w:tc>
      </w:tr>
      <w:tr>
        <w:trPr>
          <w:trHeight w:val="33"/>
        </w:trPr>
        <w:tc>
          <w:tcPr>
            <w:tcW w:w="5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7440" w:type="dxa"/>
            <w:vAlign w:val="bottom"/>
            <w:tcBorders>
              <w:bottom w:val="single" w:sz="8" w:color="EAEAEA"/>
            </w:tcBorders>
            <w:shd w:val="clear" w:color="auto" w:fill="EAEAEA"/>
          </w:tcPr>
          <w:p>
            <w:pPr>
              <w:ind w:left="340"/>
              <w:spacing w:after="0"/>
              <w:rPr>
                <w:sz w:val="20"/>
                <w:szCs w:val="20"/>
                <w:color w:val="auto"/>
              </w:rPr>
            </w:pPr>
            <w:r>
              <w:rPr>
                <w:rFonts w:ascii="Arial" w:cs="Arial" w:eastAsia="Arial" w:hAnsi="Arial"/>
                <w:sz w:val="16"/>
                <w:szCs w:val="16"/>
                <w:color w:val="auto"/>
              </w:rPr>
              <w:t>Stock-based compensation</w:t>
            </w:r>
          </w:p>
        </w:tc>
        <w:tc>
          <w:tcPr>
            <w:tcW w:w="24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257,881</w:t>
            </w:r>
          </w:p>
        </w:tc>
        <w:tc>
          <w:tcPr>
            <w:tcW w:w="560" w:type="dxa"/>
            <w:vAlign w:val="bottom"/>
          </w:tcPr>
          <w:p>
            <w:pPr>
              <w:spacing w:after="0"/>
              <w:rPr>
                <w:sz w:val="21"/>
                <w:szCs w:val="21"/>
                <w:color w:val="auto"/>
              </w:rPr>
            </w:pPr>
          </w:p>
        </w:tc>
      </w:tr>
      <w:tr>
        <w:trPr>
          <w:trHeight w:val="237"/>
        </w:trPr>
        <w:tc>
          <w:tcPr>
            <w:tcW w:w="540" w:type="dxa"/>
            <w:vAlign w:val="bottom"/>
          </w:tcPr>
          <w:p>
            <w:pPr>
              <w:spacing w:after="0"/>
              <w:rPr>
                <w:sz w:val="20"/>
                <w:szCs w:val="20"/>
                <w:color w:val="auto"/>
              </w:rPr>
            </w:pPr>
          </w:p>
        </w:tc>
        <w:tc>
          <w:tcPr>
            <w:tcW w:w="7440" w:type="dxa"/>
            <w:vAlign w:val="bottom"/>
          </w:tcPr>
          <w:p>
            <w:pPr>
              <w:ind w:left="340"/>
              <w:spacing w:after="0"/>
              <w:rPr>
                <w:sz w:val="20"/>
                <w:szCs w:val="20"/>
                <w:color w:val="auto"/>
              </w:rPr>
            </w:pPr>
            <w:r>
              <w:rPr>
                <w:rFonts w:ascii="Arial" w:cs="Arial" w:eastAsia="Arial" w:hAnsi="Arial"/>
                <w:sz w:val="16"/>
                <w:szCs w:val="16"/>
                <w:color w:val="auto"/>
              </w:rPr>
              <w:t>Business reorganization</w:t>
            </w:r>
          </w:p>
        </w:tc>
        <w:tc>
          <w:tcPr>
            <w:tcW w:w="2480" w:type="dxa"/>
            <w:vAlign w:val="bottom"/>
          </w:tcPr>
          <w:p>
            <w:pPr>
              <w:jc w:val="right"/>
              <w:spacing w:after="0"/>
              <w:rPr>
                <w:sz w:val="20"/>
                <w:szCs w:val="20"/>
                <w:color w:val="auto"/>
              </w:rPr>
            </w:pPr>
            <w:r>
              <w:rPr>
                <w:rFonts w:ascii="Arial" w:cs="Arial" w:eastAsia="Arial" w:hAnsi="Arial"/>
                <w:sz w:val="16"/>
                <w:szCs w:val="16"/>
                <w:color w:val="auto"/>
              </w:rPr>
              <w:t>83</w:t>
            </w:r>
          </w:p>
        </w:tc>
        <w:tc>
          <w:tcPr>
            <w:tcW w:w="560" w:type="dxa"/>
            <w:vAlign w:val="bottom"/>
          </w:tcPr>
          <w:p>
            <w:pPr>
              <w:spacing w:after="0"/>
              <w:rPr>
                <w:sz w:val="20"/>
                <w:szCs w:val="20"/>
                <w:color w:val="auto"/>
              </w:rPr>
            </w:pPr>
          </w:p>
        </w:tc>
      </w:tr>
      <w:tr>
        <w:trPr>
          <w:trHeight w:val="33"/>
        </w:trPr>
        <w:tc>
          <w:tcPr>
            <w:tcW w:w="5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7440" w:type="dxa"/>
            <w:vAlign w:val="bottom"/>
            <w:tcBorders>
              <w:bottom w:val="single" w:sz="8" w:color="EAEAEA"/>
            </w:tcBorders>
            <w:shd w:val="clear" w:color="auto" w:fill="EAEAEA"/>
          </w:tcPr>
          <w:p>
            <w:pPr>
              <w:ind w:left="340"/>
              <w:spacing w:after="0"/>
              <w:rPr>
                <w:sz w:val="20"/>
                <w:szCs w:val="20"/>
                <w:color w:val="auto"/>
              </w:rPr>
            </w:pPr>
            <w:r>
              <w:rPr>
                <w:rFonts w:ascii="Arial" w:cs="Arial" w:eastAsia="Arial" w:hAnsi="Arial"/>
                <w:sz w:val="16"/>
                <w:szCs w:val="16"/>
                <w:color w:val="auto"/>
              </w:rPr>
              <w:t>Interest</w:t>
            </w:r>
          </w:p>
        </w:tc>
        <w:tc>
          <w:tcPr>
            <w:tcW w:w="24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(44,704)</w:t>
            </w:r>
          </w:p>
        </w:tc>
        <w:tc>
          <w:tcPr>
            <w:tcW w:w="560" w:type="dxa"/>
            <w:vAlign w:val="bottom"/>
          </w:tcPr>
          <w:p>
            <w:pPr>
              <w:spacing w:after="0"/>
              <w:rPr>
                <w:sz w:val="21"/>
                <w:szCs w:val="21"/>
                <w:color w:val="auto"/>
              </w:rPr>
            </w:pPr>
          </w:p>
        </w:tc>
      </w:tr>
      <w:tr>
        <w:trPr>
          <w:trHeight w:val="237"/>
        </w:trPr>
        <w:tc>
          <w:tcPr>
            <w:tcW w:w="540" w:type="dxa"/>
            <w:vAlign w:val="bottom"/>
          </w:tcPr>
          <w:p>
            <w:pPr>
              <w:spacing w:after="0"/>
              <w:rPr>
                <w:sz w:val="20"/>
                <w:szCs w:val="20"/>
                <w:color w:val="auto"/>
              </w:rPr>
            </w:pPr>
          </w:p>
        </w:tc>
        <w:tc>
          <w:tcPr>
            <w:tcW w:w="74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480" w:type="dxa"/>
            <w:vAlign w:val="bottom"/>
          </w:tcPr>
          <w:p>
            <w:pPr>
              <w:jc w:val="right"/>
              <w:spacing w:after="0"/>
              <w:rPr>
                <w:sz w:val="20"/>
                <w:szCs w:val="20"/>
                <w:color w:val="auto"/>
              </w:rPr>
            </w:pPr>
            <w:r>
              <w:rPr>
                <w:rFonts w:ascii="Arial" w:cs="Arial" w:eastAsia="Arial" w:hAnsi="Arial"/>
                <w:sz w:val="16"/>
                <w:szCs w:val="16"/>
                <w:color w:val="auto"/>
              </w:rPr>
              <w:t>48,113</w:t>
            </w:r>
          </w:p>
        </w:tc>
        <w:tc>
          <w:tcPr>
            <w:tcW w:w="560" w:type="dxa"/>
            <w:vAlign w:val="bottom"/>
          </w:tcPr>
          <w:p>
            <w:pPr>
              <w:spacing w:after="0"/>
              <w:rPr>
                <w:sz w:val="20"/>
                <w:szCs w:val="20"/>
                <w:color w:val="auto"/>
              </w:rPr>
            </w:pPr>
          </w:p>
        </w:tc>
      </w:tr>
      <w:tr>
        <w:trPr>
          <w:trHeight w:val="33"/>
        </w:trPr>
        <w:tc>
          <w:tcPr>
            <w:tcW w:w="5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7440" w:type="dxa"/>
            <w:vAlign w:val="bottom"/>
            <w:tcBorders>
              <w:bottom w:val="single" w:sz="8" w:color="EAEAEA"/>
            </w:tcBorders>
            <w:shd w:val="clear" w:color="auto" w:fill="EAEAEA"/>
          </w:tcPr>
          <w:p>
            <w:pPr>
              <w:ind w:left="340"/>
              <w:spacing w:after="0"/>
              <w:rPr>
                <w:sz w:val="20"/>
                <w:szCs w:val="20"/>
                <w:color w:val="auto"/>
              </w:rPr>
            </w:pPr>
            <w:r>
              <w:rPr>
                <w:rFonts w:ascii="Arial" w:cs="Arial" w:eastAsia="Arial" w:hAnsi="Arial"/>
                <w:sz w:val="16"/>
                <w:szCs w:val="16"/>
                <w:color w:val="auto"/>
              </w:rPr>
              <w:t>Amortization of intangible assets</w:t>
            </w:r>
          </w:p>
        </w:tc>
        <w:tc>
          <w:tcPr>
            <w:tcW w:w="24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20,748</w:t>
            </w:r>
          </w:p>
        </w:tc>
        <w:tc>
          <w:tcPr>
            <w:tcW w:w="560" w:type="dxa"/>
            <w:vAlign w:val="bottom"/>
          </w:tcPr>
          <w:p>
            <w:pPr>
              <w:spacing w:after="0"/>
              <w:rPr>
                <w:sz w:val="21"/>
                <w:szCs w:val="21"/>
                <w:color w:val="auto"/>
              </w:rPr>
            </w:pPr>
          </w:p>
        </w:tc>
      </w:tr>
      <w:tr>
        <w:trPr>
          <w:trHeight w:val="237"/>
        </w:trPr>
        <w:tc>
          <w:tcPr>
            <w:tcW w:w="540" w:type="dxa"/>
            <w:vAlign w:val="bottom"/>
          </w:tcPr>
          <w:p>
            <w:pPr>
              <w:spacing w:after="0"/>
              <w:rPr>
                <w:sz w:val="20"/>
                <w:szCs w:val="20"/>
                <w:color w:val="auto"/>
              </w:rPr>
            </w:pPr>
          </w:p>
        </w:tc>
        <w:tc>
          <w:tcPr>
            <w:tcW w:w="7440" w:type="dxa"/>
            <w:vAlign w:val="bottom"/>
          </w:tcPr>
          <w:p>
            <w:pPr>
              <w:ind w:left="340"/>
              <w:spacing w:after="0"/>
              <w:rPr>
                <w:sz w:val="20"/>
                <w:szCs w:val="20"/>
                <w:color w:val="auto"/>
              </w:rPr>
            </w:pPr>
            <w:r>
              <w:rPr>
                <w:rFonts w:ascii="Arial" w:cs="Arial" w:eastAsia="Arial" w:hAnsi="Arial"/>
                <w:sz w:val="16"/>
                <w:szCs w:val="16"/>
                <w:color w:val="auto"/>
              </w:rPr>
              <w:t>Loss on long-term investments</w:t>
            </w:r>
          </w:p>
        </w:tc>
        <w:tc>
          <w:tcPr>
            <w:tcW w:w="2480" w:type="dxa"/>
            <w:vAlign w:val="bottom"/>
          </w:tcPr>
          <w:p>
            <w:pPr>
              <w:jc w:val="right"/>
              <w:spacing w:after="0"/>
              <w:rPr>
                <w:sz w:val="20"/>
                <w:szCs w:val="20"/>
                <w:color w:val="auto"/>
              </w:rPr>
            </w:pPr>
            <w:r>
              <w:rPr>
                <w:rFonts w:ascii="Arial" w:cs="Arial" w:eastAsia="Arial" w:hAnsi="Arial"/>
                <w:sz w:val="16"/>
                <w:szCs w:val="16"/>
                <w:color w:val="auto"/>
              </w:rPr>
              <w:t>5,333</w:t>
            </w:r>
          </w:p>
        </w:tc>
        <w:tc>
          <w:tcPr>
            <w:tcW w:w="560" w:type="dxa"/>
            <w:vAlign w:val="bottom"/>
          </w:tcPr>
          <w:p>
            <w:pPr>
              <w:spacing w:after="0"/>
              <w:rPr>
                <w:sz w:val="20"/>
                <w:szCs w:val="20"/>
                <w:color w:val="auto"/>
              </w:rPr>
            </w:pPr>
          </w:p>
        </w:tc>
      </w:tr>
      <w:tr>
        <w:trPr>
          <w:trHeight w:val="33"/>
        </w:trPr>
        <w:tc>
          <w:tcPr>
            <w:tcW w:w="5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7440" w:type="dxa"/>
            <w:vAlign w:val="bottom"/>
            <w:tcBorders>
              <w:bottom w:val="single" w:sz="8" w:color="EAEAEA"/>
            </w:tcBorders>
            <w:shd w:val="clear" w:color="auto" w:fill="EAEAEA"/>
          </w:tcPr>
          <w:p>
            <w:pPr>
              <w:ind w:left="340"/>
              <w:spacing w:after="0"/>
              <w:rPr>
                <w:sz w:val="20"/>
                <w:szCs w:val="20"/>
                <w:color w:val="auto"/>
              </w:rPr>
            </w:pPr>
            <w:r>
              <w:rPr>
                <w:rFonts w:ascii="Arial" w:cs="Arial" w:eastAsia="Arial" w:hAnsi="Arial"/>
                <w:sz w:val="16"/>
                <w:szCs w:val="16"/>
                <w:color w:val="auto"/>
              </w:rPr>
              <w:t>Bonus</w:t>
            </w:r>
          </w:p>
        </w:tc>
        <w:tc>
          <w:tcPr>
            <w:tcW w:w="24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53,107</w:t>
            </w:r>
          </w:p>
        </w:tc>
        <w:tc>
          <w:tcPr>
            <w:tcW w:w="560" w:type="dxa"/>
            <w:vAlign w:val="bottom"/>
          </w:tcPr>
          <w:p>
            <w:pPr>
              <w:spacing w:after="0"/>
              <w:rPr>
                <w:sz w:val="21"/>
                <w:szCs w:val="21"/>
                <w:color w:val="auto"/>
              </w:rPr>
            </w:pPr>
          </w:p>
        </w:tc>
      </w:tr>
      <w:tr>
        <w:trPr>
          <w:trHeight w:val="237"/>
        </w:trPr>
        <w:tc>
          <w:tcPr>
            <w:tcW w:w="540" w:type="dxa"/>
            <w:vAlign w:val="bottom"/>
          </w:tcPr>
          <w:p>
            <w:pPr>
              <w:spacing w:after="0"/>
              <w:rPr>
                <w:sz w:val="20"/>
                <w:szCs w:val="20"/>
                <w:color w:val="auto"/>
              </w:rPr>
            </w:pPr>
          </w:p>
        </w:tc>
        <w:tc>
          <w:tcPr>
            <w:tcW w:w="7440" w:type="dxa"/>
            <w:vAlign w:val="bottom"/>
          </w:tcPr>
          <w:p>
            <w:pPr>
              <w:ind w:left="340"/>
              <w:spacing w:after="0"/>
              <w:rPr>
                <w:sz w:val="20"/>
                <w:szCs w:val="20"/>
                <w:color w:val="auto"/>
              </w:rPr>
            </w:pPr>
            <w:r>
              <w:rPr>
                <w:rFonts w:ascii="Arial" w:cs="Arial" w:eastAsia="Arial" w:hAnsi="Arial"/>
                <w:sz w:val="16"/>
                <w:szCs w:val="16"/>
                <w:color w:val="auto"/>
              </w:rPr>
              <w:t>Income taxes</w:t>
            </w:r>
          </w:p>
        </w:tc>
        <w:tc>
          <w:tcPr>
            <w:tcW w:w="2480" w:type="dxa"/>
            <w:vAlign w:val="bottom"/>
          </w:tcPr>
          <w:p>
            <w:pPr>
              <w:jc w:val="right"/>
              <w:spacing w:after="0"/>
              <w:rPr>
                <w:sz w:val="20"/>
                <w:szCs w:val="20"/>
                <w:color w:val="auto"/>
              </w:rPr>
            </w:pPr>
            <w:r>
              <w:rPr>
                <w:rFonts w:ascii="Arial" w:cs="Arial" w:eastAsia="Arial" w:hAnsi="Arial"/>
                <w:sz w:val="16"/>
                <w:szCs w:val="16"/>
                <w:color w:val="auto"/>
              </w:rPr>
              <w:t>53,980</w:t>
            </w:r>
          </w:p>
        </w:tc>
        <w:tc>
          <w:tcPr>
            <w:tcW w:w="560" w:type="dxa"/>
            <w:vAlign w:val="bottom"/>
          </w:tcPr>
          <w:p>
            <w:pPr>
              <w:spacing w:after="0"/>
              <w:rPr>
                <w:sz w:val="20"/>
                <w:szCs w:val="20"/>
                <w:color w:val="auto"/>
              </w:rPr>
            </w:pPr>
          </w:p>
        </w:tc>
      </w:tr>
      <w:tr>
        <w:trPr>
          <w:trHeight w:val="33"/>
        </w:trPr>
        <w:tc>
          <w:tcPr>
            <w:tcW w:w="5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7440" w:type="dxa"/>
            <w:vAlign w:val="bottom"/>
            <w:tcBorders>
              <w:bottom w:val="single" w:sz="8" w:color="EAEAEA"/>
            </w:tcBorders>
            <w:shd w:val="clear" w:color="auto" w:fill="EAEAEA"/>
          </w:tcPr>
          <w:p>
            <w:pPr>
              <w:ind w:left="340"/>
              <w:spacing w:after="0"/>
              <w:rPr>
                <w:sz w:val="20"/>
                <w:szCs w:val="20"/>
                <w:color w:val="auto"/>
              </w:rPr>
            </w:pPr>
            <w:r>
              <w:rPr>
                <w:rFonts w:ascii="Arial" w:cs="Arial" w:eastAsia="Arial" w:hAnsi="Arial"/>
                <w:sz w:val="16"/>
                <w:szCs w:val="16"/>
                <w:color w:val="auto"/>
              </w:rPr>
              <w:t>Other</w:t>
            </w:r>
          </w:p>
        </w:tc>
        <w:tc>
          <w:tcPr>
            <w:tcW w:w="24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279</w:t>
            </w:r>
          </w:p>
        </w:tc>
        <w:tc>
          <w:tcPr>
            <w:tcW w:w="560" w:type="dxa"/>
            <w:vAlign w:val="bottom"/>
          </w:tcPr>
          <w:p>
            <w:pPr>
              <w:spacing w:after="0"/>
              <w:rPr>
                <w:sz w:val="21"/>
                <w:szCs w:val="21"/>
                <w:color w:val="auto"/>
              </w:rPr>
            </w:pPr>
          </w:p>
        </w:tc>
      </w:tr>
      <w:tr>
        <w:trPr>
          <w:trHeight w:val="237"/>
        </w:trPr>
        <w:tc>
          <w:tcPr>
            <w:tcW w:w="540" w:type="dxa"/>
            <w:vAlign w:val="bottom"/>
          </w:tcPr>
          <w:p>
            <w:pPr>
              <w:spacing w:after="0"/>
              <w:rPr>
                <w:sz w:val="20"/>
                <w:szCs w:val="20"/>
                <w:color w:val="auto"/>
              </w:rPr>
            </w:pPr>
          </w:p>
        </w:tc>
        <w:tc>
          <w:tcPr>
            <w:tcW w:w="744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2480" w:type="dxa"/>
            <w:vAlign w:val="bottom"/>
          </w:tcPr>
          <w:p>
            <w:pPr>
              <w:jc w:val="right"/>
              <w:spacing w:after="0"/>
              <w:rPr>
                <w:sz w:val="20"/>
                <w:szCs w:val="20"/>
                <w:color w:val="auto"/>
              </w:rPr>
            </w:pPr>
            <w:r>
              <w:rPr>
                <w:rFonts w:ascii="Arial" w:cs="Arial" w:eastAsia="Arial" w:hAnsi="Arial"/>
                <w:sz w:val="16"/>
                <w:szCs w:val="16"/>
                <w:color w:val="auto"/>
              </w:rPr>
              <w:t>787,444</w:t>
            </w:r>
          </w:p>
        </w:tc>
        <w:tc>
          <w:tcPr>
            <w:tcW w:w="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535305</wp:posOffset>
            </wp:positionV>
            <wp:extent cx="291465" cy="2743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6240" w:type="dxa"/>
        <w:tblCellMar>
          <w:top w:w="0" w:type="dxa"/>
          <w:left w:w="0" w:type="dxa"/>
          <w:bottom w:w="0" w:type="dxa"/>
          <w:right w:w="0" w:type="dxa"/>
        </w:tblCellMar>
      </w:tblPr>
      <w:tr>
        <w:trPr>
          <w:trHeight w:val="215"/>
        </w:trPr>
        <w:tc>
          <w:tcPr>
            <w:tcW w:w="394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400" w:type="dxa"/>
            <w:vAlign w:val="bottom"/>
          </w:tcPr>
          <w:p>
            <w:pPr>
              <w:ind w:left="140"/>
              <w:spacing w:after="0"/>
              <w:rPr>
                <w:sz w:val="20"/>
                <w:szCs w:val="20"/>
                <w:color w:val="auto"/>
              </w:rPr>
            </w:pPr>
            <w:r>
              <w:rPr>
                <w:rFonts w:ascii="Arial" w:cs="Arial" w:eastAsia="Arial" w:hAnsi="Arial"/>
                <w:sz w:val="16"/>
                <w:szCs w:val="16"/>
                <w:b w:val="1"/>
                <w:bCs w:val="1"/>
                <w:color w:val="auto"/>
                <w:w w:val="92"/>
              </w:rPr>
              <w:t>A-1</w:t>
            </w:r>
          </w:p>
        </w:tc>
      </w:tr>
    </w:tbl>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283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60"/>
        <w:spacing w:after="0"/>
        <w:rPr>
          <w:sz w:val="20"/>
          <w:szCs w:val="20"/>
          <w:color w:val="auto"/>
        </w:rPr>
      </w:pPr>
      <w:r>
        <w:rPr>
          <w:rFonts w:ascii="Arial" w:cs="Arial" w:eastAsia="Arial" w:hAnsi="Arial"/>
          <w:sz w:val="40"/>
          <w:szCs w:val="40"/>
          <w:b w:val="1"/>
          <w:bCs w:val="1"/>
          <w:color w:val="FFFFFF"/>
        </w:rPr>
        <w:t>Annex B</w:t>
      </w: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5CB9"/>
        </w:rPr>
        <w:t>Amended and Restated Take-Two Interactive Software, Inc. 2017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22860</wp:posOffset>
            </wp:positionV>
            <wp:extent cx="62922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7"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AMENDED AND RESTATED TAKE-TWO INTERACTIVE SOFTWARE, INC.</w:t>
      </w:r>
    </w:p>
    <w:p>
      <w:pPr>
        <w:spacing w:after="0" w:line="25"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2017 STOCK INCENTIVE PLAN</w:t>
      </w:r>
    </w:p>
    <w:p>
      <w:pPr>
        <w:spacing w:after="0" w:line="201" w:lineRule="exact"/>
        <w:rPr>
          <w:sz w:val="20"/>
          <w:szCs w:val="20"/>
          <w:color w:val="auto"/>
        </w:rPr>
      </w:pPr>
    </w:p>
    <w:p>
      <w:pPr>
        <w:ind w:left="980" w:hanging="313"/>
        <w:spacing w:after="0"/>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Purpose.</w:t>
      </w:r>
    </w:p>
    <w:p>
      <w:pPr>
        <w:spacing w:after="0" w:line="241" w:lineRule="exact"/>
        <w:rPr>
          <w:sz w:val="20"/>
          <w:szCs w:val="20"/>
          <w:color w:val="auto"/>
        </w:rPr>
      </w:pPr>
    </w:p>
    <w:p>
      <w:pPr>
        <w:ind w:left="660" w:right="60"/>
        <w:spacing w:after="0" w:line="251" w:lineRule="auto"/>
        <w:rPr>
          <w:sz w:val="20"/>
          <w:szCs w:val="20"/>
          <w:color w:val="auto"/>
        </w:rPr>
      </w:pPr>
      <w:r>
        <w:rPr>
          <w:rFonts w:ascii="Arial" w:cs="Arial" w:eastAsia="Arial" w:hAnsi="Arial"/>
          <w:sz w:val="16"/>
          <w:szCs w:val="16"/>
          <w:color w:val="auto"/>
        </w:rPr>
        <w:t>The purpose of the Plan is to assist the Company in attracting, retaining, motivating, and rewarding certain employees, officers, directors, and consultants of the Company and its Affiliates and promoting the creation of long-term value for stockholders of the Company by closely aligning the interests of such individuals with those of such stockholders. The Plan authorizes the award of Stock-based and cash-based incentives to Eligible Persons to encourage such Eligible Persons to expend maximum effort in the creation of stockholder value.</w:t>
      </w:r>
    </w:p>
    <w:p>
      <w:pPr>
        <w:spacing w:after="0" w:line="202" w:lineRule="exact"/>
        <w:rPr>
          <w:sz w:val="20"/>
          <w:szCs w:val="20"/>
          <w:color w:val="auto"/>
        </w:rPr>
      </w:pPr>
    </w:p>
    <w:p>
      <w:pPr>
        <w:ind w:left="660" w:right="60"/>
        <w:spacing w:after="0" w:line="250" w:lineRule="auto"/>
        <w:rPr>
          <w:sz w:val="20"/>
          <w:szCs w:val="20"/>
          <w:color w:val="auto"/>
        </w:rPr>
      </w:pPr>
      <w:r>
        <w:rPr>
          <w:rFonts w:ascii="Arial" w:cs="Arial" w:eastAsia="Arial" w:hAnsi="Arial"/>
          <w:sz w:val="16"/>
          <w:szCs w:val="16"/>
          <w:color w:val="auto"/>
        </w:rPr>
        <w:t>The Plan, as amended and restated, succeeds the prior version of the Plan for Awards granted on or after the Effective Date. The adoption and effectiveness of the Plan in its amended and restated form will not, however, affect the terms or conditions of any awards granted under the prior version of the Plan prior to the Effective Date, including, without limitation, the provisions of the prior version of the Plan which were intended to ensure compliance with Section 162(m) of the Code prior to the changes thereto implemented by the Tax Cuts and Jobs Act of 2017.</w:t>
      </w:r>
    </w:p>
    <w:p>
      <w:pPr>
        <w:spacing w:after="0" w:line="183" w:lineRule="exact"/>
        <w:rPr>
          <w:sz w:val="20"/>
          <w:szCs w:val="20"/>
          <w:color w:val="auto"/>
        </w:rPr>
      </w:pPr>
    </w:p>
    <w:p>
      <w:pPr>
        <w:ind w:left="980" w:hanging="313"/>
        <w:spacing w:after="0"/>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Definitions.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the Plan, the following terms shall be defined as set forth below:</w:t>
      </w:r>
    </w:p>
    <w:p>
      <w:pPr>
        <w:spacing w:after="0" w:line="113" w:lineRule="exact"/>
        <w:rPr>
          <w:sz w:val="20"/>
          <w:szCs w:val="20"/>
          <w:color w:val="auto"/>
        </w:rPr>
      </w:pPr>
    </w:p>
    <w:p>
      <w:pPr>
        <w:ind w:left="660" w:right="140" w:firstLine="7"/>
        <w:spacing w:after="0" w:line="260" w:lineRule="auto"/>
        <w:tabs>
          <w:tab w:leader="none" w:pos="103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 Person, any other Person that, directly or indirectly through one or more intermediaries, controls, is controlled by, or is under common control with, such Person.</w:t>
      </w:r>
    </w:p>
    <w:p>
      <w:pPr>
        <w:spacing w:after="0" w:line="195" w:lineRule="exact"/>
        <w:rPr>
          <w:rFonts w:ascii="Arial" w:cs="Arial" w:eastAsia="Arial" w:hAnsi="Arial"/>
          <w:sz w:val="16"/>
          <w:szCs w:val="16"/>
          <w:color w:val="auto"/>
        </w:rPr>
      </w:pPr>
    </w:p>
    <w:p>
      <w:pPr>
        <w:ind w:left="660" w:right="200" w:firstLine="7"/>
        <w:spacing w:after="0" w:line="260" w:lineRule="auto"/>
        <w:tabs>
          <w:tab w:leader="none" w:pos="103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any Option, Restricted Stock, Restricted Stock Unit, Stock Appreciation Right, Performance Award, or other Stock-based award granted under the Plan.</w:t>
      </w:r>
    </w:p>
    <w:p>
      <w:pPr>
        <w:spacing w:after="0" w:line="195" w:lineRule="exact"/>
        <w:rPr>
          <w:rFonts w:ascii="Arial" w:cs="Arial" w:eastAsia="Arial" w:hAnsi="Arial"/>
          <w:sz w:val="16"/>
          <w:szCs w:val="16"/>
          <w:color w:val="auto"/>
        </w:rPr>
      </w:pPr>
    </w:p>
    <w:p>
      <w:pPr>
        <w:ind w:left="660" w:right="720" w:firstLine="7"/>
        <w:spacing w:after="0" w:line="260" w:lineRule="auto"/>
        <w:tabs>
          <w:tab w:leader="none" w:pos="102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an Option Agreement, a Restricted Stock Agreement, an RSU Agreement, a SAR Agreement, a Performance Award Agreement, or an agreement governing any other Stock-based Award granted under the Plan.</w:t>
      </w:r>
    </w:p>
    <w:p>
      <w:pPr>
        <w:spacing w:after="0" w:line="195" w:lineRule="exact"/>
        <w:rPr>
          <w:rFonts w:ascii="Arial" w:cs="Arial" w:eastAsia="Arial" w:hAnsi="Arial"/>
          <w:sz w:val="16"/>
          <w:szCs w:val="16"/>
          <w:color w:val="auto"/>
        </w:rPr>
      </w:pPr>
    </w:p>
    <w:p>
      <w:pPr>
        <w:ind w:left="1040" w:hanging="373"/>
        <w:spacing w:after="0"/>
        <w:tabs>
          <w:tab w:leader="none" w:pos="10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1" w:lineRule="exact"/>
        <w:rPr>
          <w:rFonts w:ascii="Arial" w:cs="Arial" w:eastAsia="Arial" w:hAnsi="Arial"/>
          <w:sz w:val="16"/>
          <w:szCs w:val="16"/>
          <w:color w:val="auto"/>
        </w:rPr>
      </w:pPr>
    </w:p>
    <w:p>
      <w:pPr>
        <w:ind w:left="660" w:right="300" w:firstLine="7"/>
        <w:spacing w:after="0" w:line="260" w:lineRule="auto"/>
        <w:tabs>
          <w:tab w:leader="none" w:pos="103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w:t>
      </w:r>
      <w:r>
        <w:rPr>
          <w:rFonts w:ascii="Arial" w:cs="Arial" w:eastAsia="Arial" w:hAnsi="Arial"/>
          <w:sz w:val="16"/>
          <w:szCs w:val="16"/>
          <w:color w:val="auto"/>
        </w:rPr>
        <w:t>” means (1) any business or activity then conducted by the Company or any of its Affiliates, or (2) any business that the Company or any of its Affiliates has a bona fide intention to conduct and of which the Participant is aware as of such time.</w:t>
      </w:r>
    </w:p>
    <w:p>
      <w:pPr>
        <w:spacing w:after="0" w:line="195" w:lineRule="exact"/>
        <w:rPr>
          <w:rFonts w:ascii="Arial" w:cs="Arial" w:eastAsia="Arial" w:hAnsi="Arial"/>
          <w:sz w:val="16"/>
          <w:szCs w:val="16"/>
          <w:color w:val="auto"/>
        </w:rPr>
      </w:pPr>
    </w:p>
    <w:p>
      <w:pPr>
        <w:ind w:left="660" w:right="20" w:firstLine="7"/>
        <w:spacing w:after="0" w:line="246" w:lineRule="auto"/>
        <w:tabs>
          <w:tab w:leader="none" w:pos="99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with respect to a Participant and in the absence of an Award Agreement or Participant Agreement otherwise defining Cause, (1) the Participant’s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conviction of or indictment for, any crime (whether or not involving the Company or its Affiliates) (i) constituting a felony or (ii) that has, or could reasonably be expected to result in, an adverse impact on the performance of the Participant’s duties to the Service Recipient, or otherwise has, or could reasonably be expected to result in, an adverse impact on the business or reputation of the Company or its Affiliates, (2) conduct of the Participant, in connection with his or her employment or service, that has resulted, or could reasonably be expected to result, in material injury to the business or reputation of the Company or its Affiliates,</w:t>
      </w:r>
    </w:p>
    <w:p>
      <w:pPr>
        <w:spacing w:after="0" w:line="2" w:lineRule="exact"/>
        <w:rPr>
          <w:rFonts w:ascii="Arial" w:cs="Arial" w:eastAsia="Arial" w:hAnsi="Arial"/>
          <w:sz w:val="16"/>
          <w:szCs w:val="16"/>
          <w:color w:val="auto"/>
        </w:rPr>
      </w:pPr>
    </w:p>
    <w:p>
      <w:pPr>
        <w:ind w:left="660" w:right="140"/>
        <w:spacing w:after="0" w:line="246" w:lineRule="auto"/>
        <w:rPr>
          <w:rFonts w:ascii="Arial" w:cs="Arial" w:eastAsia="Arial" w:hAnsi="Arial"/>
          <w:sz w:val="16"/>
          <w:szCs w:val="16"/>
          <w:color w:val="auto"/>
        </w:rPr>
      </w:pPr>
      <w:r>
        <w:rPr>
          <w:rFonts w:ascii="Arial" w:cs="Arial" w:eastAsia="Arial" w:hAnsi="Arial"/>
          <w:sz w:val="16"/>
          <w:szCs w:val="16"/>
          <w:color w:val="auto"/>
        </w:rPr>
        <w:t>(3) any material violation of the policies of the Service Recipient, including, but not limited to, those relating to sexual harassment or the disclosure or misuse of confidential information, or those set forth in the manuals or statements of policy of the Service Recipient; (4) the Participant’s act(s) of gross negligence or willful misconduct in the course of his or her employment or service with the Service Recipient;</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(5) misappropriation by the Participant of any assets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285115</wp:posOffset>
            </wp:positionV>
            <wp:extent cx="291465" cy="2743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6240" w:type="dxa"/>
        <w:tblCellMar>
          <w:top w:w="0" w:type="dxa"/>
          <w:left w:w="0" w:type="dxa"/>
          <w:bottom w:w="0" w:type="dxa"/>
          <w:right w:w="0" w:type="dxa"/>
        </w:tblCellMar>
      </w:tblPr>
      <w:tr>
        <w:trPr>
          <w:trHeight w:val="215"/>
        </w:trPr>
        <w:tc>
          <w:tcPr>
            <w:tcW w:w="394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400" w:type="dxa"/>
            <w:vAlign w:val="bottom"/>
          </w:tcPr>
          <w:p>
            <w:pPr>
              <w:ind w:left="140"/>
              <w:spacing w:after="0"/>
              <w:rPr>
                <w:sz w:val="20"/>
                <w:szCs w:val="20"/>
                <w:color w:val="auto"/>
              </w:rPr>
            </w:pPr>
            <w:r>
              <w:rPr>
                <w:rFonts w:ascii="Arial" w:cs="Arial" w:eastAsia="Arial" w:hAnsi="Arial"/>
                <w:sz w:val="16"/>
                <w:szCs w:val="16"/>
                <w:b w:val="1"/>
                <w:bCs w:val="1"/>
                <w:color w:val="auto"/>
                <w:w w:val="92"/>
              </w:rPr>
              <w:t>B-1</w:t>
            </w:r>
          </w:p>
        </w:tc>
      </w:tr>
    </w:tbl>
    <w:p>
      <w:pPr>
        <w:sectPr>
          <w:pgSz w:w="11900" w:h="16838" w:orient="portrait"/>
          <w:cols w:equalWidth="0" w:num="1">
            <w:col w:w="10580"/>
          </w:cols>
          <w:pgMar w:left="320" w:top="459" w:right="9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191260" cy="1454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191260" cy="145415"/>
                    </a:xfrm>
                    <a:prstGeom prst="rect">
                      <a:avLst/>
                    </a:prstGeom>
                    <a:noFill/>
                  </pic:spPr>
                </pic:pic>
              </a:graphicData>
            </a:graphic>
          </wp:anchor>
        </w:drawing>
      </w:r>
    </w:p>
    <w:p>
      <w:pPr>
        <w:spacing w:after="0" w:line="33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192" w:lineRule="exact"/>
        <w:rPr>
          <w:sz w:val="20"/>
          <w:szCs w:val="20"/>
          <w:color w:val="auto"/>
        </w:rPr>
      </w:pPr>
    </w:p>
    <w:p>
      <w:pPr>
        <w:ind w:left="120" w:right="20"/>
        <w:spacing w:after="0" w:line="247" w:lineRule="auto"/>
        <w:rPr>
          <w:sz w:val="20"/>
          <w:szCs w:val="20"/>
          <w:color w:val="auto"/>
        </w:rPr>
      </w:pPr>
      <w:r>
        <w:rPr>
          <w:rFonts w:ascii="Arial" w:cs="Arial" w:eastAsia="Arial" w:hAnsi="Arial"/>
          <w:sz w:val="16"/>
          <w:szCs w:val="16"/>
          <w:color w:val="auto"/>
        </w:rPr>
        <w:t>business opportunities of the Company or its Affiliates; (6) embezzlement or fraud committed by the Participant, at the Participant’s direction, or with the Participant’s prior actual knowledge; (7) willful neglect in the performance of the Participant’s duties for the Service Recipient or willful or repeated failure or refusal to perform such duties, unless such act or acts or failure or failures to act are cured within ten (10) days after written notice is given to the Participant by the Company; (8) a Participant’s insubordination, dishonesty, failure to cooperate in any investigation or inquiry involving the Company, incompetence, moral turpitude, misconduct, refusal to perform his or her duties or responsibilities for any reason other than illness or incapacity or materially unsatisfactory performance of his or her duties for the Company or an Affiliate as determined by the Company in its sole discretion; or (9) with respect to a non-employee director, an act or failure to act that constitutes cause for removal of a director under applicable Delaware law. If, subsequent to the Termination of a Participant for any reason other than by the Service Recipient for Cause, it is discovered that the Participant’s employment or service could have been terminated for Cause, such Participant’s employment or service shall, at the discretion of the Committee, be deemed to have been terminated by the Service Recipient for Cause for all purposes under the Plan, and the Participant shall be required to repay to the Company all amounts received by him or her in respect of any Award following such Termination that would have been forfeited under the Plan had such Termination been by the Service Recipient for Cause. In the event that there is an Award Agreement or Participant Agreement defining Cause, “</w:t>
      </w:r>
      <w:r>
        <w:rPr>
          <w:rFonts w:ascii="Arial" w:cs="Arial" w:eastAsia="Arial" w:hAnsi="Arial"/>
          <w:sz w:val="16"/>
          <w:szCs w:val="16"/>
          <w:u w:val="single" w:color="auto"/>
          <w:color w:val="auto"/>
        </w:rPr>
        <w:t>Cause</w:t>
      </w:r>
      <w:r>
        <w:rPr>
          <w:rFonts w:ascii="Arial" w:cs="Arial" w:eastAsia="Arial" w:hAnsi="Arial"/>
          <w:sz w:val="16"/>
          <w:szCs w:val="16"/>
          <w:color w:val="auto"/>
        </w:rPr>
        <w:t>” shall have the meaning provided in such agreement, and a Termination by the Service Recipient for Cause hereunder shall not be deemed to have occurred unless all applicable notice and cure periods in such Award Agreement or Participant Agreement are complied with.</w:t>
      </w:r>
    </w:p>
    <w:p>
      <w:pPr>
        <w:spacing w:after="0" w:line="211" w:lineRule="exact"/>
        <w:rPr>
          <w:sz w:val="20"/>
          <w:szCs w:val="20"/>
          <w:color w:val="auto"/>
        </w:rPr>
      </w:pPr>
    </w:p>
    <w:p>
      <w:pPr>
        <w:ind w:left="480" w:hanging="364"/>
        <w:spacing w:after="0"/>
        <w:tabs>
          <w:tab w:leader="none" w:pos="4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w:t>
      </w:r>
    </w:p>
    <w:p>
      <w:pPr>
        <w:spacing w:after="0" w:line="113" w:lineRule="exact"/>
        <w:rPr>
          <w:rFonts w:ascii="Arial" w:cs="Arial" w:eastAsia="Arial" w:hAnsi="Arial"/>
          <w:sz w:val="16"/>
          <w:szCs w:val="16"/>
          <w:color w:val="auto"/>
        </w:rPr>
      </w:pPr>
    </w:p>
    <w:p>
      <w:pPr>
        <w:ind w:left="560" w:hanging="4"/>
        <w:spacing w:after="0" w:line="250" w:lineRule="auto"/>
        <w:tabs>
          <w:tab w:leader="none" w:pos="93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upon any “person” as such term is used in Sections 13(d) and 14(d) of the Exchange Act (other than the Company, any trustee or other fiduciary holding securities under any employee benefit plan of the Company, or any company owned, directly or indirectly, by the stockholders of the Company in substantially the same proportions as their ownership of Stock of the Company), becoming the beneficial owner (as defined in Rule 13d-3 under the Exchange Act), directly or indirectly, of securities of the Company representing fifty percent (50%) or more of the combined voting power of the Company’s then outstanding securities;</w:t>
      </w:r>
    </w:p>
    <w:p>
      <w:pPr>
        <w:spacing w:after="0" w:line="94" w:lineRule="exact"/>
        <w:rPr>
          <w:rFonts w:ascii="Arial" w:cs="Arial" w:eastAsia="Arial" w:hAnsi="Arial"/>
          <w:sz w:val="16"/>
          <w:szCs w:val="16"/>
          <w:color w:val="auto"/>
        </w:rPr>
      </w:pPr>
    </w:p>
    <w:p>
      <w:pPr>
        <w:ind w:left="560" w:right="180" w:hanging="4"/>
        <w:spacing w:after="0" w:line="249" w:lineRule="auto"/>
        <w:tabs>
          <w:tab w:leader="none" w:pos="93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consummation of a merger or consolidation of the Company or a subsidiary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combined voting power of the voting securities of the Company or such surviving entity or such surviving entity’s parent outstanding immediately after such merger or consolidation, where such voting power among the holders of such voting securities is in substantially the same proportion as the voting power of such voting securities among the holders thereof immediately prior to such merger or consolidation; or</w:t>
      </w:r>
    </w:p>
    <w:p>
      <w:pPr>
        <w:spacing w:after="0" w:line="96" w:lineRule="exact"/>
        <w:rPr>
          <w:rFonts w:ascii="Arial" w:cs="Arial" w:eastAsia="Arial" w:hAnsi="Arial"/>
          <w:sz w:val="16"/>
          <w:szCs w:val="16"/>
          <w:color w:val="auto"/>
        </w:rPr>
      </w:pPr>
    </w:p>
    <w:p>
      <w:pPr>
        <w:ind w:left="560" w:hanging="4"/>
        <w:spacing w:after="0" w:line="251" w:lineRule="auto"/>
        <w:tabs>
          <w:tab w:leader="none" w:pos="93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upon the approval by the stockholders of the Company of a plan of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at least fifty percent (50%) or more of the combined voting power of the outstanding voting securities of the Company at the time of the sale.</w:t>
      </w:r>
    </w:p>
    <w:p>
      <w:pPr>
        <w:spacing w:after="0" w:line="202"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 xml:space="preserve">Notwithstanding anything herein to the contrary, (x) a Change in Control shall not be deemed to occur solely because any person acquires beneficial ownership of fifty percent (50%) or more of the combined voting power of the Company’s then outstanding securities as a result of an acquisition of Company voting securities by the Company that reduces the number of Company voting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after such acquisition by the Company such person becomes the beneficial owner of additional Company voting securities that increases the percentage of outstanding Company voting securities beneficially owned by such person, a Change in Control shall then be deemed to occur, (y) with respect to the payment of any amount that constitutes a deferral of compensation subject to Section 409A of the Code payable upon a Change in Control, a Change in Control shall not be deemed to have occurred, unless the Change in Control constitutes a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88265</wp:posOffset>
            </wp:positionV>
            <wp:extent cx="291465" cy="2743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22" w:lineRule="exact"/>
        <w:rPr>
          <w:sz w:val="20"/>
          <w:szCs w:val="20"/>
          <w:color w:val="auto"/>
        </w:rPr>
      </w:pPr>
    </w:p>
    <w:p>
      <w:pPr>
        <w:ind w:left="120"/>
        <w:spacing w:after="0"/>
        <w:tabs>
          <w:tab w:leader="none" w:pos="720" w:val="left"/>
        </w:tabs>
        <w:rPr>
          <w:sz w:val="20"/>
          <w:szCs w:val="20"/>
          <w:color w:val="auto"/>
        </w:rPr>
      </w:pPr>
      <w:r>
        <w:rPr>
          <w:rFonts w:ascii="Arial" w:cs="Arial" w:eastAsia="Arial" w:hAnsi="Arial"/>
          <w:sz w:val="16"/>
          <w:szCs w:val="16"/>
          <w:b w:val="1"/>
          <w:bCs w:val="1"/>
          <w:color w:val="auto"/>
        </w:rPr>
        <w:t>B-2</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205740</wp:posOffset>
            </wp:positionV>
            <wp:extent cx="1251585"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51585" cy="137160"/>
                    </a:xfrm>
                    <a:prstGeom prst="rect">
                      <a:avLst/>
                    </a:prstGeom>
                    <a:noFill/>
                  </pic:spPr>
                </pic:pic>
              </a:graphicData>
            </a:graphic>
          </wp:anchor>
        </w:drawing>
      </w:r>
    </w:p>
    <w:p>
      <w:pPr>
        <w:spacing w:after="0" w:line="331"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color w:val="auto"/>
        </w:rPr>
        <w:t>the ownership or effective control of the Company or in the ownership of a substantial portion of the assets of the Company under Section 409A(a)(2)(A)(v) of the Code, and (z) in no event shall stockholder approval of a transaction which, if consummated, would constitute a Change in Control, constitute a Change in Control. For the avoidance of doubt, and notwithstanding anything herein to the contrary, with respect to any portion of any Award under this Plan that constitutes a deferral of compensation subject to Section 409A of the Code, (A) a liquidation of the Company shall not constitute a Change in Control and (B) a Change in Control shall be deemed to have occurred upon the consummation of a sale or disposition by the Company of all or substantially all of the Company’s assets other than the sale or disposition of all or substantially all of the assets of the Company to a person or persons who beneficially own, directly or indirectly, at least fifty percent (50%) or more of the combined voting power of the outstanding voting securities of the Company at the time of the sale.</w:t>
      </w:r>
    </w:p>
    <w:p>
      <w:pPr>
        <w:spacing w:after="0" w:line="396" w:lineRule="exact"/>
        <w:rPr>
          <w:sz w:val="20"/>
          <w:szCs w:val="20"/>
          <w:color w:val="auto"/>
        </w:rPr>
      </w:pPr>
    </w:p>
    <w:p>
      <w:pPr>
        <w:ind w:left="660" w:right="800" w:firstLine="7"/>
        <w:spacing w:after="0" w:line="260" w:lineRule="auto"/>
        <w:tabs>
          <w:tab w:leader="none" w:pos="103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 from time to time, including the rules and regulations thereunder and any successor provisions, rules and regulations thereto.</w:t>
      </w:r>
    </w:p>
    <w:p>
      <w:pPr>
        <w:spacing w:after="0" w:line="195" w:lineRule="exact"/>
        <w:rPr>
          <w:rFonts w:ascii="Arial" w:cs="Arial" w:eastAsia="Arial" w:hAnsi="Arial"/>
          <w:sz w:val="16"/>
          <w:szCs w:val="16"/>
          <w:color w:val="auto"/>
        </w:rPr>
      </w:pPr>
    </w:p>
    <w:p>
      <w:pPr>
        <w:ind w:left="660" w:right="20" w:firstLine="7"/>
        <w:spacing w:after="0" w:line="253" w:lineRule="auto"/>
        <w:tabs>
          <w:tab w:leader="none" w:pos="98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or such other committee consisting of two or more individuals appointed by the Board to administer the Plan and each other individual or committee of individuals designated to exercise authority under the Plan.</w:t>
      </w:r>
    </w:p>
    <w:p>
      <w:pPr>
        <w:spacing w:after="0" w:line="201" w:lineRule="exact"/>
        <w:rPr>
          <w:rFonts w:ascii="Arial" w:cs="Arial" w:eastAsia="Arial" w:hAnsi="Arial"/>
          <w:sz w:val="16"/>
          <w:szCs w:val="16"/>
          <w:color w:val="auto"/>
        </w:rPr>
      </w:pPr>
    </w:p>
    <w:p>
      <w:pPr>
        <w:ind w:left="1000" w:hanging="333"/>
        <w:spacing w:after="0"/>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Take-Two Interactive Software, Inc., a Delaware corporation, and its successors by operation of law.</w:t>
      </w:r>
    </w:p>
    <w:p>
      <w:pPr>
        <w:spacing w:after="0" w:line="221" w:lineRule="exact"/>
        <w:rPr>
          <w:rFonts w:ascii="Arial" w:cs="Arial" w:eastAsia="Arial" w:hAnsi="Arial"/>
          <w:sz w:val="16"/>
          <w:szCs w:val="16"/>
          <w:color w:val="auto"/>
        </w:rPr>
      </w:pPr>
    </w:p>
    <w:p>
      <w:pPr>
        <w:ind w:left="1040" w:hanging="373"/>
        <w:spacing w:after="0"/>
        <w:tabs>
          <w:tab w:leader="none" w:pos="10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Competitor</w:t>
      </w:r>
      <w:r>
        <w:rPr>
          <w:rFonts w:ascii="Arial" w:cs="Arial" w:eastAsia="Arial" w:hAnsi="Arial"/>
          <w:sz w:val="16"/>
          <w:szCs w:val="16"/>
          <w:color w:val="auto"/>
        </w:rPr>
        <w:t>” means any Person (other than the Company and its Affiliates) engaged in the Business.</w:t>
      </w:r>
    </w:p>
    <w:p>
      <w:pPr>
        <w:spacing w:after="0" w:line="221" w:lineRule="exact"/>
        <w:rPr>
          <w:rFonts w:ascii="Arial" w:cs="Arial" w:eastAsia="Arial" w:hAnsi="Arial"/>
          <w:sz w:val="16"/>
          <w:szCs w:val="16"/>
          <w:color w:val="auto"/>
        </w:rPr>
      </w:pPr>
    </w:p>
    <w:p>
      <w:pPr>
        <w:ind w:left="1000" w:hanging="333"/>
        <w:spacing w:after="0"/>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Event</w:t>
      </w:r>
      <w:r>
        <w:rPr>
          <w:rFonts w:ascii="Arial" w:cs="Arial" w:eastAsia="Arial" w:hAnsi="Arial"/>
          <w:sz w:val="16"/>
          <w:szCs w:val="16"/>
          <w:color w:val="auto"/>
        </w:rPr>
        <w:t>” has the meaning set forth in Section 11(b) hereof.</w:t>
      </w:r>
    </w:p>
    <w:p>
      <w:pPr>
        <w:spacing w:after="0" w:line="221" w:lineRule="exact"/>
        <w:rPr>
          <w:rFonts w:ascii="Arial" w:cs="Arial" w:eastAsia="Arial" w:hAnsi="Arial"/>
          <w:sz w:val="16"/>
          <w:szCs w:val="16"/>
          <w:color w:val="auto"/>
        </w:rPr>
      </w:pPr>
    </w:p>
    <w:p>
      <w:pPr>
        <w:ind w:left="660" w:right="180" w:firstLine="7"/>
        <w:spacing w:after="0" w:line="253" w:lineRule="auto"/>
        <w:tabs>
          <w:tab w:leader="none" w:pos="10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Customer</w:t>
      </w:r>
      <w:r>
        <w:rPr>
          <w:rFonts w:ascii="Arial" w:cs="Arial" w:eastAsia="Arial" w:hAnsi="Arial"/>
          <w:sz w:val="16"/>
          <w:szCs w:val="16"/>
          <w:color w:val="auto"/>
        </w:rPr>
        <w:t>” means any Person who is a customer or client of the Company or any of its Affiliates that is a professional contractor and with whom the Participant had business-related contact (whether in person, by telephone or by paper or electronic correspondence) on behalf of the Company or any of its Affiliates.</w:t>
      </w:r>
    </w:p>
    <w:p>
      <w:pPr>
        <w:spacing w:after="0" w:line="201" w:lineRule="exact"/>
        <w:rPr>
          <w:rFonts w:ascii="Arial" w:cs="Arial" w:eastAsia="Arial" w:hAnsi="Arial"/>
          <w:sz w:val="16"/>
          <w:szCs w:val="16"/>
          <w:color w:val="auto"/>
        </w:rPr>
      </w:pPr>
    </w:p>
    <w:p>
      <w:pPr>
        <w:ind w:left="1040" w:hanging="373"/>
        <w:spacing w:after="0"/>
        <w:tabs>
          <w:tab w:leader="none" w:pos="10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w:t>
      </w:r>
      <w:r>
        <w:rPr>
          <w:rFonts w:ascii="Arial" w:cs="Arial" w:eastAsia="Arial" w:hAnsi="Arial"/>
          <w:sz w:val="16"/>
          <w:szCs w:val="16"/>
          <w:color w:val="auto"/>
        </w:rPr>
        <w:t>” has the meaning set forth in Section 21(h) hereof.</w:t>
      </w:r>
    </w:p>
    <w:p>
      <w:pPr>
        <w:spacing w:after="0" w:line="221" w:lineRule="exact"/>
        <w:rPr>
          <w:rFonts w:ascii="Arial" w:cs="Arial" w:eastAsia="Arial" w:hAnsi="Arial"/>
          <w:sz w:val="16"/>
          <w:szCs w:val="16"/>
          <w:color w:val="auto"/>
        </w:rPr>
      </w:pPr>
    </w:p>
    <w:p>
      <w:pPr>
        <w:ind w:left="1040" w:hanging="373"/>
        <w:spacing w:after="0"/>
        <w:tabs>
          <w:tab w:leader="none" w:pos="10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Detrimental Activity</w:t>
      </w:r>
      <w:r>
        <w:rPr>
          <w:rFonts w:ascii="Arial" w:cs="Arial" w:eastAsia="Arial" w:hAnsi="Arial"/>
          <w:sz w:val="16"/>
          <w:szCs w:val="16"/>
          <w:color w:val="auto"/>
        </w:rPr>
        <w:t>” means:</w:t>
      </w:r>
    </w:p>
    <w:p>
      <w:pPr>
        <w:spacing w:after="0" w:line="113" w:lineRule="exact"/>
        <w:rPr>
          <w:rFonts w:ascii="Arial" w:cs="Arial" w:eastAsia="Arial" w:hAnsi="Arial"/>
          <w:sz w:val="16"/>
          <w:szCs w:val="16"/>
          <w:color w:val="auto"/>
        </w:rPr>
      </w:pPr>
    </w:p>
    <w:p>
      <w:pPr>
        <w:ind w:left="1060" w:right="60" w:firstLine="3"/>
        <w:spacing w:after="0" w:line="249" w:lineRule="auto"/>
        <w:tabs>
          <w:tab w:leader="none" w:pos="143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disclosing, divulging, furnishing or making available to anyone at any time, except as necessary in the furtherance of Participant’s responsibilities to the Company or any of its Affiliates, either during or subsequent to Participant’s service relationship with the Company or any of its Affiliates, any knowledge or information with respect to confidential or proprietary information, methods, processes, plans or materials of the Company or any of its Affiliates, or with respect to any other confidential or proprietary aspects of the business of the Company or any of its Affiliates, acquired by the Participant at any time prior to the Participant’s Termination;</w:t>
      </w:r>
    </w:p>
    <w:p>
      <w:pPr>
        <w:spacing w:after="0" w:line="96" w:lineRule="exact"/>
        <w:rPr>
          <w:rFonts w:ascii="Arial" w:cs="Arial" w:eastAsia="Arial" w:hAnsi="Arial"/>
          <w:sz w:val="16"/>
          <w:szCs w:val="16"/>
          <w:color w:val="auto"/>
        </w:rPr>
      </w:pPr>
    </w:p>
    <w:p>
      <w:pPr>
        <w:ind w:left="1060" w:right="280" w:firstLine="3"/>
        <w:spacing w:after="0" w:line="260" w:lineRule="auto"/>
        <w:tabs>
          <w:tab w:leader="none" w:pos="143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any activity while employed by, or performing services for, the Company or any of its Affiliates, that results, or if known could reasonably be expected to result, in the Participant’s Termination for Cause;</w:t>
      </w:r>
    </w:p>
    <w:p>
      <w:pPr>
        <w:spacing w:after="0" w:line="87" w:lineRule="exact"/>
        <w:rPr>
          <w:rFonts w:ascii="Arial" w:cs="Arial" w:eastAsia="Arial" w:hAnsi="Arial"/>
          <w:sz w:val="16"/>
          <w:szCs w:val="16"/>
          <w:color w:val="auto"/>
        </w:rPr>
      </w:pPr>
    </w:p>
    <w:p>
      <w:pPr>
        <w:ind w:left="1060" w:right="80" w:firstLine="3"/>
        <w:spacing w:after="0" w:line="249" w:lineRule="auto"/>
        <w:tabs>
          <w:tab w:leader="none" w:pos="143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 directly or indirectly soliciting, enticing or inducing any employee of the Company or any of its Affiliates to be employed by a Person that is, directly or indirectly, in competition with the business or activities of the Company or any of its Affiliates; (ii) directly or indirectly approaching any such employee for these purposes; (iii) authorizing or knowingly approving the taking of such actions by other Persons on behalf of any such Person, or assisting any such Person in taking such actions; (iv) directly or indirectly soliciting Customers to purchase products on behalf of a Competitor; or (v) directly or indirectly soliciting Suppliers to provide products or services to support a Competitor;</w:t>
      </w:r>
    </w:p>
    <w:p>
      <w:pPr>
        <w:spacing w:after="0" w:line="96" w:lineRule="exact"/>
        <w:rPr>
          <w:rFonts w:ascii="Arial" w:cs="Arial" w:eastAsia="Arial" w:hAnsi="Arial"/>
          <w:sz w:val="16"/>
          <w:szCs w:val="16"/>
          <w:color w:val="auto"/>
        </w:rPr>
      </w:pPr>
    </w:p>
    <w:p>
      <w:pPr>
        <w:ind w:left="1440" w:hanging="377"/>
        <w:spacing w:after="0"/>
        <w:tabs>
          <w:tab w:leader="none" w:pos="14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direct or indirect Disparagement, or inducing others to engage in Disparagement; or</w:t>
      </w:r>
    </w:p>
    <w:p>
      <w:pPr>
        <w:spacing w:after="0" w:line="113" w:lineRule="exact"/>
        <w:rPr>
          <w:rFonts w:ascii="Arial" w:cs="Arial" w:eastAsia="Arial" w:hAnsi="Arial"/>
          <w:sz w:val="16"/>
          <w:szCs w:val="16"/>
          <w:color w:val="auto"/>
        </w:rPr>
      </w:pPr>
    </w:p>
    <w:p>
      <w:pPr>
        <w:ind w:left="1060" w:right="640" w:firstLine="3"/>
        <w:spacing w:after="0" w:line="260" w:lineRule="auto"/>
        <w:tabs>
          <w:tab w:leader="none" w:pos="143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 material breach of any agreement between the Participant and the Company or any of its Affiliates (including, without limitation, any Participant Agreement, noncompetition, nonsolicitation or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268605</wp:posOffset>
            </wp:positionV>
            <wp:extent cx="291465" cy="2743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6240" w:type="dxa"/>
        <w:tblCellMar>
          <w:top w:w="0" w:type="dxa"/>
          <w:left w:w="0" w:type="dxa"/>
          <w:bottom w:w="0" w:type="dxa"/>
          <w:right w:w="0" w:type="dxa"/>
        </w:tblCellMar>
      </w:tblPr>
      <w:tr>
        <w:trPr>
          <w:trHeight w:val="215"/>
        </w:trPr>
        <w:tc>
          <w:tcPr>
            <w:tcW w:w="394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400" w:type="dxa"/>
            <w:vAlign w:val="bottom"/>
          </w:tcPr>
          <w:p>
            <w:pPr>
              <w:ind w:left="140"/>
              <w:spacing w:after="0"/>
              <w:rPr>
                <w:sz w:val="20"/>
                <w:szCs w:val="20"/>
                <w:color w:val="auto"/>
              </w:rPr>
            </w:pPr>
            <w:r>
              <w:rPr>
                <w:rFonts w:ascii="Arial" w:cs="Arial" w:eastAsia="Arial" w:hAnsi="Arial"/>
                <w:sz w:val="16"/>
                <w:szCs w:val="16"/>
                <w:b w:val="1"/>
                <w:bCs w:val="1"/>
                <w:color w:val="auto"/>
                <w:w w:val="92"/>
              </w:rPr>
              <w:t>B-3</w:t>
            </w:r>
          </w:p>
        </w:tc>
      </w:tr>
    </w:tbl>
    <w:p>
      <w:pPr>
        <w:sectPr>
          <w:pgSz w:w="11900" w:h="16838" w:orient="portrait"/>
          <w:cols w:equalWidth="0" w:num="1">
            <w:col w:w="10580"/>
          </w:cols>
          <w:pgMar w:left="320" w:top="459" w:right="9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191260" cy="1454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191260" cy="145415"/>
                    </a:xfrm>
                    <a:prstGeom prst="rect">
                      <a:avLst/>
                    </a:prstGeom>
                    <a:noFill/>
                  </pic:spPr>
                </pic:pic>
              </a:graphicData>
            </a:graphic>
          </wp:anchor>
        </w:drawing>
      </w:r>
    </w:p>
    <w:p>
      <w:pPr>
        <w:spacing w:after="0" w:line="33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192"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Unless otherwise determined by the Committee at grant and set forth in an Award Agreement, Detrimental Activity shall not be deemed to occur after the end of the one-year period following the Participant’s Termination. Notwithstanding the foregoing, a Participant’s engagement in any activity described in Sections 21(o)(2) and (3) shall not constitute “Detrimental Activity.” For purposes of subsections (1), (3) and (5) above, the Committee has the authority to provide the Participant with written authorization to engage in the activities contemplated thereby and no other Person shall have authority to provide the Participant with such authorization.</w:t>
      </w:r>
    </w:p>
    <w:p>
      <w:pPr>
        <w:spacing w:after="0" w:line="203" w:lineRule="exact"/>
        <w:rPr>
          <w:sz w:val="20"/>
          <w:szCs w:val="20"/>
          <w:color w:val="auto"/>
        </w:rPr>
      </w:pPr>
    </w:p>
    <w:p>
      <w:pPr>
        <w:jc w:val="both"/>
        <w:ind w:left="120" w:right="120" w:hanging="4"/>
        <w:spacing w:after="0" w:line="253" w:lineRule="auto"/>
        <w:tabs>
          <w:tab w:leader="none" w:pos="49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in the absence of an Award Agreement or Participant Agreement otherwise defining Disability, the permanent and total disability of such Participant within the meaning of Section 22(e)(3) of the Code. In the event that there is an Award Agreement or Participant Agreement defining Disability, “</w:t>
      </w:r>
      <w:r>
        <w:rPr>
          <w:rFonts w:ascii="Arial" w:cs="Arial" w:eastAsia="Arial" w:hAnsi="Arial"/>
          <w:sz w:val="16"/>
          <w:szCs w:val="16"/>
          <w:u w:val="single" w:color="auto"/>
          <w:color w:val="auto"/>
        </w:rPr>
        <w:t>Disability</w:t>
      </w:r>
      <w:r>
        <w:rPr>
          <w:rFonts w:ascii="Arial" w:cs="Arial" w:eastAsia="Arial" w:hAnsi="Arial"/>
          <w:sz w:val="16"/>
          <w:szCs w:val="16"/>
          <w:color w:val="auto"/>
        </w:rPr>
        <w:t>” shall have the meaning provided in such Award Agreement or Participant Agreement.</w:t>
      </w:r>
    </w:p>
    <w:p>
      <w:pPr>
        <w:spacing w:after="0" w:line="201" w:lineRule="exact"/>
        <w:rPr>
          <w:rFonts w:ascii="Arial" w:cs="Arial" w:eastAsia="Arial" w:hAnsi="Arial"/>
          <w:sz w:val="16"/>
          <w:szCs w:val="16"/>
          <w:color w:val="auto"/>
        </w:rPr>
      </w:pPr>
    </w:p>
    <w:p>
      <w:pPr>
        <w:jc w:val="both"/>
        <w:ind w:left="120" w:right="220" w:hanging="4"/>
        <w:spacing w:after="0" w:line="251" w:lineRule="auto"/>
        <w:tabs>
          <w:tab w:leader="none" w:pos="49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Disparagement</w:t>
      </w:r>
      <w:r>
        <w:rPr>
          <w:rFonts w:ascii="Arial" w:cs="Arial" w:eastAsia="Arial" w:hAnsi="Arial"/>
          <w:sz w:val="16"/>
          <w:szCs w:val="16"/>
          <w:color w:val="auto"/>
        </w:rPr>
        <w:t>” means making comments or statements to the press, the Company’s or its Affiliates’ employees, consultants or any individual or entity with whom the Company or its Affiliates has a business relationship that could reasonably be expected to adversely affect in any manner: (1) the conduct of the business of the Company or its Affiliates (including, without limitation, any products or business plans or prospects); or (2) the business reputation of the Company or its Affiliates, or any of their products, or their past or present officers, directors or employees.</w:t>
      </w:r>
    </w:p>
    <w:p>
      <w:pPr>
        <w:spacing w:after="0" w:line="202" w:lineRule="exact"/>
        <w:rPr>
          <w:rFonts w:ascii="Arial" w:cs="Arial" w:eastAsia="Arial" w:hAnsi="Arial"/>
          <w:sz w:val="16"/>
          <w:szCs w:val="16"/>
          <w:color w:val="auto"/>
        </w:rPr>
      </w:pPr>
    </w:p>
    <w:p>
      <w:pPr>
        <w:ind w:left="120" w:hanging="4"/>
        <w:spacing w:after="0" w:line="253" w:lineRule="auto"/>
        <w:tabs>
          <w:tab w:leader="none" w:pos="46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Disqualifying Disposition</w:t>
      </w:r>
      <w:r>
        <w:rPr>
          <w:rFonts w:ascii="Arial" w:cs="Arial" w:eastAsia="Arial" w:hAnsi="Arial"/>
          <w:sz w:val="16"/>
          <w:szCs w:val="16"/>
          <w:color w:val="auto"/>
        </w:rPr>
        <w:t>” means any disposition (including any sale) of Stock acquired upon the exercise of an Incentive Stock Option made within the period that ends either (1) two years after the date on which the Participant was granted the Incentive Stock Option or (2) one year after the date upon which the Participant acquired the Stock.</w:t>
      </w:r>
    </w:p>
    <w:p>
      <w:pPr>
        <w:spacing w:after="0" w:line="201" w:lineRule="exact"/>
        <w:rPr>
          <w:rFonts w:ascii="Arial" w:cs="Arial" w:eastAsia="Arial" w:hAnsi="Arial"/>
          <w:sz w:val="16"/>
          <w:szCs w:val="16"/>
          <w:color w:val="auto"/>
        </w:rPr>
      </w:pPr>
    </w:p>
    <w:p>
      <w:pPr>
        <w:ind w:left="480" w:hanging="364"/>
        <w:spacing w:after="0"/>
        <w:tabs>
          <w:tab w:leader="none" w:pos="4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date on which the Plan is approved by the stockholders of the Company.</w:t>
      </w:r>
    </w:p>
    <w:p>
      <w:pPr>
        <w:spacing w:after="0" w:line="221" w:lineRule="exact"/>
        <w:rPr>
          <w:rFonts w:ascii="Arial" w:cs="Arial" w:eastAsia="Arial" w:hAnsi="Arial"/>
          <w:sz w:val="16"/>
          <w:szCs w:val="16"/>
          <w:color w:val="auto"/>
        </w:rPr>
      </w:pPr>
    </w:p>
    <w:p>
      <w:pPr>
        <w:ind w:left="120" w:hanging="4"/>
        <w:spacing w:after="0" w:line="246" w:lineRule="auto"/>
        <w:tabs>
          <w:tab w:leader="none" w:pos="45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Person</w:t>
      </w:r>
      <w:r>
        <w:rPr>
          <w:rFonts w:ascii="Arial" w:cs="Arial" w:eastAsia="Arial" w:hAnsi="Arial"/>
          <w:sz w:val="16"/>
          <w:szCs w:val="16"/>
          <w:color w:val="auto"/>
        </w:rPr>
        <w:t xml:space="preserve">” means (1) each employee and officer of the Company or any of its Affiliates, (2) each non-employee director of the Company or any of its Affiliates; (3) each other Person who provides bona fide services to the Company or any of its Affiliates as a consultant or advisor, which are not in connection with the offer and sale of securities in a capital-raising transaction, and do not, directly or indirectly, promote or maintain a market for the Company’s or its Affiliates’ securities, and who is designated as eligible by the Committee, and (4) each natural Person who has been offered employment by the Company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prospective employee may not receive any payment or exercise any right relating to an Award until such Person has commenced employment or service with the Company or its Affiliates;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(i) with respect to any Award that is intended to qualify as a “stock right” that does not provide for a “deferral of compensation” within the meaning of Section 409A of the Code, the term “</w:t>
      </w:r>
      <w:r>
        <w:rPr>
          <w:rFonts w:ascii="Arial" w:cs="Arial" w:eastAsia="Arial" w:hAnsi="Arial"/>
          <w:sz w:val="16"/>
          <w:szCs w:val="16"/>
          <w:u w:val="single" w:color="auto"/>
          <w:color w:val="auto"/>
        </w:rPr>
        <w:t>Affiliate</w:t>
      </w:r>
      <w:r>
        <w:rPr>
          <w:rFonts w:ascii="Arial" w:cs="Arial" w:eastAsia="Arial" w:hAnsi="Arial"/>
          <w:sz w:val="16"/>
          <w:szCs w:val="16"/>
          <w:color w:val="auto"/>
        </w:rPr>
        <w:t>” as used in this Section 2(t) shall include only those corporations or other entities in the unbroken chain of corporations or other entities beginning with the Company where each of the corporations or other entities in the unbroken chain other than the last corporation or other entity owns stock possessing at least fifty percent (50%) or more of the total combined voting power of all classes of stock in one of the other corporations or other entities in the chain, and (ii) with respect to any Award that is intended to be an Incentive Stock Option, the term “</w:t>
      </w:r>
      <w:r>
        <w:rPr>
          <w:rFonts w:ascii="Arial" w:cs="Arial" w:eastAsia="Arial" w:hAnsi="Arial"/>
          <w:sz w:val="16"/>
          <w:szCs w:val="16"/>
          <w:u w:val="single" w:color="auto"/>
          <w:color w:val="auto"/>
        </w:rPr>
        <w:t>Affiliate</w:t>
      </w:r>
      <w:r>
        <w:rPr>
          <w:rFonts w:ascii="Arial" w:cs="Arial" w:eastAsia="Arial" w:hAnsi="Arial"/>
          <w:sz w:val="16"/>
          <w:szCs w:val="16"/>
          <w:color w:val="auto"/>
        </w:rPr>
        <w:t>” as used in this</w:t>
      </w:r>
    </w:p>
    <w:p>
      <w:pPr>
        <w:spacing w:after="0" w:line="4" w:lineRule="exact"/>
        <w:rPr>
          <w:rFonts w:ascii="Arial" w:cs="Arial" w:eastAsia="Arial" w:hAnsi="Arial"/>
          <w:sz w:val="16"/>
          <w:szCs w:val="16"/>
          <w:color w:val="auto"/>
        </w:rPr>
      </w:pPr>
    </w:p>
    <w:p>
      <w:pPr>
        <w:jc w:val="both"/>
        <w:ind w:left="120" w:right="80"/>
        <w:spacing w:after="0" w:line="253" w:lineRule="auto"/>
        <w:rPr>
          <w:rFonts w:ascii="Arial" w:cs="Arial" w:eastAsia="Arial" w:hAnsi="Arial"/>
          <w:sz w:val="16"/>
          <w:szCs w:val="16"/>
          <w:color w:val="auto"/>
        </w:rPr>
      </w:pPr>
      <w:r>
        <w:rPr>
          <w:rFonts w:ascii="Arial" w:cs="Arial" w:eastAsia="Arial" w:hAnsi="Arial"/>
          <w:sz w:val="16"/>
          <w:szCs w:val="16"/>
          <w:color w:val="auto"/>
        </w:rPr>
        <w:t>Section 2(t) shall include only those entities that qualify as a “subsidiary corporation” with respect to the Company within the meaning of Section 424(f) of the Code. An employee on an approved leave of absence may be considered as still in the employ of the Company or any of its Affiliates for purposes of eligibility for participation in the Plan.</w:t>
      </w:r>
    </w:p>
    <w:p>
      <w:pPr>
        <w:spacing w:after="0" w:line="201" w:lineRule="exact"/>
        <w:rPr>
          <w:rFonts w:ascii="Arial" w:cs="Arial" w:eastAsia="Arial" w:hAnsi="Arial"/>
          <w:sz w:val="16"/>
          <w:szCs w:val="16"/>
          <w:color w:val="auto"/>
        </w:rPr>
      </w:pPr>
    </w:p>
    <w:p>
      <w:pPr>
        <w:ind w:left="120" w:right="40" w:hanging="4"/>
        <w:spacing w:after="0" w:line="260" w:lineRule="auto"/>
        <w:tabs>
          <w:tab w:leader="none" w:pos="49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U.S. Securities Exchange Act of 1934, as amended from time to time, including the rules and regulations thereunder and any successor provisions, rules and regulations thereto.</w:t>
      </w:r>
    </w:p>
    <w:p>
      <w:pPr>
        <w:spacing w:after="0" w:line="195" w:lineRule="exact"/>
        <w:rPr>
          <w:rFonts w:ascii="Arial" w:cs="Arial" w:eastAsia="Arial" w:hAnsi="Arial"/>
          <w:sz w:val="16"/>
          <w:szCs w:val="16"/>
          <w:color w:val="auto"/>
        </w:rPr>
      </w:pPr>
    </w:p>
    <w:p>
      <w:pPr>
        <w:ind w:left="120" w:right="160" w:hanging="4"/>
        <w:spacing w:after="0" w:line="260" w:lineRule="auto"/>
        <w:tabs>
          <w:tab w:leader="none" w:pos="48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Exercisable Awards</w:t>
      </w:r>
      <w:r>
        <w:rPr>
          <w:rFonts w:ascii="Arial" w:cs="Arial" w:eastAsia="Arial" w:hAnsi="Arial"/>
          <w:sz w:val="16"/>
          <w:szCs w:val="16"/>
          <w:color w:val="auto"/>
        </w:rPr>
        <w:t>” means Options or Stock Appreciation Rights or similar other Stock-based Award that provides for a Participant to receive the excess (if any) of the Fair Market Value of the Stock on the date of exercise over the Fair Market Value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80010</wp:posOffset>
            </wp:positionV>
            <wp:extent cx="291465" cy="2743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9" w:lineRule="exact"/>
        <w:rPr>
          <w:sz w:val="20"/>
          <w:szCs w:val="20"/>
          <w:color w:val="auto"/>
        </w:rPr>
      </w:pPr>
    </w:p>
    <w:p>
      <w:pPr>
        <w:ind w:left="120"/>
        <w:spacing w:after="0"/>
        <w:tabs>
          <w:tab w:leader="none" w:pos="720" w:val="left"/>
        </w:tabs>
        <w:rPr>
          <w:sz w:val="20"/>
          <w:szCs w:val="20"/>
          <w:color w:val="auto"/>
        </w:rPr>
      </w:pPr>
      <w:r>
        <w:rPr>
          <w:rFonts w:ascii="Arial" w:cs="Arial" w:eastAsia="Arial" w:hAnsi="Arial"/>
          <w:sz w:val="16"/>
          <w:szCs w:val="16"/>
          <w:b w:val="1"/>
          <w:bCs w:val="1"/>
          <w:color w:val="auto"/>
        </w:rPr>
        <w:t>B-4</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205740</wp:posOffset>
            </wp:positionV>
            <wp:extent cx="1251585" cy="1371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51585" cy="137160"/>
                    </a:xfrm>
                    <a:prstGeom prst="rect">
                      <a:avLst/>
                    </a:prstGeom>
                    <a:noFill/>
                  </pic:spPr>
                </pic:pic>
              </a:graphicData>
            </a:graphic>
          </wp:anchor>
        </w:drawing>
      </w:r>
    </w:p>
    <w:p>
      <w:pPr>
        <w:spacing w:after="0" w:line="331"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660" w:right="140" w:firstLine="9"/>
        <w:spacing w:after="0" w:line="260" w:lineRule="auto"/>
        <w:tabs>
          <w:tab w:leader="none" w:pos="106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Expiration Date</w:t>
      </w:r>
      <w:r>
        <w:rPr>
          <w:rFonts w:ascii="Arial" w:cs="Arial" w:eastAsia="Arial" w:hAnsi="Arial"/>
          <w:sz w:val="16"/>
          <w:szCs w:val="16"/>
          <w:color w:val="auto"/>
        </w:rPr>
        <w:t>” means, with respect to an Option or Stock Appreciation Right, the date on which the term of such Option or Stock Appreciation Right expires, as determined under Section 5(b) or 8(b) hereof, as applicable.</w:t>
      </w:r>
    </w:p>
    <w:p>
      <w:pPr>
        <w:spacing w:after="0" w:line="195" w:lineRule="exact"/>
        <w:rPr>
          <w:rFonts w:ascii="Arial" w:cs="Arial" w:eastAsia="Arial" w:hAnsi="Arial"/>
          <w:sz w:val="16"/>
          <w:szCs w:val="16"/>
          <w:color w:val="auto"/>
        </w:rPr>
      </w:pPr>
    </w:p>
    <w:p>
      <w:pPr>
        <w:ind w:left="660" w:right="220" w:firstLine="9"/>
        <w:spacing w:after="0" w:line="250" w:lineRule="auto"/>
        <w:tabs>
          <w:tab w:leader="none" w:pos="102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when the Stock is listed on one or more national securities exchanges, the closing price reported on the principal national securities exchange on which such Stock is listed and traded on the date of determination or, if the closing price is not reported on such date of determination, the closing price reported on the most recent date prior to the date of determination. If the Stock is not listed on a national securities exchange, “</w:t>
      </w:r>
      <w:r>
        <w:rPr>
          <w:rFonts w:ascii="Arial" w:cs="Arial" w:eastAsia="Arial" w:hAnsi="Arial"/>
          <w:sz w:val="16"/>
          <w:szCs w:val="16"/>
          <w:u w:val="single" w:color="auto"/>
          <w:color w:val="auto"/>
        </w:rPr>
        <w:t>Fair Market Value</w:t>
      </w:r>
      <w:r>
        <w:rPr>
          <w:rFonts w:ascii="Arial" w:cs="Arial" w:eastAsia="Arial" w:hAnsi="Arial"/>
          <w:sz w:val="16"/>
          <w:szCs w:val="16"/>
          <w:color w:val="auto"/>
        </w:rPr>
        <w:t>” shall mean the amount determined by the Board in good faith, and in a manner consistent with Section 409A of the Code, to be the fair market value per share of Stock.</w:t>
      </w:r>
    </w:p>
    <w:p>
      <w:pPr>
        <w:spacing w:after="0" w:line="202" w:lineRule="exact"/>
        <w:rPr>
          <w:rFonts w:ascii="Arial" w:cs="Arial" w:eastAsia="Arial" w:hAnsi="Arial"/>
          <w:sz w:val="16"/>
          <w:szCs w:val="16"/>
          <w:color w:val="auto"/>
        </w:rPr>
      </w:pPr>
    </w:p>
    <w:p>
      <w:pPr>
        <w:ind w:left="1040" w:hanging="371"/>
        <w:spacing w:after="0"/>
        <w:tabs>
          <w:tab w:leader="none" w:pos="10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Full Value Award</w:t>
      </w:r>
      <w:r>
        <w:rPr>
          <w:rFonts w:ascii="Arial" w:cs="Arial" w:eastAsia="Arial" w:hAnsi="Arial"/>
          <w:sz w:val="16"/>
          <w:szCs w:val="16"/>
          <w:color w:val="auto"/>
        </w:rPr>
        <w:t>” means an Award other than an Exercisable Award, and which is settled by the issuance of shares of Stock.</w:t>
      </w:r>
    </w:p>
    <w:p>
      <w:pPr>
        <w:spacing w:after="0" w:line="221" w:lineRule="exact"/>
        <w:rPr>
          <w:rFonts w:ascii="Arial" w:cs="Arial" w:eastAsia="Arial" w:hAnsi="Arial"/>
          <w:sz w:val="16"/>
          <w:szCs w:val="16"/>
          <w:color w:val="auto"/>
        </w:rPr>
      </w:pPr>
    </w:p>
    <w:p>
      <w:pPr>
        <w:ind w:left="1040" w:hanging="371"/>
        <w:spacing w:after="0"/>
        <w:tabs>
          <w:tab w:leader="none" w:pos="10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has the meaning set forth in Section 9(f)(3) hereof.</w:t>
      </w:r>
    </w:p>
    <w:p>
      <w:pPr>
        <w:spacing w:after="0" w:line="221" w:lineRule="exact"/>
        <w:rPr>
          <w:sz w:val="20"/>
          <w:szCs w:val="20"/>
          <w:color w:val="auto"/>
        </w:rPr>
      </w:pPr>
    </w:p>
    <w:p>
      <w:pPr>
        <w:ind w:left="1140" w:hanging="471"/>
        <w:spacing w:after="0"/>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intended to qualify as an “incentive stock option” within the meaning of Section 422 of the</w:t>
      </w:r>
    </w:p>
    <w:p>
      <w:pPr>
        <w:spacing w:after="0" w:line="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Code.</w:t>
      </w:r>
    </w:p>
    <w:p>
      <w:pPr>
        <w:spacing w:after="0" w:line="221" w:lineRule="exact"/>
        <w:rPr>
          <w:rFonts w:ascii="Arial" w:cs="Arial" w:eastAsia="Arial" w:hAnsi="Arial"/>
          <w:sz w:val="16"/>
          <w:szCs w:val="16"/>
          <w:color w:val="auto"/>
        </w:rPr>
      </w:pPr>
    </w:p>
    <w:p>
      <w:pPr>
        <w:ind w:left="1140" w:hanging="471"/>
        <w:spacing w:after="0"/>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means an Option not intended to be an Incentive Stock Option.</w:t>
      </w:r>
    </w:p>
    <w:p>
      <w:pPr>
        <w:spacing w:after="0" w:line="221" w:lineRule="exact"/>
        <w:rPr>
          <w:rFonts w:ascii="Arial" w:cs="Arial" w:eastAsia="Arial" w:hAnsi="Arial"/>
          <w:sz w:val="16"/>
          <w:szCs w:val="16"/>
          <w:color w:val="auto"/>
        </w:rPr>
      </w:pPr>
    </w:p>
    <w:p>
      <w:pPr>
        <w:ind w:left="660" w:right="180" w:firstLine="9"/>
        <w:spacing w:after="0" w:line="260" w:lineRule="auto"/>
        <w:tabs>
          <w:tab w:leader="none" w:pos="110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 conditional right, granted to a Participant under Section 5 hereof, to purchase Stock at a specified price during a specified time period.</w:t>
      </w:r>
    </w:p>
    <w:p>
      <w:pPr>
        <w:spacing w:after="0" w:line="195" w:lineRule="exact"/>
        <w:rPr>
          <w:rFonts w:ascii="Arial" w:cs="Arial" w:eastAsia="Arial" w:hAnsi="Arial"/>
          <w:sz w:val="16"/>
          <w:szCs w:val="16"/>
          <w:color w:val="auto"/>
        </w:rPr>
      </w:pPr>
    </w:p>
    <w:p>
      <w:pPr>
        <w:ind w:left="660" w:right="60" w:firstLine="9"/>
        <w:spacing w:after="0" w:line="260" w:lineRule="auto"/>
        <w:tabs>
          <w:tab w:leader="none" w:pos="112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Agreement</w:t>
      </w:r>
      <w:r>
        <w:rPr>
          <w:rFonts w:ascii="Arial" w:cs="Arial" w:eastAsia="Arial" w:hAnsi="Arial"/>
          <w:sz w:val="16"/>
          <w:szCs w:val="16"/>
          <w:color w:val="auto"/>
        </w:rPr>
        <w:t>” means a written agreement between the Company and a Participant evidencing the terms and conditions of an individual Option Award.</w:t>
      </w:r>
    </w:p>
    <w:p>
      <w:pPr>
        <w:spacing w:after="0" w:line="195" w:lineRule="exact"/>
        <w:rPr>
          <w:rFonts w:ascii="Arial" w:cs="Arial" w:eastAsia="Arial" w:hAnsi="Arial"/>
          <w:sz w:val="16"/>
          <w:szCs w:val="16"/>
          <w:color w:val="auto"/>
        </w:rPr>
      </w:pPr>
    </w:p>
    <w:p>
      <w:pPr>
        <w:ind w:left="660" w:right="340" w:firstLine="9"/>
        <w:spacing w:after="0" w:line="260" w:lineRule="auto"/>
        <w:tabs>
          <w:tab w:leader="none" w:pos="112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Person who has been granted an Award under the Plan or, if applicable, such other Person who holds an Award.</w:t>
      </w:r>
    </w:p>
    <w:p>
      <w:pPr>
        <w:spacing w:after="0" w:line="195" w:lineRule="exact"/>
        <w:rPr>
          <w:rFonts w:ascii="Arial" w:cs="Arial" w:eastAsia="Arial" w:hAnsi="Arial"/>
          <w:sz w:val="16"/>
          <w:szCs w:val="16"/>
          <w:color w:val="auto"/>
        </w:rPr>
      </w:pPr>
    </w:p>
    <w:p>
      <w:pPr>
        <w:ind w:left="660" w:firstLine="9"/>
        <w:spacing w:after="0" w:line="253" w:lineRule="auto"/>
        <w:tabs>
          <w:tab w:leader="none" w:pos="10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 Agreement</w:t>
      </w:r>
      <w:r>
        <w:rPr>
          <w:rFonts w:ascii="Arial" w:cs="Arial" w:eastAsia="Arial" w:hAnsi="Arial"/>
          <w:sz w:val="16"/>
          <w:szCs w:val="16"/>
          <w:color w:val="auto"/>
        </w:rPr>
        <w:t>” means an employment or other services agreement between a Participant and the Service Recipient that describes the terms and conditions of such Participant’s employment or service with the Service Recipient and is effective as of the date of determination.</w:t>
      </w:r>
    </w:p>
    <w:p>
      <w:pPr>
        <w:spacing w:after="0" w:line="201" w:lineRule="exact"/>
        <w:rPr>
          <w:rFonts w:ascii="Arial" w:cs="Arial" w:eastAsia="Arial" w:hAnsi="Arial"/>
          <w:sz w:val="16"/>
          <w:szCs w:val="16"/>
          <w:color w:val="auto"/>
        </w:rPr>
      </w:pPr>
    </w:p>
    <w:p>
      <w:pPr>
        <w:ind w:left="660" w:right="100" w:firstLine="9"/>
        <w:spacing w:after="0" w:line="253" w:lineRule="auto"/>
        <w:tabs>
          <w:tab w:leader="none" w:pos="112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Award</w:t>
      </w:r>
      <w:r>
        <w:rPr>
          <w:rFonts w:ascii="Arial" w:cs="Arial" w:eastAsia="Arial" w:hAnsi="Arial"/>
          <w:sz w:val="16"/>
          <w:szCs w:val="16"/>
          <w:color w:val="auto"/>
        </w:rPr>
        <w:t>” means an Award granted to a Participant under Section 9 hereof, which Award is subject to the achievement of Performance Objectives during a Performance Period. A Performance Award shall be designated as a Performance Share, a Performance Unit or a Performance Cash Award at the time of grant.</w:t>
      </w:r>
    </w:p>
    <w:p>
      <w:pPr>
        <w:spacing w:after="0" w:line="201" w:lineRule="exact"/>
        <w:rPr>
          <w:rFonts w:ascii="Arial" w:cs="Arial" w:eastAsia="Arial" w:hAnsi="Arial"/>
          <w:sz w:val="16"/>
          <w:szCs w:val="16"/>
          <w:color w:val="auto"/>
        </w:rPr>
      </w:pPr>
    </w:p>
    <w:p>
      <w:pPr>
        <w:ind w:left="660" w:right="280" w:firstLine="9"/>
        <w:spacing w:after="0" w:line="260" w:lineRule="auto"/>
        <w:tabs>
          <w:tab w:leader="none" w:pos="112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Award Agreement</w:t>
      </w:r>
      <w:r>
        <w:rPr>
          <w:rFonts w:ascii="Arial" w:cs="Arial" w:eastAsia="Arial" w:hAnsi="Arial"/>
          <w:sz w:val="16"/>
          <w:szCs w:val="16"/>
          <w:color w:val="auto"/>
        </w:rPr>
        <w:t>” means a written agreement between the Company and a Participant evidencing the terms and conditions of an individual Performance Award.</w:t>
      </w:r>
    </w:p>
    <w:p>
      <w:pPr>
        <w:spacing w:after="0" w:line="195" w:lineRule="exact"/>
        <w:rPr>
          <w:rFonts w:ascii="Arial" w:cs="Arial" w:eastAsia="Arial" w:hAnsi="Arial"/>
          <w:sz w:val="16"/>
          <w:szCs w:val="16"/>
          <w:color w:val="auto"/>
        </w:rPr>
      </w:pPr>
    </w:p>
    <w:p>
      <w:pPr>
        <w:jc w:val="both"/>
        <w:ind w:left="660" w:right="240" w:firstLine="9"/>
        <w:spacing w:after="0" w:line="253" w:lineRule="auto"/>
        <w:tabs>
          <w:tab w:leader="none" w:pos="101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Cash Award</w:t>
      </w:r>
      <w:r>
        <w:rPr>
          <w:rFonts w:ascii="Arial" w:cs="Arial" w:eastAsia="Arial" w:hAnsi="Arial"/>
          <w:sz w:val="16"/>
          <w:szCs w:val="16"/>
          <w:color w:val="auto"/>
        </w:rPr>
        <w:t>” means a Performance Award which is a cash award (for a dollar value not in excess of that set forth in Section 4(c)(1) hereof), the payment of which is subject to the achievement of Performance Objectives during a Performance Period. A Performance Cash Award may also require the completion of a specified period of employment or service.</w:t>
      </w:r>
    </w:p>
    <w:p>
      <w:pPr>
        <w:spacing w:after="0" w:line="201" w:lineRule="exact"/>
        <w:rPr>
          <w:rFonts w:ascii="Arial" w:cs="Arial" w:eastAsia="Arial" w:hAnsi="Arial"/>
          <w:sz w:val="16"/>
          <w:szCs w:val="16"/>
          <w:color w:val="auto"/>
        </w:rPr>
      </w:pPr>
    </w:p>
    <w:p>
      <w:pPr>
        <w:ind w:left="660" w:right="320" w:firstLine="9"/>
        <w:spacing w:after="0" w:line="260" w:lineRule="auto"/>
        <w:tabs>
          <w:tab w:leader="none" w:pos="101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Objectives</w:t>
      </w:r>
      <w:r>
        <w:rPr>
          <w:rFonts w:ascii="Arial" w:cs="Arial" w:eastAsia="Arial" w:hAnsi="Arial"/>
          <w:sz w:val="16"/>
          <w:szCs w:val="16"/>
          <w:color w:val="auto"/>
        </w:rPr>
        <w:t>” means the performance objectives established pursuant to the Plan for Participants who have received Performance Awards.</w:t>
      </w:r>
    </w:p>
    <w:p>
      <w:pPr>
        <w:spacing w:after="0" w:line="195" w:lineRule="exact"/>
        <w:rPr>
          <w:rFonts w:ascii="Arial" w:cs="Arial" w:eastAsia="Arial" w:hAnsi="Arial"/>
          <w:sz w:val="16"/>
          <w:szCs w:val="16"/>
          <w:color w:val="auto"/>
        </w:rPr>
      </w:pPr>
    </w:p>
    <w:p>
      <w:pPr>
        <w:ind w:left="660" w:right="780" w:firstLine="9"/>
        <w:spacing w:after="0" w:line="253" w:lineRule="auto"/>
        <w:tabs>
          <w:tab w:leader="none" w:pos="110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the period of time designated by the Committee over which the achievement of one or more Performance Objectives will be measured for the purpose of determining a Participant’s right to and the payment of an Award. Performance Periods may be of varying and overlapping duration, at the sole discretion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272415</wp:posOffset>
            </wp:positionV>
            <wp:extent cx="291465" cy="2743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6240" w:type="dxa"/>
        <w:tblCellMar>
          <w:top w:w="0" w:type="dxa"/>
          <w:left w:w="0" w:type="dxa"/>
          <w:bottom w:w="0" w:type="dxa"/>
          <w:right w:w="0" w:type="dxa"/>
        </w:tblCellMar>
      </w:tblPr>
      <w:tr>
        <w:trPr>
          <w:trHeight w:val="215"/>
        </w:trPr>
        <w:tc>
          <w:tcPr>
            <w:tcW w:w="394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400" w:type="dxa"/>
            <w:vAlign w:val="bottom"/>
          </w:tcPr>
          <w:p>
            <w:pPr>
              <w:ind w:left="140"/>
              <w:spacing w:after="0"/>
              <w:rPr>
                <w:sz w:val="20"/>
                <w:szCs w:val="20"/>
                <w:color w:val="auto"/>
              </w:rPr>
            </w:pPr>
            <w:r>
              <w:rPr>
                <w:rFonts w:ascii="Arial" w:cs="Arial" w:eastAsia="Arial" w:hAnsi="Arial"/>
                <w:sz w:val="16"/>
                <w:szCs w:val="16"/>
                <w:b w:val="1"/>
                <w:bCs w:val="1"/>
                <w:color w:val="auto"/>
                <w:w w:val="92"/>
              </w:rPr>
              <w:t>B-5</w:t>
            </w:r>
          </w:p>
        </w:tc>
      </w:tr>
    </w:tbl>
    <w:p>
      <w:pPr>
        <w:sectPr>
          <w:pgSz w:w="11900" w:h="16838" w:orient="portrait"/>
          <w:cols w:equalWidth="0" w:num="1">
            <w:col w:w="10580"/>
          </w:cols>
          <w:pgMar w:left="320" w:top="459" w:right="9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191260" cy="1454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91260" cy="145415"/>
                    </a:xfrm>
                    <a:prstGeom prst="rect">
                      <a:avLst/>
                    </a:prstGeom>
                    <a:noFill/>
                  </pic:spPr>
                </pic:pic>
              </a:graphicData>
            </a:graphic>
          </wp:anchor>
        </w:drawing>
      </w:r>
    </w:p>
    <w:p>
      <w:pPr>
        <w:spacing w:after="0" w:line="33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192" w:lineRule="exact"/>
        <w:rPr>
          <w:sz w:val="20"/>
          <w:szCs w:val="20"/>
          <w:color w:val="auto"/>
        </w:rPr>
      </w:pPr>
    </w:p>
    <w:p>
      <w:pPr>
        <w:ind w:left="120" w:right="600" w:hanging="4"/>
        <w:spacing w:after="0" w:line="260" w:lineRule="auto"/>
        <w:tabs>
          <w:tab w:leader="none" w:pos="4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Share</w:t>
      </w:r>
      <w:r>
        <w:rPr>
          <w:rFonts w:ascii="Arial" w:cs="Arial" w:eastAsia="Arial" w:hAnsi="Arial"/>
          <w:sz w:val="16"/>
          <w:szCs w:val="16"/>
          <w:color w:val="auto"/>
        </w:rPr>
        <w:t>” means a Performance Award denominated in shares of Stock which may be earned in whole or in part based upon the achievement of Performance Objectives during a Performance Period.</w:t>
      </w:r>
    </w:p>
    <w:p>
      <w:pPr>
        <w:spacing w:after="0" w:line="195" w:lineRule="exact"/>
        <w:rPr>
          <w:rFonts w:ascii="Arial" w:cs="Arial" w:eastAsia="Arial" w:hAnsi="Arial"/>
          <w:sz w:val="16"/>
          <w:szCs w:val="16"/>
          <w:color w:val="auto"/>
        </w:rPr>
      </w:pPr>
    </w:p>
    <w:p>
      <w:pPr>
        <w:ind w:left="120" w:right="60" w:hanging="4"/>
        <w:spacing w:after="0" w:line="253" w:lineRule="auto"/>
        <w:tabs>
          <w:tab w:leader="none" w:pos="67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Unit</w:t>
      </w:r>
      <w:r>
        <w:rPr>
          <w:rFonts w:ascii="Arial" w:cs="Arial" w:eastAsia="Arial" w:hAnsi="Arial"/>
          <w:sz w:val="16"/>
          <w:szCs w:val="16"/>
          <w:color w:val="auto"/>
        </w:rPr>
        <w:t>” means a Performance Award denominated as a notional unit representing the right to receive one share of Stock (or the cash value of one share of Stock, if so determined by the Committee) which may be earned in whole or in part based upon the achievement of Performance Objectives during a Performance Period.</w:t>
      </w:r>
    </w:p>
    <w:p>
      <w:pPr>
        <w:spacing w:after="0" w:line="201" w:lineRule="exact"/>
        <w:rPr>
          <w:rFonts w:ascii="Arial" w:cs="Arial" w:eastAsia="Arial" w:hAnsi="Arial"/>
          <w:sz w:val="16"/>
          <w:szCs w:val="16"/>
          <w:color w:val="auto"/>
        </w:rPr>
      </w:pPr>
    </w:p>
    <w:p>
      <w:pPr>
        <w:ind w:left="120" w:right="80" w:hanging="4"/>
        <w:spacing w:after="0" w:line="260" w:lineRule="auto"/>
        <w:tabs>
          <w:tab w:leader="none" w:pos="58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corporation, partnership, firm, joint venture, association, joint-stock company, trust, unincorporated organization, or other entity.</w:t>
      </w:r>
    </w:p>
    <w:p>
      <w:pPr>
        <w:spacing w:after="0" w:line="195" w:lineRule="exact"/>
        <w:rPr>
          <w:rFonts w:ascii="Arial" w:cs="Arial" w:eastAsia="Arial" w:hAnsi="Arial"/>
          <w:sz w:val="16"/>
          <w:szCs w:val="16"/>
          <w:color w:val="auto"/>
        </w:rPr>
      </w:pPr>
    </w:p>
    <w:p>
      <w:pPr>
        <w:ind w:left="580" w:hanging="464"/>
        <w:spacing w:after="0"/>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Amended and Restated Take-Two Interactive Software, Inc. 2017 Stock Incentive Plan, as amended from time to time.</w:t>
      </w:r>
    </w:p>
    <w:p>
      <w:pPr>
        <w:spacing w:after="0" w:line="221" w:lineRule="exact"/>
        <w:rPr>
          <w:rFonts w:ascii="Arial" w:cs="Arial" w:eastAsia="Arial" w:hAnsi="Arial"/>
          <w:sz w:val="16"/>
          <w:szCs w:val="16"/>
          <w:color w:val="auto"/>
        </w:rPr>
      </w:pPr>
    </w:p>
    <w:p>
      <w:pPr>
        <w:ind w:left="580" w:hanging="464"/>
        <w:spacing w:after="0"/>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Plan</w:t>
      </w:r>
      <w:r>
        <w:rPr>
          <w:rFonts w:ascii="Arial" w:cs="Arial" w:eastAsia="Arial" w:hAnsi="Arial"/>
          <w:sz w:val="16"/>
          <w:szCs w:val="16"/>
          <w:color w:val="auto"/>
        </w:rPr>
        <w:t>” means the Take-Two Interactive Software, Inc. 2009 Stock Incentive Plan, as amended and restated.</w:t>
      </w:r>
    </w:p>
    <w:p>
      <w:pPr>
        <w:spacing w:after="0" w:line="221" w:lineRule="exact"/>
        <w:rPr>
          <w:rFonts w:ascii="Arial" w:cs="Arial" w:eastAsia="Arial" w:hAnsi="Arial"/>
          <w:sz w:val="16"/>
          <w:szCs w:val="16"/>
          <w:color w:val="auto"/>
        </w:rPr>
      </w:pPr>
    </w:p>
    <w:p>
      <w:pPr>
        <w:ind w:left="580" w:hanging="464"/>
        <w:spacing w:after="0"/>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Plan Award</w:t>
      </w:r>
      <w:r>
        <w:rPr>
          <w:rFonts w:ascii="Arial" w:cs="Arial" w:eastAsia="Arial" w:hAnsi="Arial"/>
          <w:sz w:val="16"/>
          <w:szCs w:val="16"/>
          <w:color w:val="auto"/>
        </w:rPr>
        <w:t>” has the meaning set forth in Section 4(a) hereof.</w:t>
      </w:r>
    </w:p>
    <w:p>
      <w:pPr>
        <w:spacing w:after="0" w:line="221" w:lineRule="exact"/>
        <w:rPr>
          <w:rFonts w:ascii="Arial" w:cs="Arial" w:eastAsia="Arial" w:hAnsi="Arial"/>
          <w:sz w:val="16"/>
          <w:szCs w:val="16"/>
          <w:color w:val="auto"/>
        </w:rPr>
      </w:pPr>
    </w:p>
    <w:p>
      <w:pPr>
        <w:ind w:left="120" w:right="260" w:hanging="4"/>
        <w:spacing w:after="0" w:line="253" w:lineRule="auto"/>
        <w:tabs>
          <w:tab w:leader="none" w:pos="51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Member</w:t>
      </w:r>
      <w:r>
        <w:rPr>
          <w:rFonts w:ascii="Arial" w:cs="Arial" w:eastAsia="Arial" w:hAnsi="Arial"/>
          <w:sz w:val="16"/>
          <w:szCs w:val="16"/>
          <w:color w:val="auto"/>
        </w:rPr>
        <w:t>” means a member of the Committee who is a “Non-Employee Director” within the meaning of Rule 16b-3 under the Exchange Act and an “independent director” as defined under, as applicable, the NASDAQ Listing Rules, the NYSE Listed Company Manual or other applicable stock exchange rules.</w:t>
      </w:r>
    </w:p>
    <w:p>
      <w:pPr>
        <w:spacing w:after="0" w:line="201" w:lineRule="exact"/>
        <w:rPr>
          <w:rFonts w:ascii="Arial" w:cs="Arial" w:eastAsia="Arial" w:hAnsi="Arial"/>
          <w:sz w:val="16"/>
          <w:szCs w:val="16"/>
          <w:color w:val="auto"/>
        </w:rPr>
      </w:pPr>
    </w:p>
    <w:p>
      <w:pPr>
        <w:ind w:left="560" w:hanging="444"/>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Qualifying Committee</w:t>
      </w:r>
      <w:r>
        <w:rPr>
          <w:rFonts w:ascii="Arial" w:cs="Arial" w:eastAsia="Arial" w:hAnsi="Arial"/>
          <w:sz w:val="16"/>
          <w:szCs w:val="16"/>
          <w:color w:val="auto"/>
        </w:rPr>
        <w:t>” has the meaning set forth in Section 3(b) hereof.</w:t>
      </w:r>
    </w:p>
    <w:p>
      <w:pPr>
        <w:spacing w:after="0" w:line="221" w:lineRule="exact"/>
        <w:rPr>
          <w:rFonts w:ascii="Arial" w:cs="Arial" w:eastAsia="Arial" w:hAnsi="Arial"/>
          <w:sz w:val="16"/>
          <w:szCs w:val="16"/>
          <w:color w:val="auto"/>
        </w:rPr>
      </w:pPr>
    </w:p>
    <w:p>
      <w:pPr>
        <w:ind w:left="120" w:hanging="4"/>
        <w:spacing w:after="0" w:line="249" w:lineRule="auto"/>
        <w:tabs>
          <w:tab w:leader="none" w:pos="49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provided in an Award Agreement, voluntary Termination at or after age 65 or such earlier date after age 50 as may be approved by the Committee, in its sole discretion, at the time of grant, or thereafter provided that the exercise of such discretion does not make the applicable Award subject to Section 409A of the Code, except that Retirement shall not include any Termination with or without Cause. With respect to a Participant’s Termination of directorship, unless otherwise provided in an Award Agreement, Retirement means the failure to stand for reelection or the failure to be reelected on or after a Participant has attained age 65 or, with the consent of the Board, provided that the exercise of such discretion does not make the applicable Award subject to Section 409A of the Code, before age 65 but after age 50.</w:t>
      </w:r>
    </w:p>
    <w:p>
      <w:pPr>
        <w:spacing w:after="0" w:line="204" w:lineRule="exact"/>
        <w:rPr>
          <w:rFonts w:ascii="Arial" w:cs="Arial" w:eastAsia="Arial" w:hAnsi="Arial"/>
          <w:sz w:val="16"/>
          <w:szCs w:val="16"/>
          <w:color w:val="auto"/>
        </w:rPr>
      </w:pPr>
    </w:p>
    <w:p>
      <w:pPr>
        <w:ind w:left="580" w:hanging="464"/>
        <w:spacing w:after="0"/>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Stock granted to a Participant under Section 6 hereof that is subject to certain restrictions and to a risk of forfeiture.</w:t>
      </w:r>
    </w:p>
    <w:p>
      <w:pPr>
        <w:spacing w:after="0" w:line="221" w:lineRule="exact"/>
        <w:rPr>
          <w:rFonts w:ascii="Arial" w:cs="Arial" w:eastAsia="Arial" w:hAnsi="Arial"/>
          <w:sz w:val="16"/>
          <w:szCs w:val="16"/>
          <w:color w:val="auto"/>
        </w:rPr>
      </w:pPr>
    </w:p>
    <w:p>
      <w:pPr>
        <w:ind w:left="120" w:right="460" w:hanging="4"/>
        <w:spacing w:after="0" w:line="260" w:lineRule="auto"/>
        <w:tabs>
          <w:tab w:leader="none" w:pos="57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means a written agreement between the Company and a Participant evidencing the terms and conditions of an individual Restricted Stock Award.</w:t>
      </w:r>
    </w:p>
    <w:p>
      <w:pPr>
        <w:spacing w:after="0" w:line="195" w:lineRule="exact"/>
        <w:rPr>
          <w:rFonts w:ascii="Arial" w:cs="Arial" w:eastAsia="Arial" w:hAnsi="Arial"/>
          <w:sz w:val="16"/>
          <w:szCs w:val="16"/>
          <w:color w:val="auto"/>
        </w:rPr>
      </w:pPr>
    </w:p>
    <w:p>
      <w:pPr>
        <w:ind w:left="120" w:right="260" w:hanging="4"/>
        <w:spacing w:after="0" w:line="260" w:lineRule="auto"/>
        <w:tabs>
          <w:tab w:leader="none" w:pos="64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notional unit representing the right to receive one share of Stock (or the cash value of one share of Stock, if so determined by the Committee) on a specified settlement date.</w:t>
      </w:r>
    </w:p>
    <w:p>
      <w:pPr>
        <w:spacing w:after="0" w:line="195" w:lineRule="exact"/>
        <w:rPr>
          <w:rFonts w:ascii="Arial" w:cs="Arial" w:eastAsia="Arial" w:hAnsi="Arial"/>
          <w:sz w:val="16"/>
          <w:szCs w:val="16"/>
          <w:color w:val="auto"/>
        </w:rPr>
      </w:pPr>
    </w:p>
    <w:p>
      <w:pPr>
        <w:ind w:left="120" w:right="80" w:hanging="4"/>
        <w:spacing w:after="0" w:line="260" w:lineRule="auto"/>
        <w:tabs>
          <w:tab w:leader="none" w:pos="57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RSU Agreement</w:t>
      </w:r>
      <w:r>
        <w:rPr>
          <w:rFonts w:ascii="Arial" w:cs="Arial" w:eastAsia="Arial" w:hAnsi="Arial"/>
          <w:sz w:val="16"/>
          <w:szCs w:val="16"/>
          <w:color w:val="auto"/>
        </w:rPr>
        <w:t>” means a written agreement between the Company and a Participant evidencing the terms and conditions of an individual Award of Restricted Stock Units.</w:t>
      </w:r>
    </w:p>
    <w:p>
      <w:pPr>
        <w:spacing w:after="0" w:line="195" w:lineRule="exact"/>
        <w:rPr>
          <w:rFonts w:ascii="Arial" w:cs="Arial" w:eastAsia="Arial" w:hAnsi="Arial"/>
          <w:sz w:val="16"/>
          <w:szCs w:val="16"/>
          <w:color w:val="auto"/>
        </w:rPr>
      </w:pPr>
    </w:p>
    <w:p>
      <w:pPr>
        <w:ind w:left="120" w:right="80" w:hanging="4"/>
        <w:spacing w:after="0" w:line="260" w:lineRule="auto"/>
        <w:tabs>
          <w:tab w:leader="none" w:pos="57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SAR Agreement</w:t>
      </w:r>
      <w:r>
        <w:rPr>
          <w:rFonts w:ascii="Arial" w:cs="Arial" w:eastAsia="Arial" w:hAnsi="Arial"/>
          <w:sz w:val="16"/>
          <w:szCs w:val="16"/>
          <w:color w:val="auto"/>
        </w:rPr>
        <w:t>” means a written agreement between the Company and a Participant evidencing the terms and conditions of an individual Award of Stock Appreciation Rights.</w:t>
      </w:r>
    </w:p>
    <w:p>
      <w:pPr>
        <w:spacing w:after="0" w:line="195" w:lineRule="exact"/>
        <w:rPr>
          <w:rFonts w:ascii="Arial" w:cs="Arial" w:eastAsia="Arial" w:hAnsi="Arial"/>
          <w:sz w:val="16"/>
          <w:szCs w:val="16"/>
          <w:color w:val="auto"/>
        </w:rPr>
      </w:pPr>
    </w:p>
    <w:p>
      <w:pPr>
        <w:ind w:left="120" w:right="440" w:hanging="4"/>
        <w:spacing w:after="0" w:line="260" w:lineRule="auto"/>
        <w:tabs>
          <w:tab w:leader="none" w:pos="57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U.S. Securities Act of 1933, as amended from time to time, including the rules and regulations thereunder and any successor provisions, rules and regulations thereto.</w:t>
      </w:r>
    </w:p>
    <w:p>
      <w:pPr>
        <w:spacing w:after="0" w:line="195" w:lineRule="exact"/>
        <w:rPr>
          <w:sz w:val="20"/>
          <w:szCs w:val="20"/>
          <w:color w:val="auto"/>
        </w:rPr>
      </w:pPr>
    </w:p>
    <w:p>
      <w:pPr>
        <w:ind w:left="120" w:right="440" w:hanging="4"/>
        <w:spacing w:after="0" w:line="253" w:lineRule="auto"/>
        <w:tabs>
          <w:tab w:leader="none" w:pos="6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Recipient</w:t>
      </w:r>
      <w:r>
        <w:rPr>
          <w:rFonts w:ascii="Arial" w:cs="Arial" w:eastAsia="Arial" w:hAnsi="Arial"/>
          <w:sz w:val="16"/>
          <w:szCs w:val="16"/>
          <w:color w:val="auto"/>
        </w:rPr>
        <w:t>” means, with respect to a Participant holding an Award, either the Company or an Affiliate of the Company by which the original recipient of such Award is, or following a Termination was most recently, principally employed or to which such original recipient provides, or following a Termination was most recently providing, services,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83820</wp:posOffset>
            </wp:positionV>
            <wp:extent cx="291465" cy="2743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15" w:lineRule="exact"/>
        <w:rPr>
          <w:sz w:val="20"/>
          <w:szCs w:val="20"/>
          <w:color w:val="auto"/>
        </w:rPr>
      </w:pPr>
    </w:p>
    <w:p>
      <w:pPr>
        <w:ind w:left="120"/>
        <w:spacing w:after="0"/>
        <w:tabs>
          <w:tab w:leader="none" w:pos="720" w:val="left"/>
        </w:tabs>
        <w:rPr>
          <w:sz w:val="20"/>
          <w:szCs w:val="20"/>
          <w:color w:val="auto"/>
        </w:rPr>
      </w:pPr>
      <w:r>
        <w:rPr>
          <w:rFonts w:ascii="Arial" w:cs="Arial" w:eastAsia="Arial" w:hAnsi="Arial"/>
          <w:sz w:val="16"/>
          <w:szCs w:val="16"/>
          <w:b w:val="1"/>
          <w:bCs w:val="1"/>
          <w:color w:val="auto"/>
        </w:rPr>
        <w:t>B-6</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205740</wp:posOffset>
            </wp:positionV>
            <wp:extent cx="1251585" cy="1371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51585" cy="137160"/>
                    </a:xfrm>
                    <a:prstGeom prst="rect">
                      <a:avLst/>
                    </a:prstGeom>
                    <a:noFill/>
                  </pic:spPr>
                </pic:pic>
              </a:graphicData>
            </a:graphic>
          </wp:anchor>
        </w:drawing>
      </w:r>
    </w:p>
    <w:p>
      <w:pPr>
        <w:spacing w:after="0" w:line="331"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660" w:right="40" w:firstLine="9"/>
        <w:spacing w:after="0" w:line="260" w:lineRule="auto"/>
        <w:tabs>
          <w:tab w:leader="none" w:pos="121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w:t>
      </w:r>
      <w:r>
        <w:rPr>
          <w:rFonts w:ascii="Arial" w:cs="Arial" w:eastAsia="Arial" w:hAnsi="Arial"/>
          <w:sz w:val="16"/>
          <w:szCs w:val="16"/>
          <w:color w:val="auto"/>
        </w:rPr>
        <w:t>” means the common stock, par value $0.01 per share, of the Company, and such other securities as may be substituted for such stock pursuant to Section 11 hereof.</w:t>
      </w:r>
    </w:p>
    <w:p>
      <w:pPr>
        <w:spacing w:after="0" w:line="195" w:lineRule="exact"/>
        <w:rPr>
          <w:rFonts w:ascii="Arial" w:cs="Arial" w:eastAsia="Arial" w:hAnsi="Arial"/>
          <w:sz w:val="16"/>
          <w:szCs w:val="16"/>
          <w:color w:val="auto"/>
        </w:rPr>
      </w:pPr>
    </w:p>
    <w:p>
      <w:pPr>
        <w:ind w:left="660" w:firstLine="9"/>
        <w:spacing w:after="0" w:line="260" w:lineRule="auto"/>
        <w:tabs>
          <w:tab w:leader="none" w:pos="118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means a conditional right to receive an amount equal to the value of the appreciation in the Stock over a specified period.</w:t>
      </w:r>
    </w:p>
    <w:p>
      <w:pPr>
        <w:spacing w:after="0" w:line="195" w:lineRule="exact"/>
        <w:rPr>
          <w:rFonts w:ascii="Arial" w:cs="Arial" w:eastAsia="Arial" w:hAnsi="Arial"/>
          <w:sz w:val="16"/>
          <w:szCs w:val="16"/>
          <w:color w:val="auto"/>
        </w:rPr>
      </w:pPr>
    </w:p>
    <w:p>
      <w:pPr>
        <w:ind w:left="1220" w:hanging="551"/>
        <w:spacing w:after="0"/>
        <w:tabs>
          <w:tab w:leader="none" w:pos="12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Substitute Award</w:t>
      </w:r>
      <w:r>
        <w:rPr>
          <w:rFonts w:ascii="Arial" w:cs="Arial" w:eastAsia="Arial" w:hAnsi="Arial"/>
          <w:sz w:val="16"/>
          <w:szCs w:val="16"/>
          <w:color w:val="auto"/>
        </w:rPr>
        <w:t>” has the meaning set forth in Section 4(a) hereof.</w:t>
      </w:r>
    </w:p>
    <w:p>
      <w:pPr>
        <w:spacing w:after="0" w:line="221" w:lineRule="exact"/>
        <w:rPr>
          <w:rFonts w:ascii="Arial" w:cs="Arial" w:eastAsia="Arial" w:hAnsi="Arial"/>
          <w:sz w:val="16"/>
          <w:szCs w:val="16"/>
          <w:color w:val="auto"/>
        </w:rPr>
      </w:pPr>
    </w:p>
    <w:p>
      <w:pPr>
        <w:ind w:left="660" w:right="420" w:firstLine="9"/>
        <w:spacing w:after="0" w:line="253" w:lineRule="auto"/>
        <w:tabs>
          <w:tab w:leader="none" w:pos="121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Supplier</w:t>
      </w:r>
      <w:r>
        <w:rPr>
          <w:rFonts w:ascii="Arial" w:cs="Arial" w:eastAsia="Arial" w:hAnsi="Arial"/>
          <w:sz w:val="16"/>
          <w:szCs w:val="16"/>
          <w:color w:val="auto"/>
        </w:rPr>
        <w:t>” means any Person who supplies products or services to the Company or any of its Affiliates and with whom a Participant had business-related contact (whether in person, by telephone or by paper or electronic correspondence) on behalf of the Company or any of its Affiliates.</w:t>
      </w:r>
    </w:p>
    <w:p>
      <w:pPr>
        <w:spacing w:after="0" w:line="185" w:lineRule="exact"/>
        <w:rPr>
          <w:rFonts w:ascii="Arial" w:cs="Arial" w:eastAsia="Arial" w:hAnsi="Arial"/>
          <w:sz w:val="16"/>
          <w:szCs w:val="16"/>
          <w:color w:val="auto"/>
        </w:rPr>
      </w:pPr>
    </w:p>
    <w:p>
      <w:pPr>
        <w:ind w:left="660" w:firstLine="9"/>
        <w:spacing w:after="0" w:line="248" w:lineRule="auto"/>
        <w:tabs>
          <w:tab w:leader="none" w:pos="107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means the termination of a Participant’s employment or service, as applicable, with the Service Recipient;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so determined by the Committee at the time of any change in status in relation to the Service Recipient (</w:t>
      </w:r>
      <w:r>
        <w:rPr>
          <w:rFonts w:ascii="Arial" w:cs="Arial" w:eastAsia="Arial" w:hAnsi="Arial"/>
          <w:sz w:val="16"/>
          <w:szCs w:val="16"/>
          <w:i w:val="1"/>
          <w:iCs w:val="1"/>
          <w:color w:val="auto"/>
        </w:rPr>
        <w:t>e.g.</w:t>
      </w:r>
      <w:r>
        <w:rPr>
          <w:rFonts w:ascii="Arial" w:cs="Arial" w:eastAsia="Arial" w:hAnsi="Arial"/>
          <w:sz w:val="16"/>
          <w:szCs w:val="16"/>
          <w:color w:val="auto"/>
        </w:rPr>
        <w:t>,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ceases to be an employee and begins providing services as a consultant, or vice versa), such change in status will not be deemed a Termination hereunder. Unless otherwise determined by the Committee, in the event that the Service Recipient ceases to be an Affiliate of the Company (by reason of sale, divestiture, spin-off, or other similar transaction), unless a Participant’s employment or service is transferred to another entity that would constitute the Service Recipient immediately following such transaction, such Participant shall be deemed to have suffered a Termination hereunder as of the date of the consummation of such transaction. Notwithstanding anything herein to the contrary, a Participant’s change in status in relation to the Service Recipient (for example, a change from employee to consultant) shall not be deemed a Termination hereunder with respect to any Awards constituting “nonqualified deferred compensation” subject to Section 409A of the Code that are payable upon a Termination unless such change in status constitutes a “separation from service” within the meaning of Section 409A of the Code. Any payments in respect of an Award constituting nonqualified deferred compensation subject to Section 409A of the Code that are payable upon a Termination shall be delayed for such period as may be necessary to meet the requirements of Section 409A(a)(2)(B)(i) of the Code. On the first business day following the expiration of such period, the Participant shall be paid, in a single lump sum without interest, an amount equal to the aggregate amount of all payments delayed pursuant to the preceding sentence, and any remaining payments not so delayed shall continue to be paid pursuant to the payment schedule applicable to such Award.</w:t>
      </w:r>
    </w:p>
    <w:p>
      <w:pPr>
        <w:spacing w:after="0" w:line="194" w:lineRule="exact"/>
        <w:rPr>
          <w:sz w:val="20"/>
          <w:szCs w:val="20"/>
          <w:color w:val="auto"/>
        </w:rPr>
      </w:pPr>
    </w:p>
    <w:p>
      <w:pPr>
        <w:ind w:left="980" w:hanging="311"/>
        <w:spacing w:after="0"/>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Administration.</w:t>
      </w:r>
    </w:p>
    <w:p>
      <w:pPr>
        <w:spacing w:after="0" w:line="241" w:lineRule="exact"/>
        <w:rPr>
          <w:sz w:val="20"/>
          <w:szCs w:val="20"/>
          <w:color w:val="auto"/>
        </w:rPr>
      </w:pPr>
    </w:p>
    <w:p>
      <w:pPr>
        <w:ind w:left="660" w:right="20" w:firstLine="9"/>
        <w:spacing w:after="0" w:line="247" w:lineRule="auto"/>
        <w:tabs>
          <w:tab w:leader="none" w:pos="103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Authority of the Committee</w:t>
      </w:r>
      <w:r>
        <w:rPr>
          <w:rFonts w:ascii="Arial" w:cs="Arial" w:eastAsia="Arial" w:hAnsi="Arial"/>
          <w:sz w:val="16"/>
          <w:szCs w:val="16"/>
          <w:color w:val="auto"/>
        </w:rPr>
        <w:t>. Except as otherwise provided below, the Plan shall be administered by the Committee. The Committee shall have full and final authority, in each case subject to and consistent with the provisions of the Plan, to (1) select Eligible Persons to become Participants, (2) grant Awards, (3) determine the type, number of shares of Stock subject to, other terms and conditions of, and all other matters relating to, Awards, (4) prescribe Award Agreements (which need not be identical for each Participant) and rules and regulations for the administration of the Plan, (5) construe and interpret the Plan and Award Agreements and correct defects, supply omissions, and reconcile inconsistencies therein, (6) suspend the right to exercise Awards during any period that the Committee deems appropriate to comply with applicable securities laws, and thereafter extend the exercise period of an Award by an equivalent period of time or such shorter period required by, or necessary to comply with, applicable law, (7) determine when an Award may be granted hereunder; and (8) make all other decisions and determinations as the Committee may deem necessary or advisable for the administration of the Plan. Any action of the Committee shall be final, conclusive, and binding on all Persons, including, without limitation, the Company, its stockholders and Affiliates, Eligible Persons, Participants, and beneficiaries of Participants. Notwithstanding anything in the Plan to the contrary, the Committee shall have the ability to accelerate the vesting of any outstanding Award at any time and for any reason, including (i) upon a Corporate Event, subject to Section 11(d), (ii) in the event of a Participant’s Termination by the Service Recipient other than for Cause, subject to Section 4(e), or (iii) in the event of a Participant’s Termination due to the Participant’s death, Disability or Retirement. For the avoidance of doubt, the Board shall have the authority to take all actions under the Plan that the Committee is permitted to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398145</wp:posOffset>
            </wp:positionV>
            <wp:extent cx="291465" cy="2743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240" w:type="dxa"/>
        <w:tblCellMar>
          <w:top w:w="0" w:type="dxa"/>
          <w:left w:w="0" w:type="dxa"/>
          <w:bottom w:w="0" w:type="dxa"/>
          <w:right w:w="0" w:type="dxa"/>
        </w:tblCellMar>
      </w:tblPr>
      <w:tr>
        <w:trPr>
          <w:trHeight w:val="215"/>
        </w:trPr>
        <w:tc>
          <w:tcPr>
            <w:tcW w:w="394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400" w:type="dxa"/>
            <w:vAlign w:val="bottom"/>
          </w:tcPr>
          <w:p>
            <w:pPr>
              <w:ind w:left="140"/>
              <w:spacing w:after="0"/>
              <w:rPr>
                <w:sz w:val="20"/>
                <w:szCs w:val="20"/>
                <w:color w:val="auto"/>
              </w:rPr>
            </w:pPr>
            <w:r>
              <w:rPr>
                <w:rFonts w:ascii="Arial" w:cs="Arial" w:eastAsia="Arial" w:hAnsi="Arial"/>
                <w:sz w:val="16"/>
                <w:szCs w:val="16"/>
                <w:b w:val="1"/>
                <w:bCs w:val="1"/>
                <w:color w:val="auto"/>
                <w:w w:val="92"/>
              </w:rPr>
              <w:t>B-7</w:t>
            </w:r>
          </w:p>
        </w:tc>
      </w:tr>
    </w:tbl>
    <w:p>
      <w:pPr>
        <w:sectPr>
          <w:pgSz w:w="11900" w:h="16838" w:orient="portrait"/>
          <w:cols w:equalWidth="0" w:num="1">
            <w:col w:w="10580"/>
          </w:cols>
          <w:pgMar w:left="320" w:top="459" w:right="9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191260" cy="1454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191260" cy="145415"/>
                    </a:xfrm>
                    <a:prstGeom prst="rect">
                      <a:avLst/>
                    </a:prstGeom>
                    <a:noFill/>
                  </pic:spPr>
                </pic:pic>
              </a:graphicData>
            </a:graphic>
          </wp:anchor>
        </w:drawing>
      </w:r>
    </w:p>
    <w:p>
      <w:pPr>
        <w:spacing w:after="0" w:line="33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176" w:lineRule="exact"/>
        <w:rPr>
          <w:sz w:val="20"/>
          <w:szCs w:val="20"/>
          <w:color w:val="auto"/>
        </w:rPr>
      </w:pPr>
    </w:p>
    <w:p>
      <w:pPr>
        <w:ind w:left="120" w:right="100" w:hanging="4"/>
        <w:spacing w:after="0" w:line="253" w:lineRule="auto"/>
        <w:tabs>
          <w:tab w:leader="none" w:pos="498"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Manner of Exercise of Committee Authority</w:t>
      </w:r>
      <w:r>
        <w:rPr>
          <w:rFonts w:ascii="Arial" w:cs="Arial" w:eastAsia="Arial" w:hAnsi="Arial"/>
          <w:sz w:val="16"/>
          <w:szCs w:val="16"/>
          <w:i w:val="1"/>
          <w:iCs w:val="1"/>
          <w:color w:val="auto"/>
        </w:rPr>
        <w:t>.</w:t>
      </w:r>
      <w:r>
        <w:rPr>
          <w:rFonts w:ascii="Arial" w:cs="Arial" w:eastAsia="Arial" w:hAnsi="Arial"/>
          <w:sz w:val="16"/>
          <w:szCs w:val="16"/>
          <w:color w:val="auto"/>
        </w:rPr>
        <w:t xml:space="preserve"> At any time that a member of the Committee is not a Qualified Member, any action of the Committee relating to an Award granted or to be granted to a Participant who is then subject to Section 16 of the Exchange Act in respect of the Company, must be taken by the remaining members of the Committee or a subcommittee, designated by the Committee or the Board, composed solely of two or more Qualified Members (a “</w:t>
      </w:r>
      <w:r>
        <w:rPr>
          <w:rFonts w:ascii="Arial" w:cs="Arial" w:eastAsia="Arial" w:hAnsi="Arial"/>
          <w:sz w:val="16"/>
          <w:szCs w:val="16"/>
          <w:u w:val="single" w:color="auto"/>
          <w:color w:val="auto"/>
        </w:rPr>
        <w:t>Qualifying Committee</w:t>
      </w:r>
      <w:r>
        <w:rPr>
          <w:rFonts w:ascii="Arial" w:cs="Arial" w:eastAsia="Arial" w:hAnsi="Arial"/>
          <w:sz w:val="16"/>
          <w:szCs w:val="16"/>
          <w:color w:val="auto"/>
        </w:rPr>
        <w:t>”). Any action authorized by such a Qualifying Committee shall be deemed the action of the Committee for purposes of the Plan. The express grant of any specific power to a Qualifying Committee, and the taking of any action by such a Qualifying Committee, shall not be construed as limiting any power or authority of the Committee.</w:t>
      </w:r>
    </w:p>
    <w:p>
      <w:pPr>
        <w:spacing w:after="0" w:line="202" w:lineRule="exact"/>
        <w:rPr>
          <w:rFonts w:ascii="Arial" w:cs="Arial" w:eastAsia="Arial" w:hAnsi="Arial"/>
          <w:sz w:val="16"/>
          <w:szCs w:val="16"/>
          <w:color w:val="auto"/>
        </w:rPr>
      </w:pPr>
    </w:p>
    <w:p>
      <w:pPr>
        <w:ind w:left="120" w:hanging="4"/>
        <w:spacing w:after="0" w:line="248" w:lineRule="auto"/>
        <w:tabs>
          <w:tab w:leader="none" w:pos="489"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Delegation</w:t>
      </w:r>
      <w:r>
        <w:rPr>
          <w:rFonts w:ascii="Arial" w:cs="Arial" w:eastAsia="Arial" w:hAnsi="Arial"/>
          <w:sz w:val="16"/>
          <w:szCs w:val="16"/>
          <w:color w:val="auto"/>
        </w:rPr>
        <w:t>. To the extent permitted by applicable law, the Committee may delegate to officers or employees of the Company or any of its Affiliates, or committees thereof, the authority, subject to such terms as the Committee shall determine, to perform such functions under the Plan, including, but not limited to, administrative functions, as the Committee may determine appropriate. The Committee may appoint agents to assist it in administering the Plan. Any actions taken by an officer or employee delegated authority pursuant to this Section 3(c) within the scope of such delegation shall, for all purposes under the Plan, be deemed to be an action taken by the Committee. Notwithstanding the foregoing or any other provision of the Plan to the contrary, any Award granted under the Plan to any Eligible Person who is not an employee of the Company or any of its Affiliates (including any non-employee director of the Company or any Affiliate) or to any Eligible Person who is subject to Section 16 of the Exchange Act must be expressly approved by the Committee or Qualifying Committee in accordance with subsection (b) above.</w:t>
      </w:r>
    </w:p>
    <w:p>
      <w:pPr>
        <w:spacing w:after="0" w:line="207" w:lineRule="exact"/>
        <w:rPr>
          <w:rFonts w:ascii="Arial" w:cs="Arial" w:eastAsia="Arial" w:hAnsi="Arial"/>
          <w:sz w:val="16"/>
          <w:szCs w:val="16"/>
          <w:color w:val="auto"/>
        </w:rPr>
      </w:pPr>
    </w:p>
    <w:p>
      <w:pPr>
        <w:ind w:left="120" w:hanging="4"/>
        <w:spacing w:after="0" w:line="249" w:lineRule="auto"/>
        <w:tabs>
          <w:tab w:leader="none" w:pos="498"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Section 409A; Section 457A</w:t>
      </w:r>
      <w:r>
        <w:rPr>
          <w:rFonts w:ascii="Arial" w:cs="Arial" w:eastAsia="Arial" w:hAnsi="Arial"/>
          <w:sz w:val="16"/>
          <w:szCs w:val="16"/>
          <w:color w:val="auto"/>
        </w:rPr>
        <w:t>. The Committee shall take into account compliance with Sections 409A and 457A of the Code in connection with any grant of an Award under the Plan, to the extent applicable. While the Awards granted hereunder are intended to be structured in a manner to avoid the imposition of any penalty taxes under Sections 409A and 457A of the Code, in no event whatsoever shall the Company or any of its Affiliates be liable for any additional tax, interest, or penalties that may be imposed on a Participant as a result of Section 409A or Section 457A of the Code or any damages for failing to comply with Section 409A or Section 457A of the Code or any similar state or local laws (other than for withholding obligations or other obligations applicable to employers, if any, under Section 409A or Section 457A of the Code).</w:t>
      </w:r>
    </w:p>
    <w:p>
      <w:pPr>
        <w:spacing w:after="0" w:line="185" w:lineRule="exact"/>
        <w:rPr>
          <w:sz w:val="20"/>
          <w:szCs w:val="20"/>
          <w:color w:val="auto"/>
        </w:rPr>
      </w:pPr>
    </w:p>
    <w:p>
      <w:pPr>
        <w:ind w:left="440" w:hanging="324"/>
        <w:spacing w:after="0"/>
        <w:tabs>
          <w:tab w:leader="none" w:pos="44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Shares Available Under the Plan; Other Limitations.</w:t>
      </w:r>
    </w:p>
    <w:p>
      <w:pPr>
        <w:spacing w:after="0" w:line="241" w:lineRule="exact"/>
        <w:rPr>
          <w:sz w:val="20"/>
          <w:szCs w:val="20"/>
          <w:color w:val="auto"/>
        </w:rPr>
      </w:pPr>
    </w:p>
    <w:p>
      <w:pPr>
        <w:ind w:left="120" w:right="60" w:hanging="4"/>
        <w:spacing w:after="0" w:line="247" w:lineRule="auto"/>
        <w:tabs>
          <w:tab w:leader="none" w:pos="498"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Number of Shares Available for Delivery</w:t>
      </w:r>
      <w:r>
        <w:rPr>
          <w:rFonts w:ascii="Arial" w:cs="Arial" w:eastAsia="Arial" w:hAnsi="Arial"/>
          <w:sz w:val="16"/>
          <w:szCs w:val="16"/>
          <w:color w:val="auto"/>
        </w:rPr>
        <w:t>. Subject to adjustment as provided in Section 11 hereof and subject to increase by any shares of Stock subject to an award outstanding under the Prior Plan after June 30, 2017 (a “</w:t>
      </w:r>
      <w:r>
        <w:rPr>
          <w:rFonts w:ascii="Arial" w:cs="Arial" w:eastAsia="Arial" w:hAnsi="Arial"/>
          <w:sz w:val="16"/>
          <w:szCs w:val="16"/>
          <w:u w:val="single" w:color="auto"/>
          <w:color w:val="auto"/>
        </w:rPr>
        <w:t>Prior Plan Award</w:t>
      </w:r>
      <w:r>
        <w:rPr>
          <w:rFonts w:ascii="Arial" w:cs="Arial" w:eastAsia="Arial" w:hAnsi="Arial"/>
          <w:sz w:val="16"/>
          <w:szCs w:val="16"/>
          <w:color w:val="auto"/>
        </w:rPr>
        <w:t xml:space="preserve">”) that becomes eligible for reuse pursuant to Section 4(b), the total number of shares of Stock reserved and available for delivery in connection with Awards under the Plan shall equal 9,596,111. Shares of Stock delivered under the Plan shall consist of authorized and unissued shares or previously issued shares of Stock reacquired by the Company on the open market or by private purchase;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authorized but previously unissued shares of Stock are issued under the Plan, such shares shall not be issued for consideration that is less than as permitted under applicable law. Notwithstanding the foregoing, (i) except as may be required by reason of Section 422 of the Code, the number of shares of Stock available for issuance hereunder shall not be reduced by shares issued pursuant to Awards issued or assumed in connection with a merger or acquisition as contemplated by, as applicable, NYSE Listed Company Manual Section 303A.08, NASDAQ Listing Rule 5635(c) and IM-5635-1, AMEX Company Guide Section 711, or other applicable stock exchange rules, and their respective successor rules and listing exchange promulgations (each such Award, a “</w:t>
      </w:r>
      <w:r>
        <w:rPr>
          <w:rFonts w:ascii="Arial" w:cs="Arial" w:eastAsia="Arial" w:hAnsi="Arial"/>
          <w:sz w:val="16"/>
          <w:szCs w:val="16"/>
          <w:u w:val="single" w:color="auto"/>
          <w:color w:val="auto"/>
        </w:rPr>
        <w:t>Substitute Award</w:t>
      </w:r>
      <w:r>
        <w:rPr>
          <w:rFonts w:ascii="Arial" w:cs="Arial" w:eastAsia="Arial" w:hAnsi="Arial"/>
          <w:sz w:val="16"/>
          <w:szCs w:val="16"/>
          <w:color w:val="auto"/>
        </w:rPr>
        <w:t>”); and (ii) shares of Stock shall not be deemed to have been issued pursuant to the Plan with respect to any portion of an Award that is settled in cash.</w:t>
      </w:r>
    </w:p>
    <w:p>
      <w:pPr>
        <w:spacing w:after="0" w:line="212" w:lineRule="exact"/>
        <w:rPr>
          <w:rFonts w:ascii="Arial" w:cs="Arial" w:eastAsia="Arial" w:hAnsi="Arial"/>
          <w:sz w:val="16"/>
          <w:szCs w:val="16"/>
          <w:color w:val="auto"/>
        </w:rPr>
      </w:pPr>
    </w:p>
    <w:p>
      <w:pPr>
        <w:jc w:val="both"/>
        <w:ind w:left="120" w:right="100" w:hanging="4"/>
        <w:spacing w:after="0" w:line="250" w:lineRule="auto"/>
        <w:tabs>
          <w:tab w:leader="none" w:pos="498"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Share Counting Rules</w:t>
      </w:r>
      <w:r>
        <w:rPr>
          <w:rFonts w:ascii="Arial" w:cs="Arial" w:eastAsia="Arial" w:hAnsi="Arial"/>
          <w:sz w:val="16"/>
          <w:szCs w:val="16"/>
          <w:color w:val="auto"/>
        </w:rPr>
        <w:t>. The Committee may adopt reasonable counting procedures to ensure appropriate counting, avoid double-counting (as, for example, in the case of tandem awards or Substitute Awards) and make adjustments if the number of shares of Stock actually delivered differs from the number of shares previously counted in connection with an Award. Other than with respect to a Substitute Award, to the extent that an Award or Prior Plan Award expires or is canceled, forfeited, settled in cash, or otherwise terminated without delivery to the Participant of the full number of shares of Stock to which the Award or Prior Plan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84455</wp:posOffset>
            </wp:positionV>
            <wp:extent cx="291465" cy="2743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17" w:lineRule="exact"/>
        <w:rPr>
          <w:sz w:val="20"/>
          <w:szCs w:val="20"/>
          <w:color w:val="auto"/>
        </w:rPr>
      </w:pPr>
    </w:p>
    <w:p>
      <w:pPr>
        <w:ind w:left="120"/>
        <w:spacing w:after="0"/>
        <w:tabs>
          <w:tab w:leader="none" w:pos="720" w:val="left"/>
        </w:tabs>
        <w:rPr>
          <w:sz w:val="20"/>
          <w:szCs w:val="20"/>
          <w:color w:val="auto"/>
        </w:rPr>
      </w:pPr>
      <w:r>
        <w:rPr>
          <w:rFonts w:ascii="Arial" w:cs="Arial" w:eastAsia="Arial" w:hAnsi="Arial"/>
          <w:sz w:val="16"/>
          <w:szCs w:val="16"/>
          <w:b w:val="1"/>
          <w:bCs w:val="1"/>
          <w:color w:val="auto"/>
        </w:rPr>
        <w:t>B-8</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1060"/>
          </w:cols>
          <w:pgMar w:left="32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205740</wp:posOffset>
            </wp:positionV>
            <wp:extent cx="1251585" cy="1371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51585" cy="137160"/>
                    </a:xfrm>
                    <a:prstGeom prst="rect">
                      <a:avLst/>
                    </a:prstGeom>
                    <a:noFill/>
                  </pic:spPr>
                </pic:pic>
              </a:graphicData>
            </a:graphic>
          </wp:anchor>
        </w:drawing>
      </w:r>
    </w:p>
    <w:p>
      <w:pPr>
        <w:spacing w:after="0" w:line="331"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660" w:right="80"/>
        <w:spacing w:after="0" w:line="248" w:lineRule="auto"/>
        <w:rPr>
          <w:sz w:val="20"/>
          <w:szCs w:val="20"/>
          <w:color w:val="auto"/>
        </w:rPr>
      </w:pPr>
      <w:r>
        <w:rPr>
          <w:rFonts w:ascii="Arial" w:cs="Arial" w:eastAsia="Arial" w:hAnsi="Arial"/>
          <w:sz w:val="16"/>
          <w:szCs w:val="16"/>
          <w:color w:val="auto"/>
        </w:rPr>
        <w:t>related, the undelivered shares of Stock will again be available for grant. The number of shares of Stock available for the purpose of Awards under the Plan shall be increased by any shares of Stock tendered by the Participant or withheld by the Company to pay any tax withholding obligation with respect to any Full Value Award or any full value Prior Plan Award. Notwithstanding anything to the contrary contained herein, the following shares of Stock shall be deemed to constitute shares delivered to the Participant and shall not be deemed to again be available for delivery under the Plan: (i) shares tendered by the Participant or withheld by the Company in payment of the exercise price of an Option or an option under the Prior Plan, (ii) shares tendered by the Participant or withheld by the Company to satisfy any tax withholding obligation with respect to Options or Stock Appreciation Rights or options or stock appreciation rights under the Prior Plan, (iii) shares subject to a Stock Appreciation Right or a stock appreciation right under the Prior Plan that are not issued in connection with its stock settlement on exercise thereof, and (iv) shares reacquired by the Company on the open market or otherwise using cash proceeds from the exercise of Options or options under the Prior Plan.</w:t>
      </w:r>
    </w:p>
    <w:p>
      <w:pPr>
        <w:spacing w:after="0" w:line="205" w:lineRule="exact"/>
        <w:rPr>
          <w:sz w:val="20"/>
          <w:szCs w:val="20"/>
          <w:color w:val="auto"/>
        </w:rPr>
      </w:pPr>
    </w:p>
    <w:p>
      <w:pPr>
        <w:ind w:left="660" w:right="120" w:firstLine="9"/>
        <w:spacing w:after="0" w:line="260" w:lineRule="auto"/>
        <w:tabs>
          <w:tab w:leader="none" w:pos="1026"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No more than 7,200,000 shares of Stock (subject to adjustment as provided in Section 11 hereof) reserved for issuance hereunder may be issued or transferred upon exercise or settlement of Incentive Stock Options.</w:t>
      </w:r>
    </w:p>
    <w:p>
      <w:pPr>
        <w:spacing w:after="0" w:line="195" w:lineRule="exact"/>
        <w:rPr>
          <w:rFonts w:ascii="Arial" w:cs="Arial" w:eastAsia="Arial" w:hAnsi="Arial"/>
          <w:sz w:val="16"/>
          <w:szCs w:val="16"/>
          <w:color w:val="auto"/>
        </w:rPr>
      </w:pPr>
    </w:p>
    <w:p>
      <w:pPr>
        <w:ind w:left="660" w:right="20" w:firstLine="9"/>
        <w:spacing w:after="0" w:line="248" w:lineRule="auto"/>
        <w:tabs>
          <w:tab w:leader="none" w:pos="1035"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Shares Available Under Acquired Plans</w:t>
      </w:r>
      <w:r>
        <w:rPr>
          <w:rFonts w:ascii="Arial" w:cs="Arial" w:eastAsia="Arial" w:hAnsi="Arial"/>
          <w:sz w:val="16"/>
          <w:szCs w:val="16"/>
          <w:color w:val="auto"/>
        </w:rPr>
        <w:t xml:space="preserve">. To the extent permitted by NYSE Listed Company Manual Section 303A.08, NASDAQ Listing Rule 5635(c) or other applicable stock exchange rules, subject to applicable law, in the event that a company acquired by the Company or with which the Company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of formula used in such acquisition or combination to determine the consideration payable to the holders of common stock of the entities party to such acquisition or combination) may be used for Awards under the Plan and shall not reduce the number of shares of Stock reserved and available for delivery in connection with Awards under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Awards using such available shares shall not be made after the date awards could have been made under the terms of such pre-existing plan, absent the acquisition or combination, and shall only be made to individuals who were not employed by the Company or any subsidiary of the Company immediately prior to such acquisition or combination.</w:t>
      </w:r>
    </w:p>
    <w:p>
      <w:pPr>
        <w:spacing w:after="0" w:line="393" w:lineRule="exact"/>
        <w:rPr>
          <w:rFonts w:ascii="Arial" w:cs="Arial" w:eastAsia="Arial" w:hAnsi="Arial"/>
          <w:sz w:val="16"/>
          <w:szCs w:val="16"/>
          <w:color w:val="auto"/>
        </w:rPr>
      </w:pPr>
    </w:p>
    <w:p>
      <w:pPr>
        <w:ind w:left="660" w:firstLine="9"/>
        <w:spacing w:after="0" w:line="250" w:lineRule="auto"/>
        <w:tabs>
          <w:tab w:leader="none" w:pos="1035"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Minimum Vesting Period</w:t>
      </w:r>
      <w:r>
        <w:rPr>
          <w:rFonts w:ascii="Arial" w:cs="Arial" w:eastAsia="Arial" w:hAnsi="Arial"/>
          <w:sz w:val="16"/>
          <w:szCs w:val="16"/>
          <w:color w:val="auto"/>
        </w:rPr>
        <w:t xml:space="preserve">. Other than with respect to a Substitute Award and except with respect to a maximum of five percent (5%) of the shares of Stock authorized for grant under the Plan, no Award of Options or Stock Appreciation Rights may vest over a period that is less than one (1) year from the date of grant;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minimum vesting period shall not apply in the event of a Participant’s Termination without Cause or a Participant’s Termination due to death, Disability or Retirement or in the event of a Corporate Event, subject to Section 11(d).</w:t>
      </w:r>
    </w:p>
    <w:p>
      <w:pPr>
        <w:spacing w:after="0" w:line="202" w:lineRule="exact"/>
        <w:rPr>
          <w:rFonts w:ascii="Arial" w:cs="Arial" w:eastAsia="Arial" w:hAnsi="Arial"/>
          <w:sz w:val="16"/>
          <w:szCs w:val="16"/>
          <w:color w:val="auto"/>
        </w:rPr>
      </w:pPr>
    </w:p>
    <w:p>
      <w:pPr>
        <w:ind w:left="660" w:right="20" w:firstLine="9"/>
        <w:spacing w:after="0" w:line="248" w:lineRule="auto"/>
        <w:tabs>
          <w:tab w:leader="none" w:pos="99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Limitation on Awards to Non-Employee Directors</w:t>
      </w:r>
      <w:r>
        <w:rPr>
          <w:rFonts w:ascii="Arial" w:cs="Arial" w:eastAsia="Arial" w:hAnsi="Arial"/>
          <w:sz w:val="16"/>
          <w:szCs w:val="16"/>
          <w:color w:val="auto"/>
        </w:rPr>
        <w:t xml:space="preserve">. Notwithstanding anything herein to the contrary, the maximum value of any Awards granted to a non-employee director of the Company in any one calendar year, taken together with any cash fees paid to such non-employee director during such calendar year in respect of the Director’s service as a member of the Board during such year, shall not exceed $750,000 in total value (calculating the value of any such Awards based on the grant date fair value of such Awards for financial reporting purposes and excluding, for this purpose, the value of any dividend equivalent payments paid pursuant to any Award granted in a previous year); </w:t>
      </w:r>
      <w:r>
        <w:rPr>
          <w:rFonts w:ascii="Arial" w:cs="Arial" w:eastAsia="Arial" w:hAnsi="Arial"/>
          <w:sz w:val="16"/>
          <w:szCs w:val="16"/>
          <w:i w:val="1"/>
          <w:iCs w:val="1"/>
          <w:color w:val="auto"/>
        </w:rPr>
        <w:t>provided</w:t>
      </w:r>
      <w:r>
        <w:rPr>
          <w:rFonts w:ascii="Arial" w:cs="Arial" w:eastAsia="Arial" w:hAnsi="Arial"/>
          <w:sz w:val="16"/>
          <w:szCs w:val="16"/>
          <w:color w:val="auto"/>
        </w:rPr>
        <w:t>, that the Committee may make exceptions to this limit for a non-executive chair of the Board or, in extraordinary circumstances, for other individual non-employee directors, as the Committee may determine in its discretion, provided that the non-employee director receiving such additional compensation may not participate in the decision to award such compensation.</w:t>
      </w:r>
    </w:p>
    <w:p>
      <w:pPr>
        <w:spacing w:after="0" w:line="187" w:lineRule="exact"/>
        <w:rPr>
          <w:sz w:val="20"/>
          <w:szCs w:val="20"/>
          <w:color w:val="auto"/>
        </w:rPr>
      </w:pPr>
    </w:p>
    <w:p>
      <w:pPr>
        <w:ind w:left="980" w:hanging="311"/>
        <w:spacing w:after="0"/>
        <w:tabs>
          <w:tab w:leader="none" w:pos="980"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Options.</w:t>
      </w:r>
    </w:p>
    <w:p>
      <w:pPr>
        <w:spacing w:after="0" w:line="241" w:lineRule="exact"/>
        <w:rPr>
          <w:sz w:val="20"/>
          <w:szCs w:val="20"/>
          <w:color w:val="auto"/>
        </w:rPr>
      </w:pPr>
    </w:p>
    <w:p>
      <w:pPr>
        <w:ind w:left="660" w:right="540" w:firstLine="9"/>
        <w:spacing w:after="0" w:line="271" w:lineRule="auto"/>
        <w:tabs>
          <w:tab w:leader="none" w:pos="103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Certain Options granted under the Plan may be intended to be Incentive Stock Options; however, no Incentive Stock Options may be granted hereunder following the tenth (10</w:t>
      </w:r>
      <w:r>
        <w:rPr>
          <w:rFonts w:ascii="Arial" w:cs="Arial" w:eastAsia="Arial" w:hAnsi="Arial"/>
          <w:sz w:val="27"/>
          <w:szCs w:val="27"/>
          <w:color w:val="auto"/>
          <w:vertAlign w:val="superscript"/>
        </w:rPr>
        <w:t>th</w:t>
      </w:r>
      <w:r>
        <w:rPr>
          <w:rFonts w:ascii="Arial" w:cs="Arial" w:eastAsia="Arial" w:hAnsi="Arial"/>
          <w:sz w:val="16"/>
          <w:szCs w:val="16"/>
          <w:color w:val="auto"/>
        </w:rPr>
        <w:t>) anniversary of the earlier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167005</wp:posOffset>
            </wp:positionV>
            <wp:extent cx="291465" cy="2743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347" w:lineRule="exact"/>
        <w:rPr>
          <w:sz w:val="20"/>
          <w:szCs w:val="20"/>
          <w:color w:val="auto"/>
        </w:rPr>
      </w:pPr>
    </w:p>
    <w:tbl>
      <w:tblPr>
        <w:tblLayout w:type="fixed"/>
        <w:tblInd w:w="6240" w:type="dxa"/>
        <w:tblCellMar>
          <w:top w:w="0" w:type="dxa"/>
          <w:left w:w="0" w:type="dxa"/>
          <w:bottom w:w="0" w:type="dxa"/>
          <w:right w:w="0" w:type="dxa"/>
        </w:tblCellMar>
      </w:tblPr>
      <w:tr>
        <w:trPr>
          <w:trHeight w:val="215"/>
        </w:trPr>
        <w:tc>
          <w:tcPr>
            <w:tcW w:w="394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400" w:type="dxa"/>
            <w:vAlign w:val="bottom"/>
          </w:tcPr>
          <w:p>
            <w:pPr>
              <w:ind w:left="140"/>
              <w:spacing w:after="0"/>
              <w:rPr>
                <w:sz w:val="20"/>
                <w:szCs w:val="20"/>
                <w:color w:val="auto"/>
              </w:rPr>
            </w:pPr>
            <w:r>
              <w:rPr>
                <w:rFonts w:ascii="Arial" w:cs="Arial" w:eastAsia="Arial" w:hAnsi="Arial"/>
                <w:sz w:val="16"/>
                <w:szCs w:val="16"/>
                <w:b w:val="1"/>
                <w:bCs w:val="1"/>
                <w:color w:val="auto"/>
                <w:w w:val="92"/>
              </w:rPr>
              <w:t>B-9</w:t>
            </w:r>
          </w:p>
        </w:tc>
      </w:tr>
    </w:tbl>
    <w:p>
      <w:pPr>
        <w:sectPr>
          <w:pgSz w:w="11900" w:h="16838" w:orient="portrait"/>
          <w:cols w:equalWidth="0" w:num="1">
            <w:col w:w="10580"/>
          </w:cols>
          <w:pgMar w:left="320" w:top="459" w:right="9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191260" cy="1454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191260" cy="145415"/>
                    </a:xfrm>
                    <a:prstGeom prst="rect">
                      <a:avLst/>
                    </a:prstGeom>
                    <a:noFill/>
                  </pic:spPr>
                </pic:pic>
              </a:graphicData>
            </a:graphic>
          </wp:anchor>
        </w:drawing>
      </w:r>
    </w:p>
    <w:p>
      <w:pPr>
        <w:spacing w:after="0" w:line="33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192" w:lineRule="exact"/>
        <w:rPr>
          <w:sz w:val="20"/>
          <w:szCs w:val="20"/>
          <w:color w:val="auto"/>
        </w:rPr>
      </w:pPr>
    </w:p>
    <w:p>
      <w:pPr>
        <w:ind w:left="120" w:right="20" w:hanging="4"/>
        <w:spacing w:after="0" w:line="251" w:lineRule="auto"/>
        <w:tabs>
          <w:tab w:leader="none" w:pos="30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the date the Plan is adopted by the Board and (ii) the date the stockholders of the Company approve the Plan. Options may be granted to Eligible Persons in such form and having such terms and conditions as the Committee shall deem appropriate;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Incentive Stock Options may be granted only to Eligible Persons who are employees of the Company or an Affiliate (as such definition is limited pursuant to Section 2(t) hereof) of the Company. The provisions of separate Options shall be set forth in separate Option Agreements, which agreements need not be identical.</w:t>
      </w:r>
    </w:p>
    <w:p>
      <w:pPr>
        <w:spacing w:after="0" w:line="186" w:lineRule="exact"/>
        <w:rPr>
          <w:sz w:val="20"/>
          <w:szCs w:val="20"/>
          <w:color w:val="auto"/>
        </w:rPr>
      </w:pPr>
    </w:p>
    <w:p>
      <w:pPr>
        <w:ind w:left="120" w:right="340" w:hanging="4"/>
        <w:spacing w:after="0" w:line="281" w:lineRule="auto"/>
        <w:tabs>
          <w:tab w:leader="none" w:pos="498"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xml:space="preserve">. The term of each Option shall be set by the Committee at the time of grant;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Option granted hereunder shall be exercisable after, and each Option shall expire, ten (10) years from the date it was granted.</w:t>
      </w:r>
    </w:p>
    <w:p>
      <w:pPr>
        <w:spacing w:after="0" w:line="179" w:lineRule="exact"/>
        <w:rPr>
          <w:rFonts w:ascii="Arial" w:cs="Arial" w:eastAsia="Arial" w:hAnsi="Arial"/>
          <w:sz w:val="16"/>
          <w:szCs w:val="16"/>
          <w:color w:val="auto"/>
        </w:rPr>
      </w:pPr>
    </w:p>
    <w:p>
      <w:pPr>
        <w:ind w:left="120" w:right="80" w:hanging="4"/>
        <w:spacing w:after="0" w:line="250" w:lineRule="auto"/>
        <w:tabs>
          <w:tab w:leader="none" w:pos="489"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The exercise price per share of Stock for each Option shall be set by the Committee at the time of grant and shall not be less than the Fair Market Value on the date of grant, subject to Section 5(g) hereof in the case of any Incentive Stock Option. Notwithstanding the foregoing, in the case of an Option that is a Substitute Award, the exercise price per share of Stock for such Option may be less than the Fair Market Value on the date of grant; </w:t>
      </w:r>
      <w:r>
        <w:rPr>
          <w:rFonts w:ascii="Arial" w:cs="Arial" w:eastAsia="Arial" w:hAnsi="Arial"/>
          <w:sz w:val="16"/>
          <w:szCs w:val="16"/>
          <w:i w:val="1"/>
          <w:iCs w:val="1"/>
          <w:color w:val="auto"/>
        </w:rPr>
        <w:t>provided</w:t>
      </w:r>
      <w:r>
        <w:rPr>
          <w:rFonts w:ascii="Arial" w:cs="Arial" w:eastAsia="Arial" w:hAnsi="Arial"/>
          <w:sz w:val="16"/>
          <w:szCs w:val="16"/>
          <w:color w:val="auto"/>
        </w:rPr>
        <w:t>, that such exercise price is determined in a manner consistent with the provisions of Section 409A of the Code and, if applicable, Section 424(a) of the Code.</w:t>
      </w:r>
    </w:p>
    <w:p>
      <w:pPr>
        <w:spacing w:after="0" w:line="202" w:lineRule="exact"/>
        <w:rPr>
          <w:rFonts w:ascii="Arial" w:cs="Arial" w:eastAsia="Arial" w:hAnsi="Arial"/>
          <w:sz w:val="16"/>
          <w:szCs w:val="16"/>
          <w:color w:val="auto"/>
        </w:rPr>
      </w:pPr>
    </w:p>
    <w:p>
      <w:pPr>
        <w:ind w:left="120" w:hanging="4"/>
        <w:spacing w:after="0" w:line="247" w:lineRule="auto"/>
        <w:tabs>
          <w:tab w:leader="none" w:pos="498"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Payment for Stock</w:t>
      </w:r>
      <w:r>
        <w:rPr>
          <w:rFonts w:ascii="Arial" w:cs="Arial" w:eastAsia="Arial" w:hAnsi="Arial"/>
          <w:sz w:val="16"/>
          <w:szCs w:val="16"/>
          <w:color w:val="auto"/>
        </w:rPr>
        <w:t>. Payment for shares of Stock acquired pursuant to an Option granted hereunder shall be made in full upon exercise of the Option in a manner approved by the Committee, which may include any of the following payment methods: (1) in immediately available funds in U.S. dollars, or by certified or bank cashier’s check, (2) by delivery of shares of Stock having a value equal to the exercise price, (3) by a broker-assisted cashless exercise in accordance with procedures approved by the Committee, whereby payment of the Option exercise price or tax withholding obligations may be satisfied, in whole or in part, with shares of Stock subject to the Option by delivery of an irrevocable direction to a securities broker (on a form prescribed by the Committee) to sell shares of Stock and to deliver all or part of the sale proceeds to the Company in payment of the aggregate exercise price and, if applicable, the amount necessary to satisfy the Company’s withholding obligations, or (4) by any other means approved by the Committee (including, by delivery of a notice of “net exercise” to the Company, pursuant to which the Participant shall receive the number of shares of Stock underlying the Option so exercised reduced by the number of shares of Stock equal to the aggregate exercise price of the Option divided by the Fair Market Value on the date of exercise). Notwithstanding anything herein to the contrary, if the Committee determines that any form of payment available hereunder would be in violation of Section 402 of the Sarbanes-Oxley Act of 2002, such form of payment shall not be available.</w:t>
      </w:r>
    </w:p>
    <w:p>
      <w:pPr>
        <w:spacing w:after="0" w:line="212" w:lineRule="exact"/>
        <w:rPr>
          <w:rFonts w:ascii="Arial" w:cs="Arial" w:eastAsia="Arial" w:hAnsi="Arial"/>
          <w:sz w:val="16"/>
          <w:szCs w:val="16"/>
          <w:color w:val="auto"/>
        </w:rPr>
      </w:pPr>
    </w:p>
    <w:p>
      <w:pPr>
        <w:ind w:left="120" w:right="340" w:hanging="4"/>
        <w:spacing w:after="0" w:line="249" w:lineRule="auto"/>
        <w:tabs>
          <w:tab w:leader="none" w:pos="498"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Options shall vest and become exercisable in such manner, on such date or dates, or upon the achievement of performance or other conditions, in each case as may be determined by the Committee and set forth in an Option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 such vesting dates, the Committee may in its sole discretion accelerate the vesting of any Option at any time and for any reason. Unless otherwise specifically determined by the Committee, the vesting of an Option shall occur only while the Participant is employed by or rendering services to the Service Recipient, and all vesting shall cease upon a Participant’s Termination for any reason. If an Option is exercisable in installments, such installments or portions thereof that become exercisable shall remain exercisable until the Option expires, is canceled or otherwise terminates.</w:t>
      </w:r>
    </w:p>
    <w:p>
      <w:pPr>
        <w:spacing w:after="0" w:line="204" w:lineRule="exact"/>
        <w:rPr>
          <w:rFonts w:ascii="Arial" w:cs="Arial" w:eastAsia="Arial" w:hAnsi="Arial"/>
          <w:sz w:val="16"/>
          <w:szCs w:val="16"/>
          <w:color w:val="auto"/>
        </w:rPr>
      </w:pPr>
    </w:p>
    <w:p>
      <w:pPr>
        <w:ind w:left="440" w:hanging="324"/>
        <w:spacing w:after="0"/>
        <w:tabs>
          <w:tab w:leader="none" w:pos="44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Except as provided by the Committee in an Option Agreement, Participant Agreement or otherwise:</w:t>
      </w:r>
    </w:p>
    <w:p>
      <w:pPr>
        <w:spacing w:after="0" w:line="113" w:lineRule="exact"/>
        <w:rPr>
          <w:rFonts w:ascii="Arial" w:cs="Arial" w:eastAsia="Arial" w:hAnsi="Arial"/>
          <w:sz w:val="16"/>
          <w:szCs w:val="16"/>
          <w:color w:val="auto"/>
        </w:rPr>
      </w:pPr>
    </w:p>
    <w:p>
      <w:pPr>
        <w:ind w:left="560" w:right="100" w:hanging="4"/>
        <w:spacing w:after="0" w:line="249" w:lineRule="auto"/>
        <w:tabs>
          <w:tab w:leader="none" w:pos="938"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In the event of a Participant’s Termination prior to the applicable Expiration Date for any reason other than (i) by the Service Recipient for Cause, (ii) a voluntary Termination by the Participant (including a Participant’s Retirement) after the occurrence of an event that would be grounds for a Termination for Cause, or (iii) by reason of the Participant’s Retirement, death or Disability, (A) all vesting with respect to such Participant’s Options outstanding shall cease, (B) all of such Participant’s unvested Options outstanding shall terminate and be forfeited for no consideration as of the date of such Termination, and (C) all of such Participant’s vested Options outstanding shall remain exercisable by the Participant during the period commencing on the Participant’s Termination date and ending on the earlier of (x)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85725</wp:posOffset>
            </wp:positionV>
            <wp:extent cx="291465" cy="2743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19"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6"/>
          <w:szCs w:val="16"/>
          <w:b w:val="1"/>
          <w:bCs w:val="1"/>
          <w:color w:val="auto"/>
        </w:rPr>
        <w:t>B-10</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205740</wp:posOffset>
            </wp:positionV>
            <wp:extent cx="1251585" cy="1371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51585" cy="137160"/>
                    </a:xfrm>
                    <a:prstGeom prst="rect">
                      <a:avLst/>
                    </a:prstGeom>
                    <a:noFill/>
                  </pic:spPr>
                </pic:pic>
              </a:graphicData>
            </a:graphic>
          </wp:anchor>
        </w:drawing>
      </w:r>
    </w:p>
    <w:p>
      <w:pPr>
        <w:spacing w:after="0" w:line="331"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1060" w:right="20"/>
        <w:spacing w:after="0" w:line="260" w:lineRule="auto"/>
        <w:rPr>
          <w:sz w:val="20"/>
          <w:szCs w:val="20"/>
          <w:color w:val="auto"/>
        </w:rPr>
      </w:pPr>
      <w:r>
        <w:rPr>
          <w:rFonts w:ascii="Arial" w:cs="Arial" w:eastAsia="Arial" w:hAnsi="Arial"/>
          <w:sz w:val="16"/>
          <w:szCs w:val="16"/>
          <w:color w:val="auto"/>
        </w:rPr>
        <w:t>Expiration Date and (y) the date that is ninety (90) days after the date of such Termination, and shall terminate and be forfeited for no consideration upon such date unless previously exercised.</w:t>
      </w:r>
    </w:p>
    <w:p>
      <w:pPr>
        <w:spacing w:after="0" w:line="87" w:lineRule="exact"/>
        <w:rPr>
          <w:sz w:val="20"/>
          <w:szCs w:val="20"/>
          <w:color w:val="auto"/>
        </w:rPr>
      </w:pPr>
    </w:p>
    <w:p>
      <w:pPr>
        <w:ind w:left="1060" w:right="40" w:firstLine="3"/>
        <w:spacing w:after="0" w:line="246" w:lineRule="auto"/>
        <w:tabs>
          <w:tab w:leader="none" w:pos="1438"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In the event of a Participant’s Termination prior to the applicable Expiration Date by reason of such Participant’s Retirement, death or Disability, (i) all vesting with respect to such Participant’s Options outstanding shall cease, (ii) all of such Participant’s unvested Options outstanding shall terminate and be forfeited for no consideration as of the date of such Termination, and (iii) all of such Participant’s vested Options outstanding shall remain exercisable by the Participant (or, in the event of a Participant’s death, by the Person or Persons to whom such Participant’s rights under the Options pass by will or by the applicable laws of descent and distribution) during the period commencing on the Participant’s Termination date and ending on the earlier of (A) the applicable Expiration Date and (B) the date that is twelve (12) months after the date of such Termination, and shall terminate and be forfeited for no consideration upon such date unless previously exercised. Notwithstanding anything herein to the contrary, if a Participant dies within any post-Termination exercise period described in this Section 5(f), all Options that were held by such Participant that were vested and exercisable at the time of the Participant’s Termination shall thereafter be exercisable by the Person or Persons to whom such Participant’s rights under the Options pass by will or by the applicable laws of descent and distribution until the earlier of</w:t>
      </w:r>
    </w:p>
    <w:p>
      <w:pPr>
        <w:spacing w:after="0" w:line="4"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(x) the applicable Expiration Date and (y) the date that is twelve (12) months after the date of death.</w:t>
      </w:r>
    </w:p>
    <w:p>
      <w:pPr>
        <w:spacing w:after="0" w:line="113" w:lineRule="exact"/>
        <w:rPr>
          <w:rFonts w:ascii="Arial" w:cs="Arial" w:eastAsia="Arial" w:hAnsi="Arial"/>
          <w:sz w:val="16"/>
          <w:szCs w:val="16"/>
          <w:color w:val="auto"/>
        </w:rPr>
      </w:pPr>
    </w:p>
    <w:p>
      <w:pPr>
        <w:ind w:left="1060" w:right="40" w:firstLine="3"/>
        <w:spacing w:after="0" w:line="251" w:lineRule="auto"/>
        <w:tabs>
          <w:tab w:leader="none" w:pos="1438"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In the event of a Participant’s Termination prior to the applicable Expiration Date by reason of (i) a Termination by the Service Recipient for Cause, or (ii) a voluntary Termination by the Participant (including a Participant’s Retirement) after the occurrence of an event that would be grounds for a Termination for Cause, all of such Participant’s Options outstanding (whether or not vested) shall immediately terminate and be forfeited for no consideration as of the date of such Termination.</w:t>
      </w:r>
    </w:p>
    <w:p>
      <w:pPr>
        <w:spacing w:after="0" w:line="202" w:lineRule="exact"/>
        <w:rPr>
          <w:rFonts w:ascii="Arial" w:cs="Arial" w:eastAsia="Arial" w:hAnsi="Arial"/>
          <w:sz w:val="16"/>
          <w:szCs w:val="16"/>
          <w:color w:val="auto"/>
        </w:rPr>
      </w:pPr>
    </w:p>
    <w:p>
      <w:pPr>
        <w:ind w:left="1040" w:hanging="371"/>
        <w:spacing w:after="0"/>
        <w:tabs>
          <w:tab w:leader="none" w:pos="104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Special Provisions Applicable to Incentive Stock Options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060" w:right="40" w:firstLine="3"/>
        <w:spacing w:after="0" w:line="250" w:lineRule="auto"/>
        <w:tabs>
          <w:tab w:leader="none" w:pos="143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No Incentive Stock Option may be granted to any Eligible Person who, at the time the Option is granted, owns directly, or indirectly within the meaning of Section 424(d) of the Code, stock possessing more than ten percent (10%) of the total combined voting power of all classes of stock of the Company or of any parent or subsidiary thereof, unless such Incentive Stock Option (i) has an exercise price of at least one hundred ten percent (110%) of the Fair Market Value on the date of the grant of such Option and (ii) cannot be exercised more than five (5) years after the date it is granted.</w:t>
      </w:r>
    </w:p>
    <w:p>
      <w:pPr>
        <w:spacing w:after="0" w:line="94" w:lineRule="exact"/>
        <w:rPr>
          <w:rFonts w:ascii="Arial" w:cs="Arial" w:eastAsia="Arial" w:hAnsi="Arial"/>
          <w:sz w:val="16"/>
          <w:szCs w:val="16"/>
          <w:color w:val="auto"/>
        </w:rPr>
      </w:pPr>
    </w:p>
    <w:p>
      <w:pPr>
        <w:ind w:left="1060" w:right="500" w:firstLine="3"/>
        <w:spacing w:after="0" w:line="253" w:lineRule="auto"/>
        <w:tabs>
          <w:tab w:leader="none" w:pos="1435"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To the extent that the aggregate Fair Market Value (determined as of the date of grant) of Stock for which Incentive Stock Options are exercisable for the first time by any Participant during any calendar year (under all plans of the Company and its Affiliates) exceeds $100,000, such excess Incentive Stock Options shall be treated as Nonqualified Stock Options.</w:t>
      </w:r>
    </w:p>
    <w:p>
      <w:pPr>
        <w:spacing w:after="0" w:line="93" w:lineRule="exact"/>
        <w:rPr>
          <w:rFonts w:ascii="Arial" w:cs="Arial" w:eastAsia="Arial" w:hAnsi="Arial"/>
          <w:sz w:val="16"/>
          <w:szCs w:val="16"/>
          <w:color w:val="auto"/>
        </w:rPr>
      </w:pPr>
    </w:p>
    <w:p>
      <w:pPr>
        <w:ind w:left="1060" w:right="360" w:firstLine="3"/>
        <w:spacing w:after="0" w:line="260" w:lineRule="auto"/>
        <w:tabs>
          <w:tab w:leader="none" w:pos="143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Each Participant who receives an Incentive Stock Option must agree to notify the Company in writing immediately after the Participant makes a Disqualifying Disposition of any Stock acquired pursuant to the exercise of an Incentive Stock Option.</w:t>
      </w:r>
    </w:p>
    <w:p>
      <w:pPr>
        <w:spacing w:after="0" w:line="175" w:lineRule="exact"/>
        <w:rPr>
          <w:sz w:val="20"/>
          <w:szCs w:val="20"/>
          <w:color w:val="auto"/>
        </w:rPr>
      </w:pPr>
    </w:p>
    <w:p>
      <w:pPr>
        <w:ind w:left="980" w:hanging="311"/>
        <w:spacing w:after="0"/>
        <w:tabs>
          <w:tab w:leader="none" w:pos="980"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Restricted Stock.</w:t>
      </w:r>
    </w:p>
    <w:p>
      <w:pPr>
        <w:spacing w:after="0" w:line="241" w:lineRule="exact"/>
        <w:rPr>
          <w:sz w:val="20"/>
          <w:szCs w:val="20"/>
          <w:color w:val="auto"/>
        </w:rPr>
      </w:pPr>
    </w:p>
    <w:p>
      <w:pPr>
        <w:ind w:left="660" w:right="20" w:firstLine="9"/>
        <w:spacing w:after="0" w:line="250" w:lineRule="auto"/>
        <w:tabs>
          <w:tab w:leader="none" w:pos="1035"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Restricted Stock may be granted to Eligible Persons in such form and having such terms and conditions as the Committee shall deem appropriate. The provisions of separate Awards of Restricted Stock shall be set forth in separate Restricted Stock Agreements, which agreements need not be identical. Subject to the restrictions set forth in Section 6(b) hereof, and except as otherwise set forth in the applicable Restricted Stock Agreement, the Participant shall generally have the rights and privileges of a stockholder as to such Restricted Stock, including the right to vote such Restricted Stock.</w:t>
      </w:r>
    </w:p>
    <w:p>
      <w:pPr>
        <w:spacing w:after="0" w:line="202" w:lineRule="exact"/>
        <w:rPr>
          <w:rFonts w:ascii="Arial" w:cs="Arial" w:eastAsia="Arial" w:hAnsi="Arial"/>
          <w:sz w:val="16"/>
          <w:szCs w:val="16"/>
          <w:color w:val="auto"/>
        </w:rPr>
      </w:pPr>
    </w:p>
    <w:p>
      <w:pPr>
        <w:ind w:left="660" w:right="100" w:firstLine="9"/>
        <w:spacing w:after="0" w:line="251" w:lineRule="auto"/>
        <w:tabs>
          <w:tab w:leader="none" w:pos="1035"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Vesting and Restrictions on Transfer</w:t>
      </w:r>
      <w:r>
        <w:rPr>
          <w:rFonts w:ascii="Arial" w:cs="Arial" w:eastAsia="Arial" w:hAnsi="Arial"/>
          <w:sz w:val="16"/>
          <w:szCs w:val="16"/>
          <w:color w:val="auto"/>
        </w:rPr>
        <w:t xml:space="preserve">. Restricted Stock shall vest in such manner, on such date or dates, or upon the achievement of performance or other conditions, in each case as may be determined by the Committee and set forth in a Restricted Stock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 such vesting dates, the Committee may in its sole discretion accelerate the vesting of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273050</wp:posOffset>
            </wp:positionV>
            <wp:extent cx="291465" cy="2743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6160" w:type="dxa"/>
        <w:tblCellMar>
          <w:top w:w="0" w:type="dxa"/>
          <w:left w:w="0" w:type="dxa"/>
          <w:bottom w:w="0" w:type="dxa"/>
          <w:right w:w="0" w:type="dxa"/>
        </w:tblCellMar>
      </w:tblPr>
      <w:tr>
        <w:trPr>
          <w:trHeight w:val="215"/>
        </w:trPr>
        <w:tc>
          <w:tcPr>
            <w:tcW w:w="392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500" w:type="dxa"/>
            <w:vAlign w:val="bottom"/>
          </w:tcPr>
          <w:p>
            <w:pPr>
              <w:ind w:left="140"/>
              <w:spacing w:after="0"/>
              <w:rPr>
                <w:sz w:val="20"/>
                <w:szCs w:val="20"/>
                <w:color w:val="auto"/>
              </w:rPr>
            </w:pPr>
            <w:r>
              <w:rPr>
                <w:rFonts w:ascii="Arial" w:cs="Arial" w:eastAsia="Arial" w:hAnsi="Arial"/>
                <w:sz w:val="16"/>
                <w:szCs w:val="16"/>
                <w:b w:val="1"/>
                <w:bCs w:val="1"/>
                <w:color w:val="auto"/>
                <w:w w:val="97"/>
              </w:rPr>
              <w:t>B-11</w:t>
            </w:r>
          </w:p>
        </w:tc>
      </w:tr>
    </w:tbl>
    <w:p>
      <w:pPr>
        <w:sectPr>
          <w:pgSz w:w="11900" w:h="16838" w:orient="portrait"/>
          <w:cols w:equalWidth="0" w:num="1">
            <w:col w:w="10580"/>
          </w:cols>
          <w:pgMar w:left="320" w:top="459" w:right="9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191260" cy="1454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191260" cy="145415"/>
                    </a:xfrm>
                    <a:prstGeom prst="rect">
                      <a:avLst/>
                    </a:prstGeom>
                    <a:noFill/>
                  </pic:spPr>
                </pic:pic>
              </a:graphicData>
            </a:graphic>
          </wp:anchor>
        </w:drawing>
      </w:r>
    </w:p>
    <w:p>
      <w:pPr>
        <w:spacing w:after="0" w:line="33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192"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at any time and for any reason. Unless otherwise specifically determined by the Committee, the vesting of an Award of Restricted Stock shall occur only while the Participant is employed by or rendering services to the Service Recipient, and all vesting shall cease upon a Participant’s Termination for any reason. In addition to any other restrictions set forth in a Participant’s Restricted Stock Agreement, the Participant shall not be permitted to sell, transfer, pledge, or otherwise encumber the Restricted Stock prior to the time the Restricted Stock has vested pursuant to the terms of the Restricted Stock Agreement.</w:t>
      </w:r>
    </w:p>
    <w:p>
      <w:pPr>
        <w:spacing w:after="0" w:line="203" w:lineRule="exact"/>
        <w:rPr>
          <w:sz w:val="20"/>
          <w:szCs w:val="20"/>
          <w:color w:val="auto"/>
        </w:rPr>
      </w:pPr>
    </w:p>
    <w:p>
      <w:pPr>
        <w:ind w:left="120" w:right="60" w:hanging="4"/>
        <w:spacing w:after="0" w:line="249" w:lineRule="auto"/>
        <w:tabs>
          <w:tab w:leader="none" w:pos="489"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xml:space="preserve">. Except as provided by the Committee in a Restricted Stock Agreement, Participant Agreement or otherwise, in the event of a Participant’s Termination for any reason prior to the time that such Participant’s Restricted Stock has vested, (1) all vesting with respect to such Participant’s Restricted Stock outstanding shall cease, and (2) as soon as practicable following such Termination, the Company shall repurchase from the Participant, and the Participant shall sell, all of such Participant’s unvested shares of Restricted Stock at a purchase price equal to the original purchase price paid for the Restricted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original purchase price paid for the Restricted Stock is equal to zero dollars ($0), such unvested shares of Restricted Stock shall be forfeited to the Company by the Participant for no consideration as of the date of such Termination.</w:t>
      </w:r>
    </w:p>
    <w:p>
      <w:pPr>
        <w:spacing w:after="0" w:line="185" w:lineRule="exact"/>
        <w:rPr>
          <w:sz w:val="20"/>
          <w:szCs w:val="20"/>
          <w:color w:val="auto"/>
        </w:rPr>
      </w:pPr>
    </w:p>
    <w:p>
      <w:pPr>
        <w:ind w:left="440" w:hanging="324"/>
        <w:spacing w:after="0"/>
        <w:tabs>
          <w:tab w:leader="none" w:pos="44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Restricted Stock Units.</w:t>
      </w:r>
    </w:p>
    <w:p>
      <w:pPr>
        <w:spacing w:after="0" w:line="241" w:lineRule="exact"/>
        <w:rPr>
          <w:sz w:val="20"/>
          <w:szCs w:val="20"/>
          <w:color w:val="auto"/>
        </w:rPr>
      </w:pPr>
    </w:p>
    <w:p>
      <w:pPr>
        <w:jc w:val="both"/>
        <w:ind w:left="120" w:right="380" w:hanging="4"/>
        <w:spacing w:after="0" w:line="253" w:lineRule="auto"/>
        <w:tabs>
          <w:tab w:leader="none" w:pos="498"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Restricted Stock Units may be granted to Eligible Persons in such form and having such terms and conditions as the Committee shall deem appropriate. The provisions of separate Restricted Stock Units shall be set forth in separate RSU Agreements, which agreements need not be identical.</w:t>
      </w:r>
    </w:p>
    <w:p>
      <w:pPr>
        <w:spacing w:after="0" w:line="201" w:lineRule="exact"/>
        <w:rPr>
          <w:rFonts w:ascii="Arial" w:cs="Arial" w:eastAsia="Arial" w:hAnsi="Arial"/>
          <w:sz w:val="16"/>
          <w:szCs w:val="16"/>
          <w:color w:val="auto"/>
        </w:rPr>
      </w:pPr>
    </w:p>
    <w:p>
      <w:pPr>
        <w:ind w:left="120" w:right="40" w:hanging="4"/>
        <w:spacing w:after="0" w:line="250" w:lineRule="auto"/>
        <w:tabs>
          <w:tab w:leader="none" w:pos="498"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Restricted Stock Units shall vest in such manner, on such date or dates, or upon the achievement of performance or other conditions, in each case as may be determined by the Committee and set forth in an RSU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 such vesting dates, the Committee may in its sole discretion accelerate the vesting of any Restricted Stock Unit at any time and for any reason. Unless otherwise specifically determined by the Committee, the vesting of a Restricted Stock Unit shall occur only while the Participant is employed by or rendering services to the Service Recipient, and all vesting shall cease upon a Participant’s Termination for any reason.</w:t>
      </w:r>
    </w:p>
    <w:p>
      <w:pPr>
        <w:spacing w:after="0" w:line="202" w:lineRule="exact"/>
        <w:rPr>
          <w:rFonts w:ascii="Arial" w:cs="Arial" w:eastAsia="Arial" w:hAnsi="Arial"/>
          <w:sz w:val="16"/>
          <w:szCs w:val="16"/>
          <w:color w:val="auto"/>
        </w:rPr>
      </w:pPr>
    </w:p>
    <w:p>
      <w:pPr>
        <w:ind w:left="120" w:right="100" w:hanging="4"/>
        <w:spacing w:after="0" w:line="260" w:lineRule="auto"/>
        <w:tabs>
          <w:tab w:leader="none" w:pos="489"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Restricted Stock Units shall be settled in Stock, cash, or property, as determined by the Committee, in its sole discretion, on the date or dates determined by the Committee and set forth in an RSU Agreement.</w:t>
      </w:r>
    </w:p>
    <w:p>
      <w:pPr>
        <w:spacing w:after="0" w:line="195" w:lineRule="exact"/>
        <w:rPr>
          <w:rFonts w:ascii="Arial" w:cs="Arial" w:eastAsia="Arial" w:hAnsi="Arial"/>
          <w:sz w:val="16"/>
          <w:szCs w:val="16"/>
          <w:color w:val="auto"/>
        </w:rPr>
      </w:pPr>
    </w:p>
    <w:p>
      <w:pPr>
        <w:ind w:left="120" w:hanging="4"/>
        <w:spacing w:after="0" w:line="250" w:lineRule="auto"/>
        <w:tabs>
          <w:tab w:leader="none" w:pos="498"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Except as provided by the Committee in an RSU Agreement, Participant Agreement or otherwise, in the event of a Participant’s Termination for any reason prior to the time that such Participant’s Restricted Stock Units have been settled, (1) all vesting with respect to such Participant’s Restricted Stock Units outstanding shall cease, (2) all of such Participant’s unvested Restricted Stock Units outstanding shall be forfeited for no consideration as of the date of such Termination, and (3) any shares remaining undelivered with respect to vested Restricted Stock Units then held by such Participant shall be delivered on the delivery date or dates specified in the RSU Agreement.</w:t>
      </w:r>
    </w:p>
    <w:p>
      <w:pPr>
        <w:spacing w:after="0" w:line="183" w:lineRule="exact"/>
        <w:rPr>
          <w:sz w:val="20"/>
          <w:szCs w:val="20"/>
          <w:color w:val="auto"/>
        </w:rPr>
      </w:pPr>
    </w:p>
    <w:p>
      <w:pPr>
        <w:ind w:left="440" w:hanging="324"/>
        <w:spacing w:after="0"/>
        <w:tabs>
          <w:tab w:leader="none" w:pos="440"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Stock Appreciation Rights.</w:t>
      </w:r>
    </w:p>
    <w:p>
      <w:pPr>
        <w:spacing w:after="0" w:line="241" w:lineRule="exact"/>
        <w:rPr>
          <w:sz w:val="20"/>
          <w:szCs w:val="20"/>
          <w:color w:val="auto"/>
        </w:rPr>
      </w:pPr>
    </w:p>
    <w:p>
      <w:pPr>
        <w:jc w:val="both"/>
        <w:ind w:left="120" w:right="140" w:hanging="4"/>
        <w:spacing w:after="0" w:line="253" w:lineRule="auto"/>
        <w:tabs>
          <w:tab w:leader="none" w:pos="498"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Stock Appreciation Rights may be granted to Eligible Persons in such form and having such terms and conditions as the Committee shall deem appropriate. The provisions of separate Stock Appreciation Rights shall be set forth in separate SAR Agreements, which agreements need not be identical.</w:t>
      </w:r>
    </w:p>
    <w:p>
      <w:pPr>
        <w:spacing w:after="0" w:line="185" w:lineRule="exact"/>
        <w:rPr>
          <w:rFonts w:ascii="Arial" w:cs="Arial" w:eastAsia="Arial" w:hAnsi="Arial"/>
          <w:sz w:val="16"/>
          <w:szCs w:val="16"/>
          <w:color w:val="auto"/>
        </w:rPr>
      </w:pPr>
    </w:p>
    <w:p>
      <w:pPr>
        <w:ind w:left="120" w:right="140" w:hanging="4"/>
        <w:spacing w:after="0" w:line="281" w:lineRule="auto"/>
        <w:tabs>
          <w:tab w:leader="none" w:pos="498"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xml:space="preserve">. The term of each Stock Appreciation Right shall be set by the Committee at the time of grant;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Stock Appreciation Right granted hereunder shall be exercisable after, and each Stock Appreciation Right shall expire, ten (10) years from the date it was granted.</w:t>
      </w:r>
    </w:p>
    <w:p>
      <w:pPr>
        <w:spacing w:after="0" w:line="179" w:lineRule="exact"/>
        <w:rPr>
          <w:rFonts w:ascii="Arial" w:cs="Arial" w:eastAsia="Arial" w:hAnsi="Arial"/>
          <w:sz w:val="16"/>
          <w:szCs w:val="16"/>
          <w:color w:val="auto"/>
        </w:rPr>
      </w:pPr>
    </w:p>
    <w:p>
      <w:pPr>
        <w:ind w:left="120" w:right="100" w:hanging="4"/>
        <w:spacing w:after="0" w:line="260" w:lineRule="auto"/>
        <w:tabs>
          <w:tab w:leader="none" w:pos="489"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Base Price</w:t>
      </w:r>
      <w:r>
        <w:rPr>
          <w:rFonts w:ascii="Arial" w:cs="Arial" w:eastAsia="Arial" w:hAnsi="Arial"/>
          <w:sz w:val="16"/>
          <w:szCs w:val="16"/>
          <w:color w:val="auto"/>
        </w:rPr>
        <w:t>. The base price per share of Stock for each Stock Appreciation Right shall be set by the Committee at the time of grant and shall not be less than the Fair Market Value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80010</wp:posOffset>
            </wp:positionV>
            <wp:extent cx="291465" cy="2743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9"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6"/>
          <w:szCs w:val="16"/>
          <w:b w:val="1"/>
          <w:bCs w:val="1"/>
          <w:color w:val="auto"/>
        </w:rPr>
        <w:t>B-12</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205740</wp:posOffset>
            </wp:positionV>
            <wp:extent cx="1251585" cy="1371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51585" cy="137160"/>
                    </a:xfrm>
                    <a:prstGeom prst="rect">
                      <a:avLst/>
                    </a:prstGeom>
                    <a:noFill/>
                  </pic:spPr>
                </pic:pic>
              </a:graphicData>
            </a:graphic>
          </wp:anchor>
        </w:drawing>
      </w:r>
    </w:p>
    <w:p>
      <w:pPr>
        <w:spacing w:after="0" w:line="331"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660" w:right="20"/>
        <w:spacing w:after="0" w:line="253" w:lineRule="auto"/>
        <w:rPr>
          <w:sz w:val="20"/>
          <w:szCs w:val="20"/>
          <w:color w:val="auto"/>
        </w:rPr>
      </w:pPr>
      <w:r>
        <w:rPr>
          <w:rFonts w:ascii="Arial" w:cs="Arial" w:eastAsia="Arial" w:hAnsi="Arial"/>
          <w:sz w:val="16"/>
          <w:szCs w:val="16"/>
          <w:color w:val="auto"/>
        </w:rPr>
        <w:t xml:space="preserve">Notwithstanding the foregoing, in the case of a Stock Appreciation Right that is a Substitute Award, the base price per share of Stock for such Stock Appreciation Right may be less than the Fair Market Value on the date of grant; </w:t>
      </w:r>
      <w:r>
        <w:rPr>
          <w:rFonts w:ascii="Arial" w:cs="Arial" w:eastAsia="Arial" w:hAnsi="Arial"/>
          <w:sz w:val="16"/>
          <w:szCs w:val="16"/>
          <w:i w:val="1"/>
          <w:iCs w:val="1"/>
          <w:color w:val="auto"/>
        </w:rPr>
        <w:t>provided</w:t>
      </w:r>
      <w:r>
        <w:rPr>
          <w:rFonts w:ascii="Arial" w:cs="Arial" w:eastAsia="Arial" w:hAnsi="Arial"/>
          <w:sz w:val="16"/>
          <w:szCs w:val="16"/>
          <w:color w:val="auto"/>
        </w:rPr>
        <w:t>, that such base price is determined in a manner consistent with the provisions of Section 409A of the Code.</w:t>
      </w:r>
    </w:p>
    <w:p>
      <w:pPr>
        <w:spacing w:after="0" w:line="201" w:lineRule="exact"/>
        <w:rPr>
          <w:sz w:val="20"/>
          <w:szCs w:val="20"/>
          <w:color w:val="auto"/>
        </w:rPr>
      </w:pPr>
    </w:p>
    <w:p>
      <w:pPr>
        <w:ind w:left="660" w:firstLine="9"/>
        <w:spacing w:after="0" w:line="248" w:lineRule="auto"/>
        <w:tabs>
          <w:tab w:leader="none" w:pos="103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Stock Appreciation Rights shall vest and become exercisable in such manner, on such date or dates, or upon the achievement of performance or other conditions, in each case as may be determined by the Committee and set forth in a SAR Agreement;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notwithstanding any such vesting dates, the Committee may in its sole discretion accelerate the vesting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 at any time and for any reason. Unless otherwise specifically determined by the Committee, the vesting of a Stock Appreciation Right shall occur only while the Participant is employed by or rendering services to the Service Recipient, and all vesting shall cease upon a Participant’s Termination for any reason. If a Stock Appreciation Right is exercisable in installments, such installments or portions thereof that become exercisable shall remain exercisable until the Stock Appreciation Right expires, is canceled or otherwise terminates.</w:t>
      </w:r>
    </w:p>
    <w:p>
      <w:pPr>
        <w:spacing w:after="0" w:line="207" w:lineRule="exact"/>
        <w:rPr>
          <w:rFonts w:ascii="Arial" w:cs="Arial" w:eastAsia="Arial" w:hAnsi="Arial"/>
          <w:sz w:val="16"/>
          <w:szCs w:val="16"/>
          <w:color w:val="auto"/>
        </w:rPr>
      </w:pPr>
    </w:p>
    <w:p>
      <w:pPr>
        <w:ind w:left="660" w:right="60" w:firstLine="9"/>
        <w:spacing w:after="0" w:line="248" w:lineRule="auto"/>
        <w:tabs>
          <w:tab w:leader="none" w:pos="103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Payment upon exercise of a Stock Appreciation Right may be made in cash, Stock, or property as specified in the SAR Agreement or determined by the Committee, in each case having a value in respect of each share of Stock underlying the portion of the Stock Appreciation Right so exercised, equal to the difference between the base price of such Stock Appreciation Right and the Fair Market Value of one (1) share of Stock on the exercise date. For purposes of clarity, each share of Stock to be issued in settlement of a Stock Appreciation Right is deemed to have a value equal to the Fair Market Value of one (1) share of Stock on the exercise date. In no event shall fractional shares be issuable upon the exercise of a Stock Appreciation Right, and in the event that fractional shares would otherwise be issuable, the number of shares issuable will be rounded down to the next lower whole number of shares, and the Participant will be entitled to receive a cash payment equal to the value of such fractional share.</w:t>
      </w:r>
    </w:p>
    <w:p>
      <w:pPr>
        <w:spacing w:after="0" w:line="207" w:lineRule="exact"/>
        <w:rPr>
          <w:rFonts w:ascii="Arial" w:cs="Arial" w:eastAsia="Arial" w:hAnsi="Arial"/>
          <w:sz w:val="16"/>
          <w:szCs w:val="16"/>
          <w:color w:val="auto"/>
        </w:rPr>
      </w:pPr>
    </w:p>
    <w:p>
      <w:pPr>
        <w:ind w:left="660" w:right="660" w:firstLine="9"/>
        <w:spacing w:after="0" w:line="260" w:lineRule="auto"/>
        <w:tabs>
          <w:tab w:leader="none" w:pos="99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Except as provided by the Committee in a SAR Agreement, Participant Agreement or otherwise:</w:t>
      </w:r>
    </w:p>
    <w:p>
      <w:pPr>
        <w:spacing w:after="0" w:line="87" w:lineRule="exact"/>
        <w:rPr>
          <w:rFonts w:ascii="Arial" w:cs="Arial" w:eastAsia="Arial" w:hAnsi="Arial"/>
          <w:sz w:val="16"/>
          <w:szCs w:val="16"/>
          <w:color w:val="auto"/>
        </w:rPr>
      </w:pPr>
    </w:p>
    <w:p>
      <w:pPr>
        <w:ind w:left="1060" w:right="140" w:firstLine="3"/>
        <w:spacing w:after="0" w:line="246" w:lineRule="auto"/>
        <w:tabs>
          <w:tab w:leader="none" w:pos="143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In the event of a Participant’s Termination prior to the applicable Expiration Date for any reason other than (i) by the Service Recipient for Cause, (ii) a voluntary Termination by the Participant (including a Participant’s Retirement) after the occurrence of an event that would be grounds for a Termination for Cause, or (iii) by reason of the Participant’s Retirement, death or Disability, (A) all vesting with respect to such Participant’s Stock Appreciation Rights outstanding shall cease, (B) all of such Participant’s unvested Stock Appreciation Rights outstanding shall terminate and be forfeited for no consideration as of the date of such Termination, and</w:t>
      </w:r>
    </w:p>
    <w:p>
      <w:pPr>
        <w:spacing w:after="0" w:line="2" w:lineRule="exact"/>
        <w:rPr>
          <w:rFonts w:ascii="Arial" w:cs="Arial" w:eastAsia="Arial" w:hAnsi="Arial"/>
          <w:sz w:val="16"/>
          <w:szCs w:val="16"/>
          <w:color w:val="auto"/>
        </w:rPr>
      </w:pPr>
    </w:p>
    <w:p>
      <w:pPr>
        <w:ind w:left="1060" w:right="180"/>
        <w:spacing w:after="0" w:line="251" w:lineRule="auto"/>
        <w:rPr>
          <w:rFonts w:ascii="Arial" w:cs="Arial" w:eastAsia="Arial" w:hAnsi="Arial"/>
          <w:sz w:val="16"/>
          <w:szCs w:val="16"/>
          <w:color w:val="auto"/>
        </w:rPr>
      </w:pPr>
      <w:r>
        <w:rPr>
          <w:rFonts w:ascii="Arial" w:cs="Arial" w:eastAsia="Arial" w:hAnsi="Arial"/>
          <w:sz w:val="16"/>
          <w:szCs w:val="16"/>
          <w:color w:val="auto"/>
        </w:rPr>
        <w:t>(C) all of such Participant’s vested Stock Appreciation Rights outstanding shall remain exercisable by the Participant during the period commencing on the Participant’s Termination date and ending on the earlier of (x) the applicable Expiration Date and (y) the date that is ninety (90) days after the date of such Termination, and shall terminate and be forfeited for no consideration upon such date unless previously exercised.</w:t>
      </w:r>
    </w:p>
    <w:p>
      <w:pPr>
        <w:spacing w:after="0" w:line="94" w:lineRule="exact"/>
        <w:rPr>
          <w:rFonts w:ascii="Arial" w:cs="Arial" w:eastAsia="Arial" w:hAnsi="Arial"/>
          <w:sz w:val="16"/>
          <w:szCs w:val="16"/>
          <w:color w:val="auto"/>
        </w:rPr>
      </w:pPr>
    </w:p>
    <w:p>
      <w:pPr>
        <w:ind w:left="1060" w:right="160" w:firstLine="3"/>
        <w:spacing w:after="0" w:line="246" w:lineRule="auto"/>
        <w:tabs>
          <w:tab w:leader="none" w:pos="143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In the event of a Participant’s Termination prior to the applicable Expiration Date by reason of such Participant’s Retirement, death or Disability, (i) all vesting with respect to such Participant’s Stock Appreciation Rights outstanding shall cease, (ii) all of such Participant’s unvested Stock Appreciation Rights outstanding shall terminate and be forfeited for no consideration as of the date of such Termination, and (iii) all of such Participant’s vested Stock Appreciation Rights outstanding shall remain exercisable by the Participant (or, in the event of a Participant’s death, by the Person or Persons to whom such Participant’s rights under the Stock Appreciation Rights pass by will or by the applicable laws of descent and distribution) during the period commencing on the Participant’s Termination date and ending on the earlier of (A) the applicable Expiration Date and (B) the date that is twelve</w:t>
      </w:r>
    </w:p>
    <w:p>
      <w:pPr>
        <w:spacing w:after="0" w:line="2" w:lineRule="exact"/>
        <w:rPr>
          <w:rFonts w:ascii="Arial" w:cs="Arial" w:eastAsia="Arial" w:hAnsi="Arial"/>
          <w:sz w:val="16"/>
          <w:szCs w:val="16"/>
          <w:color w:val="auto"/>
        </w:rPr>
      </w:pPr>
    </w:p>
    <w:p>
      <w:pPr>
        <w:ind w:left="1060" w:right="440" w:firstLine="3"/>
        <w:spacing w:after="0" w:line="250" w:lineRule="auto"/>
        <w:tabs>
          <w:tab w:leader="none" w:pos="1393" w:val="left"/>
        </w:tabs>
        <w:numPr>
          <w:ilvl w:val="1"/>
          <w:numId w:val="130"/>
        </w:numPr>
        <w:rPr>
          <w:rFonts w:ascii="Arial" w:cs="Arial" w:eastAsia="Arial" w:hAnsi="Arial"/>
          <w:sz w:val="16"/>
          <w:szCs w:val="16"/>
          <w:color w:val="auto"/>
        </w:rPr>
      </w:pPr>
      <w:r>
        <w:rPr>
          <w:rFonts w:ascii="Arial" w:cs="Arial" w:eastAsia="Arial" w:hAnsi="Arial"/>
          <w:sz w:val="16"/>
          <w:szCs w:val="16"/>
          <w:color w:val="auto"/>
        </w:rPr>
        <w:t>months after the date of such Termination, and shall terminate and be forfeited for no consideration upon such date unless previously exercised. Notwithstanding anything herein to the contrary, if a Participant dies within any post-Termination exercise period described in this Section 8(f), all Stock Appreciation Rights that were held by such Participant that were vested and exercisable at the time of the Participant’s Termination shall thereafter be exercisable by the Person or Persons to whom such Participant’s rights under the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273050</wp:posOffset>
            </wp:positionV>
            <wp:extent cx="291465" cy="2743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6160" w:type="dxa"/>
        <w:tblCellMar>
          <w:top w:w="0" w:type="dxa"/>
          <w:left w:w="0" w:type="dxa"/>
          <w:bottom w:w="0" w:type="dxa"/>
          <w:right w:w="0" w:type="dxa"/>
        </w:tblCellMar>
      </w:tblPr>
      <w:tr>
        <w:trPr>
          <w:trHeight w:val="215"/>
        </w:trPr>
        <w:tc>
          <w:tcPr>
            <w:tcW w:w="392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500" w:type="dxa"/>
            <w:vAlign w:val="bottom"/>
          </w:tcPr>
          <w:p>
            <w:pPr>
              <w:ind w:left="140"/>
              <w:spacing w:after="0"/>
              <w:rPr>
                <w:sz w:val="20"/>
                <w:szCs w:val="20"/>
                <w:color w:val="auto"/>
              </w:rPr>
            </w:pPr>
            <w:r>
              <w:rPr>
                <w:rFonts w:ascii="Arial" w:cs="Arial" w:eastAsia="Arial" w:hAnsi="Arial"/>
                <w:sz w:val="16"/>
                <w:szCs w:val="16"/>
                <w:b w:val="1"/>
                <w:bCs w:val="1"/>
                <w:color w:val="auto"/>
                <w:w w:val="97"/>
              </w:rPr>
              <w:t>B-13</w:t>
            </w:r>
          </w:p>
        </w:tc>
      </w:tr>
    </w:tbl>
    <w:p>
      <w:pPr>
        <w:sectPr>
          <w:pgSz w:w="11900" w:h="16838" w:orient="portrait"/>
          <w:cols w:equalWidth="0" w:num="1">
            <w:col w:w="10580"/>
          </w:cols>
          <w:pgMar w:left="320" w:top="459" w:right="9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191260" cy="1371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191260" cy="137160"/>
                    </a:xfrm>
                    <a:prstGeom prst="rect">
                      <a:avLst/>
                    </a:prstGeom>
                    <a:noFill/>
                  </pic:spPr>
                </pic:pic>
              </a:graphicData>
            </a:graphic>
          </wp:anchor>
        </w:drawing>
      </w:r>
    </w:p>
    <w:p>
      <w:pPr>
        <w:spacing w:after="0" w:line="33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1060" w:right="20"/>
        <w:spacing w:after="0" w:line="260" w:lineRule="auto"/>
        <w:rPr>
          <w:sz w:val="20"/>
          <w:szCs w:val="20"/>
          <w:color w:val="auto"/>
        </w:rPr>
      </w:pPr>
      <w:r>
        <w:rPr>
          <w:rFonts w:ascii="Arial" w:cs="Arial" w:eastAsia="Arial" w:hAnsi="Arial"/>
          <w:sz w:val="16"/>
          <w:szCs w:val="16"/>
          <w:color w:val="auto"/>
        </w:rPr>
        <w:t>pass by will or by the applicable laws of descent and distribution until the earlier of (x) the applicable Expiration Date and (y) the date that is twelve (12) months after the date of death.</w:t>
      </w:r>
    </w:p>
    <w:p>
      <w:pPr>
        <w:spacing w:after="0" w:line="87" w:lineRule="exact"/>
        <w:rPr>
          <w:sz w:val="20"/>
          <w:szCs w:val="20"/>
          <w:color w:val="auto"/>
        </w:rPr>
      </w:pPr>
    </w:p>
    <w:p>
      <w:pPr>
        <w:ind w:left="1060" w:right="20" w:firstLine="3"/>
        <w:spacing w:after="0" w:line="251" w:lineRule="auto"/>
        <w:tabs>
          <w:tab w:leader="none" w:pos="143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In the event of a Participant’s Termination prior to the applicable Expiration Date by reason of (i) a Termination by the Service Recipient for Cause, or (ii) a voluntary Termination by the Participant (including a Participant’s Retirement) after the occurrence of an event that would be grounds for a Termination for Cause, all of such Participant’s Stock Appreciation Rights outstanding (whether or not vested) shall immediately terminate and be forfeited for no consideration as of the date of such Termination.</w:t>
      </w:r>
    </w:p>
    <w:p>
      <w:pPr>
        <w:spacing w:after="0" w:line="182" w:lineRule="exact"/>
        <w:rPr>
          <w:rFonts w:ascii="Arial" w:cs="Arial" w:eastAsia="Arial" w:hAnsi="Arial"/>
          <w:sz w:val="16"/>
          <w:szCs w:val="16"/>
          <w:color w:val="auto"/>
        </w:rPr>
      </w:pPr>
    </w:p>
    <w:p>
      <w:pPr>
        <w:ind w:left="980" w:hanging="313"/>
        <w:spacing w:after="0"/>
        <w:tabs>
          <w:tab w:leader="none" w:pos="980" w:val="left"/>
        </w:tabs>
        <w:numPr>
          <w:ilvl w:val="0"/>
          <w:numId w:val="132"/>
        </w:numPr>
        <w:rPr>
          <w:rFonts w:ascii="Arial" w:cs="Arial" w:eastAsia="Arial" w:hAnsi="Arial"/>
          <w:sz w:val="16"/>
          <w:szCs w:val="16"/>
          <w:color w:val="auto"/>
        </w:rPr>
      </w:pPr>
      <w:r>
        <w:rPr>
          <w:rFonts w:ascii="Arial" w:cs="Arial" w:eastAsia="Arial" w:hAnsi="Arial"/>
          <w:sz w:val="16"/>
          <w:szCs w:val="16"/>
          <w:b w:val="1"/>
          <w:bCs w:val="1"/>
          <w:color w:val="auto"/>
        </w:rPr>
        <w:t>Performance Awards.</w:t>
      </w:r>
    </w:p>
    <w:p>
      <w:pPr>
        <w:spacing w:after="0" w:line="241" w:lineRule="exact"/>
        <w:rPr>
          <w:sz w:val="20"/>
          <w:szCs w:val="20"/>
          <w:color w:val="auto"/>
        </w:rPr>
      </w:pPr>
    </w:p>
    <w:p>
      <w:pPr>
        <w:ind w:left="1040" w:hanging="373"/>
        <w:spacing w:after="0"/>
        <w:tabs>
          <w:tab w:leader="none" w:pos="1040"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Performance Awards may be granted to Eligible Persons in such form and having such terms and conditions as the</w:t>
      </w:r>
    </w:p>
    <w:p>
      <w:pPr>
        <w:spacing w:after="0" w:line="5" w:lineRule="exact"/>
        <w:rPr>
          <w:rFonts w:ascii="Arial" w:cs="Arial" w:eastAsia="Arial" w:hAnsi="Arial"/>
          <w:sz w:val="16"/>
          <w:szCs w:val="16"/>
          <w:color w:val="auto"/>
        </w:rPr>
      </w:pPr>
    </w:p>
    <w:p>
      <w:pPr>
        <w:jc w:val="both"/>
        <w:ind w:left="660" w:right="180"/>
        <w:spacing w:after="0" w:line="253" w:lineRule="auto"/>
        <w:rPr>
          <w:rFonts w:ascii="Arial" w:cs="Arial" w:eastAsia="Arial" w:hAnsi="Arial"/>
          <w:sz w:val="16"/>
          <w:szCs w:val="16"/>
          <w:color w:val="auto"/>
        </w:rPr>
      </w:pPr>
      <w:r>
        <w:rPr>
          <w:rFonts w:ascii="Arial" w:cs="Arial" w:eastAsia="Arial" w:hAnsi="Arial"/>
          <w:sz w:val="16"/>
          <w:szCs w:val="16"/>
          <w:color w:val="auto"/>
        </w:rPr>
        <w:t>Committee shall deem appropriate. The provisions of separate Performance Awards, including the determination of the Committee with respect to the form of payout of Performance Awards, shall be set forth in separate Performance Award Agreements, which agreements need not be identical.</w:t>
      </w:r>
    </w:p>
    <w:p>
      <w:pPr>
        <w:spacing w:after="0" w:line="201" w:lineRule="exact"/>
        <w:rPr>
          <w:rFonts w:ascii="Arial" w:cs="Arial" w:eastAsia="Arial" w:hAnsi="Arial"/>
          <w:sz w:val="16"/>
          <w:szCs w:val="16"/>
          <w:color w:val="auto"/>
        </w:rPr>
      </w:pPr>
    </w:p>
    <w:p>
      <w:pPr>
        <w:ind w:left="660" w:right="40" w:firstLine="7"/>
        <w:spacing w:after="0" w:line="248" w:lineRule="auto"/>
        <w:tabs>
          <w:tab w:leader="none" w:pos="1038"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Value of Performance Awards</w:t>
      </w:r>
      <w:r>
        <w:rPr>
          <w:rFonts w:ascii="Arial" w:cs="Arial" w:eastAsia="Arial" w:hAnsi="Arial"/>
          <w:sz w:val="16"/>
          <w:szCs w:val="16"/>
          <w:color w:val="auto"/>
        </w:rPr>
        <w:t>. Each Performance Unit shall have an initial value that is established by the Committee at the time of grant. Each Performance Share shall have an initial value equal to the Fair Market Value of the Stock on the date of grant. Each Performance Award Agreement in respect of any Performance Cash Award shall specify the dollar amount payable under the Performance Cash Award. In addition to any other non-performance terms included in the Performance Award Agreement, the Committee shall set the applicable Performance Objectives in its discretion, which objectives, depending on the extent to which they are met, will determine the value and number of Performance Units or Performance Shares, or the value of a Performance Cash Award, as the case may be, that will be paid out to the Participant.</w:t>
      </w:r>
    </w:p>
    <w:p>
      <w:pPr>
        <w:spacing w:after="0" w:line="208" w:lineRule="exact"/>
        <w:rPr>
          <w:rFonts w:ascii="Arial" w:cs="Arial" w:eastAsia="Arial" w:hAnsi="Arial"/>
          <w:sz w:val="16"/>
          <w:szCs w:val="16"/>
          <w:color w:val="auto"/>
        </w:rPr>
      </w:pPr>
    </w:p>
    <w:p>
      <w:pPr>
        <w:ind w:left="660" w:firstLine="7"/>
        <w:spacing w:after="0" w:line="248" w:lineRule="auto"/>
        <w:tabs>
          <w:tab w:leader="none" w:pos="1029"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Earning of Performance Awards</w:t>
      </w:r>
      <w:r>
        <w:rPr>
          <w:rFonts w:ascii="Arial" w:cs="Arial" w:eastAsia="Arial" w:hAnsi="Arial"/>
          <w:sz w:val="16"/>
          <w:szCs w:val="16"/>
          <w:color w:val="auto"/>
        </w:rPr>
        <w:t>. Upon the expiration of the applicable Performance Period or other non-performance-based vesting period, if longer, the holder of a Performance Award shall be entitled to receive the following payouts: (1) if the holder holds Performance Units or Performance Shares, payout on the value and number of the applicable Performance Units or Performance Shares earned by the Participant over the Performance Period, or (2) if the holder holds a Performance Cash Award, payout on the value of the Performance Cash Award earned by the Participant over the Performance Period, in any case, to be determined as a function of the extent to which the corresponding Performance Objectives have been achieved and any other non-performance-based terms met. The Committee may specify a target, threshold or maximum amount payable and may set a formula for determining the amount of Performance Awards earned if performance is at or above the threshold level but falls short of the maximum achievement of the specified Performance Objectives. Unless otherwise specifically determined by the Committee, a Participant shall be eligible to earn a Performance Award only while the Participant is employed by or rendering services to the Service Recipient.</w:t>
      </w:r>
    </w:p>
    <w:p>
      <w:pPr>
        <w:spacing w:after="0" w:line="204" w:lineRule="exact"/>
        <w:rPr>
          <w:rFonts w:ascii="Arial" w:cs="Arial" w:eastAsia="Arial" w:hAnsi="Arial"/>
          <w:sz w:val="16"/>
          <w:szCs w:val="16"/>
          <w:color w:val="auto"/>
        </w:rPr>
      </w:pPr>
    </w:p>
    <w:p>
      <w:pPr>
        <w:ind w:left="660" w:firstLine="7"/>
        <w:spacing w:after="0" w:line="248" w:lineRule="auto"/>
        <w:tabs>
          <w:tab w:leader="none" w:pos="1038"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 of Performance Awards</w:t>
      </w:r>
      <w:r>
        <w:rPr>
          <w:rFonts w:ascii="Arial" w:cs="Arial" w:eastAsia="Arial" w:hAnsi="Arial"/>
          <w:sz w:val="16"/>
          <w:szCs w:val="16"/>
          <w:color w:val="auto"/>
        </w:rPr>
        <w:t>. Payment of earned Performance Awards shall be as determined by the Committee and as evidenced in the Performance Award Agreement. Subject to the terms of the Plan, the Committee, in its sole discretion, may pay earned Performance Units and Performance Shares in the form of cash, Stock, or other Awards (or in any combination thereof) equal to the value of the earned Performance Units or Performance Shares, as the case may be, at the close of the applicable Performance Period, or as soon as practicable after the end of the Performance Period. Unless otherwise determined by the Committee, earned Performance Cash Awards shall be paid in cash. Any cash, Stock, or other Awards issued in connection with a Performance Award may be issued subject to any restrictions deemed appropriate by the Committee.</w:t>
      </w:r>
    </w:p>
    <w:p>
      <w:pPr>
        <w:spacing w:after="0" w:line="208" w:lineRule="exact"/>
        <w:rPr>
          <w:rFonts w:ascii="Arial" w:cs="Arial" w:eastAsia="Arial" w:hAnsi="Arial"/>
          <w:sz w:val="16"/>
          <w:szCs w:val="16"/>
          <w:color w:val="auto"/>
        </w:rPr>
      </w:pPr>
    </w:p>
    <w:p>
      <w:pPr>
        <w:ind w:left="660" w:firstLine="7"/>
        <w:spacing w:after="0" w:line="253" w:lineRule="auto"/>
        <w:tabs>
          <w:tab w:leader="none" w:pos="1038"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Except as provided by the Committee in a Performance Award Agreement, Participant Agreement or otherwise, if, prior to the end of an applicable Performance Period, a Participant undergoes a Termination for any reason, all of such Participant’s Performance Awards shall be forfeited by the Participant to the Company for no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272415</wp:posOffset>
            </wp:positionV>
            <wp:extent cx="291465" cy="2743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b w:val="1"/>
          <w:bCs w:val="1"/>
          <w:color w:val="auto"/>
        </w:rPr>
        <w:t>B-14</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60"/>
          </w:cols>
          <w:pgMar w:left="320" w:top="459" w:right="10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205740</wp:posOffset>
            </wp:positionV>
            <wp:extent cx="1251585"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51585" cy="137160"/>
                    </a:xfrm>
                    <a:prstGeom prst="rect">
                      <a:avLst/>
                    </a:prstGeom>
                    <a:noFill/>
                  </pic:spPr>
                </pic:pic>
              </a:graphicData>
            </a:graphic>
          </wp:anchor>
        </w:drawing>
      </w:r>
    </w:p>
    <w:p>
      <w:pPr>
        <w:spacing w:after="0" w:line="331"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1000" w:hanging="331"/>
        <w:spacing w:after="0"/>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Performance Objectives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060" w:right="160" w:firstLine="3"/>
        <w:spacing w:after="0" w:line="251" w:lineRule="auto"/>
        <w:tabs>
          <w:tab w:leader="none" w:pos="1438"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Each Performance Award shall specify the Performance Objectives that must be achieved before such Performance Award shall become earned. The Company may also specify a minimum acceptable level of achievement below which no payment will be made and may set forth a formula for determining the amount of any payment to be made if performance is at or above such minimum acceptable level but falls short of the maximum achievement of the specified Performance Objectives.</w:t>
      </w:r>
    </w:p>
    <w:p>
      <w:pPr>
        <w:spacing w:after="0" w:line="94" w:lineRule="exact"/>
        <w:rPr>
          <w:rFonts w:ascii="Arial" w:cs="Arial" w:eastAsia="Arial" w:hAnsi="Arial"/>
          <w:sz w:val="16"/>
          <w:szCs w:val="16"/>
          <w:color w:val="auto"/>
        </w:rPr>
      </w:pPr>
    </w:p>
    <w:p>
      <w:pPr>
        <w:ind w:left="1060" w:right="20" w:firstLine="3"/>
        <w:spacing w:after="0" w:line="248" w:lineRule="auto"/>
        <w:tabs>
          <w:tab w:leader="none" w:pos="1438" w:val="left"/>
        </w:tabs>
        <w:numPr>
          <w:ilvl w:val="1"/>
          <w:numId w:val="134"/>
        </w:numPr>
        <w:rPr>
          <w:rFonts w:ascii="Arial" w:cs="Arial" w:eastAsia="Arial" w:hAnsi="Arial"/>
          <w:sz w:val="16"/>
          <w:szCs w:val="16"/>
          <w:color w:val="auto"/>
        </w:rPr>
      </w:pPr>
      <w:r>
        <w:rPr>
          <w:rFonts w:ascii="Arial" w:cs="Arial" w:eastAsia="Arial" w:hAnsi="Arial"/>
          <w:sz w:val="16"/>
          <w:szCs w:val="16"/>
          <w:color w:val="auto"/>
        </w:rPr>
        <w:t>Performance Objectives shall be determined by the Committee. Performance Objectives may be established on a Company-wide basis, project or geographical basis or, as the context permits, with respect to one or more business units, divisions, lines of business or business segments, subsidiaries, products, or other operational units or administrative departments of the Company (or in combination thereof) or may be related to the performance of an individual Participant and may be expressed in absolute terms, or relative or comparative to (A) current internal targets or budgets, (B) the past performance of the Company (including the performance of one or more subsidiaries, divisions, or operating units), (C) the performance of one or more similarly situated companies, (D) the performance of an index covering multiple companies, or (E) other external measures of the selected performance criteria.</w:t>
      </w:r>
    </w:p>
    <w:p>
      <w:pPr>
        <w:spacing w:after="0" w:line="289" w:lineRule="exact"/>
        <w:rPr>
          <w:rFonts w:ascii="Arial" w:cs="Arial" w:eastAsia="Arial" w:hAnsi="Arial"/>
          <w:sz w:val="16"/>
          <w:szCs w:val="16"/>
          <w:color w:val="auto"/>
        </w:rPr>
      </w:pPr>
    </w:p>
    <w:p>
      <w:pPr>
        <w:ind w:left="1440" w:hanging="377"/>
        <w:spacing w:after="0"/>
        <w:tabs>
          <w:tab w:leader="none" w:pos="144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business criteria mentioned above (i) may be combined with cost of capital, assets, invested capital and stockholders’</w:t>
      </w:r>
    </w:p>
    <w:p>
      <w:pPr>
        <w:spacing w:after="0" w:line="5" w:lineRule="exact"/>
        <w:rPr>
          <w:rFonts w:ascii="Arial" w:cs="Arial" w:eastAsia="Arial" w:hAnsi="Arial"/>
          <w:sz w:val="16"/>
          <w:szCs w:val="16"/>
          <w:color w:val="auto"/>
        </w:rPr>
      </w:pPr>
    </w:p>
    <w:p>
      <w:pPr>
        <w:ind w:left="1060" w:right="20"/>
        <w:spacing w:after="0" w:line="246" w:lineRule="auto"/>
        <w:rPr>
          <w:rFonts w:ascii="Arial" w:cs="Arial" w:eastAsia="Arial" w:hAnsi="Arial"/>
          <w:sz w:val="16"/>
          <w:szCs w:val="16"/>
          <w:color w:val="auto"/>
        </w:rPr>
      </w:pPr>
      <w:r>
        <w:rPr>
          <w:rFonts w:ascii="Arial" w:cs="Arial" w:eastAsia="Arial" w:hAnsi="Arial"/>
          <w:sz w:val="16"/>
          <w:szCs w:val="16"/>
          <w:color w:val="auto"/>
        </w:rPr>
        <w:t>equity to form an appropriate measure of performance and (ii) shall have any reasonable definitions that the Committee may specify. Unless specified otherwise by the Committee (i) in the Performance Award Agreement at the time the Performance Award is granted or (ii) in such other document setting forth the Performance Objectives at the time the Performance Objectives are established, the Committee, in its sole discretion, will appropriately make adjustments in the method of calculating the attainment of Performance Objectives for a Performance Period to provide for objectively determinable adjustments, modifications or amendments, to any of the business criteria described above, including, without limitation, for one or more of the following items of gain, loss, profit or expense:</w:t>
      </w:r>
    </w:p>
    <w:p>
      <w:pPr>
        <w:spacing w:after="0" w:line="2" w:lineRule="exact"/>
        <w:rPr>
          <w:rFonts w:ascii="Arial" w:cs="Arial" w:eastAsia="Arial" w:hAnsi="Arial"/>
          <w:sz w:val="16"/>
          <w:szCs w:val="16"/>
          <w:color w:val="auto"/>
        </w:rPr>
      </w:pPr>
    </w:p>
    <w:p>
      <w:pPr>
        <w:ind w:left="1060"/>
        <w:spacing w:after="0" w:line="248" w:lineRule="auto"/>
        <w:rPr>
          <w:rFonts w:ascii="Arial" w:cs="Arial" w:eastAsia="Arial" w:hAnsi="Arial"/>
          <w:sz w:val="16"/>
          <w:szCs w:val="16"/>
          <w:color w:val="auto"/>
        </w:rPr>
      </w:pPr>
      <w:r>
        <w:rPr>
          <w:rFonts w:ascii="Arial" w:cs="Arial" w:eastAsia="Arial" w:hAnsi="Arial"/>
          <w:sz w:val="16"/>
          <w:szCs w:val="16"/>
          <w:color w:val="auto"/>
        </w:rPr>
        <w:t>(A) determined to be items of an unusual nature or of infrequency of occurrence or non-recurring in nature; (B) related to changes in accounting principles under GAAP or tax laws (including, without limitation, any adjustments that would result in the Company paying non-deductible compensation to a Participant); (C) related to currency fluctuations; (D) related to financing activities (</w:t>
      </w:r>
      <w:r>
        <w:rPr>
          <w:rFonts w:ascii="Arial" w:cs="Arial" w:eastAsia="Arial" w:hAnsi="Arial"/>
          <w:sz w:val="16"/>
          <w:szCs w:val="16"/>
          <w:i w:val="1"/>
          <w:iCs w:val="1"/>
          <w:color w:val="auto"/>
        </w:rPr>
        <w:t>e.g.</w:t>
      </w:r>
      <w:r>
        <w:rPr>
          <w:rFonts w:ascii="Arial" w:cs="Arial" w:eastAsia="Arial" w:hAnsi="Arial"/>
          <w:sz w:val="16"/>
          <w:szCs w:val="16"/>
          <w:color w:val="auto"/>
        </w:rPr>
        <w:t>, effect on earnings per share of issuing convertible debt securities); (E) related to restructuring, divestitures, productivity initiatives or new business initiatives; (F) related to discontinued operations that do not qualify as a segment of business under GAAP; (G) attributable to the business operations of any entity acquired by the Company during the fiscal year; (H) non-operating items; and (I) acquisition or divestiture expenses.</w:t>
      </w:r>
    </w:p>
    <w:p>
      <w:pPr>
        <w:spacing w:after="0" w:line="188" w:lineRule="exact"/>
        <w:rPr>
          <w:sz w:val="20"/>
          <w:szCs w:val="20"/>
          <w:color w:val="auto"/>
        </w:rPr>
      </w:pPr>
    </w:p>
    <w:p>
      <w:pPr>
        <w:ind w:left="1080" w:hanging="411"/>
        <w:spacing w:after="0"/>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Other Stock-Based Awards.</w:t>
      </w:r>
    </w:p>
    <w:p>
      <w:pPr>
        <w:spacing w:after="0" w:line="241"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color w:val="auto"/>
        </w:rPr>
        <w:t>The Committee is authorized, subject to limitations under applicable law, to grant to Participants such other Awards that may be denominated or payable in, valued in whole or in part by reference to, or otherwise based upon or related to Stock, as deemed by the Committee to be consistent with the purposes of the Plan. The Committee may also grant Stock as a bonus (whether or not subject to any vesting requirements or other restrictions on transfer), and may grant other Awards in lieu of obligations of the Company or an Affiliate to pay cash or deliver other property under the Plan or under other plans or compensatory arrangements, subject to such terms as shall be determined by the Committee. The terms and conditions applicable to such Awards shall be determined by the Committee and evidenced by Award Agreements, which agreements need not be identical.</w:t>
      </w:r>
    </w:p>
    <w:p>
      <w:pPr>
        <w:spacing w:after="0" w:line="188" w:lineRule="exact"/>
        <w:rPr>
          <w:sz w:val="20"/>
          <w:szCs w:val="20"/>
          <w:color w:val="auto"/>
        </w:rPr>
      </w:pPr>
    </w:p>
    <w:p>
      <w:pPr>
        <w:ind w:left="1060" w:hanging="391"/>
        <w:spacing w:after="0"/>
        <w:tabs>
          <w:tab w:leader="none" w:pos="1060"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Adjustment for Recapitalization, Merger, etc.</w:t>
      </w:r>
    </w:p>
    <w:p>
      <w:pPr>
        <w:spacing w:after="0" w:line="241" w:lineRule="exact"/>
        <w:rPr>
          <w:sz w:val="20"/>
          <w:szCs w:val="20"/>
          <w:color w:val="auto"/>
        </w:rPr>
      </w:pPr>
    </w:p>
    <w:p>
      <w:pPr>
        <w:ind w:left="660" w:firstLine="9"/>
        <w:spacing w:after="0" w:line="249" w:lineRule="auto"/>
        <w:tabs>
          <w:tab w:leader="none" w:pos="1035"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Capitalization Adjustments</w:t>
      </w:r>
      <w:r>
        <w:rPr>
          <w:rFonts w:ascii="Arial" w:cs="Arial" w:eastAsia="Arial" w:hAnsi="Arial"/>
          <w:sz w:val="16"/>
          <w:szCs w:val="16"/>
          <w:color w:val="auto"/>
        </w:rPr>
        <w:t>. The aggregate number of shares of Stock that may be delivered in connection with Awards (as set forth in Section 4 hereof), the numerical share limits in Section 4 hereof, the number of shares of Stock covered by each outstanding Award, the price per share of Stock underlying each such Award, and, if applicable, the Performance Objectives that must be achieved before such Performance Award shall become earned shall be equitably and proportionally adjusted or substituted, as determined by the Committee, in its sole discretion, as to the number, price, or kind of a share of Stock or other consideration subject to such Awards (1) in the event of changes in the outstanding Stock or in the capital structure of the Company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274320</wp:posOffset>
            </wp:positionV>
            <wp:extent cx="291465" cy="2743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6160" w:type="dxa"/>
        <w:tblCellMar>
          <w:top w:w="0" w:type="dxa"/>
          <w:left w:w="0" w:type="dxa"/>
          <w:bottom w:w="0" w:type="dxa"/>
          <w:right w:w="0" w:type="dxa"/>
        </w:tblCellMar>
      </w:tblPr>
      <w:tr>
        <w:trPr>
          <w:trHeight w:val="215"/>
        </w:trPr>
        <w:tc>
          <w:tcPr>
            <w:tcW w:w="392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500" w:type="dxa"/>
            <w:vAlign w:val="bottom"/>
          </w:tcPr>
          <w:p>
            <w:pPr>
              <w:ind w:left="140"/>
              <w:spacing w:after="0"/>
              <w:rPr>
                <w:sz w:val="20"/>
                <w:szCs w:val="20"/>
                <w:color w:val="auto"/>
              </w:rPr>
            </w:pPr>
            <w:r>
              <w:rPr>
                <w:rFonts w:ascii="Arial" w:cs="Arial" w:eastAsia="Arial" w:hAnsi="Arial"/>
                <w:sz w:val="16"/>
                <w:szCs w:val="16"/>
                <w:b w:val="1"/>
                <w:bCs w:val="1"/>
                <w:color w:val="auto"/>
                <w:w w:val="97"/>
              </w:rPr>
              <w:t>B-15</w:t>
            </w:r>
          </w:p>
        </w:tc>
      </w:tr>
    </w:tbl>
    <w:p>
      <w:pPr>
        <w:sectPr>
          <w:pgSz w:w="11900" w:h="16838" w:orient="portrait"/>
          <w:cols w:equalWidth="0" w:num="1">
            <w:col w:w="10580"/>
          </w:cols>
          <w:pgMar w:left="320" w:top="459" w:right="9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191260" cy="1371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191260" cy="137160"/>
                    </a:xfrm>
                    <a:prstGeom prst="rect">
                      <a:avLst/>
                    </a:prstGeom>
                    <a:noFill/>
                  </pic:spPr>
                </pic:pic>
              </a:graphicData>
            </a:graphic>
          </wp:anchor>
        </w:drawing>
      </w:r>
    </w:p>
    <w:p>
      <w:pPr>
        <w:spacing w:after="0" w:line="33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660" w:right="20"/>
        <w:spacing w:after="0" w:line="246" w:lineRule="auto"/>
        <w:rPr>
          <w:sz w:val="20"/>
          <w:szCs w:val="20"/>
          <w:color w:val="auto"/>
        </w:rPr>
      </w:pPr>
      <w:r>
        <w:rPr>
          <w:rFonts w:ascii="Arial" w:cs="Arial" w:eastAsia="Arial" w:hAnsi="Arial"/>
          <w:sz w:val="16"/>
          <w:szCs w:val="16"/>
          <w:color w:val="auto"/>
        </w:rPr>
        <w:t>reason of stock dividends, extraordinary cash dividends, stock splits, reverse stock splits, spinoffs, recapitalizations, reorganizations, mergers, amalgamations, consolidations, combinations, subdivisions, exchanges, reclassifications or other relevant changes in capitalization occurring after the date of grant of any such Award (including any Corporate Event); (2) in connection with any extraordinary dividend declared and paid in respect of shares of Stock, whether payable in the form of cash, stock, or any other form of consideration; or</w:t>
      </w:r>
    </w:p>
    <w:p>
      <w:pPr>
        <w:spacing w:after="0" w:line="2" w:lineRule="exact"/>
        <w:rPr>
          <w:sz w:val="20"/>
          <w:szCs w:val="20"/>
          <w:color w:val="auto"/>
        </w:rPr>
      </w:pPr>
    </w:p>
    <w:p>
      <w:pPr>
        <w:ind w:left="660" w:right="140" w:firstLine="7"/>
        <w:spacing w:after="0" w:line="248" w:lineRule="auto"/>
        <w:tabs>
          <w:tab w:leader="none" w:pos="90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the event of any change in applicable laws or circumstances that results in or could result in, in either case, as determined by the Committee in its sole discretion, any substantial dilution or enlargement of the rights intended to be granted to, or available for, Participants in the Plan. In lieu of or in addition to any adjustment pursuant to this Section 11(a), if deemed appropriate, the Committee may provide that an adjustment take the form of a cash payment to the holder of an outstanding Award with respect to all or part of an outstanding Award, which payment shall be subject to such terms and conditions (including timing of payment(s), vesting and forfeiture conditions) as the Committee may determine in its sole discretion. The Committee will make such adjustments, substitutions or payment, and its determination will be final, binding and conclusive. The Committee need not take the same action or actions with respect to all Awards or portions thereof or with respect to all Participants. The Committee may take different actions with respect to the vested and unvested portions of an Award.</w:t>
      </w:r>
    </w:p>
    <w:p>
      <w:pPr>
        <w:spacing w:after="0" w:line="206" w:lineRule="exact"/>
        <w:rPr>
          <w:sz w:val="20"/>
          <w:szCs w:val="20"/>
          <w:color w:val="auto"/>
        </w:rPr>
      </w:pPr>
    </w:p>
    <w:p>
      <w:pPr>
        <w:ind w:left="660" w:right="20" w:firstLine="7"/>
        <w:spacing w:after="0" w:line="249" w:lineRule="auto"/>
        <w:tabs>
          <w:tab w:leader="none" w:pos="1038"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Corporate Events</w:t>
      </w:r>
      <w:r>
        <w:rPr>
          <w:rFonts w:ascii="Arial" w:cs="Arial" w:eastAsia="Arial" w:hAnsi="Arial"/>
          <w:sz w:val="16"/>
          <w:szCs w:val="16"/>
          <w:color w:val="auto"/>
        </w:rPr>
        <w:t>. Notwithstanding the foregoing, except as provided by the Committee in an Award Agreement, Participant Agreement or otherwise, in connection with (i) a merger, amalgamation, or consolidation involving the Company in which the Company is not the surviving corporation, (ii) a merger, amalgamation, or consolidation involving the Company in which the Company is the surviving corporation but the holders of shares of Stock receive securities of another corporation or other property or cash, (iii) a Change in Control, or (iv) the reorganization, dissolution or liquidation of the Company (each, a “</w:t>
      </w:r>
      <w:r>
        <w:rPr>
          <w:rFonts w:ascii="Arial" w:cs="Arial" w:eastAsia="Arial" w:hAnsi="Arial"/>
          <w:sz w:val="16"/>
          <w:szCs w:val="16"/>
          <w:u w:val="single" w:color="auto"/>
          <w:color w:val="auto"/>
        </w:rPr>
        <w:t>Corporate Event</w:t>
      </w:r>
      <w:r>
        <w:rPr>
          <w:rFonts w:ascii="Arial" w:cs="Arial" w:eastAsia="Arial" w:hAnsi="Arial"/>
          <w:sz w:val="16"/>
          <w:szCs w:val="16"/>
          <w:color w:val="auto"/>
        </w:rPr>
        <w:t>”), the Committee may provide for any one or more of the following:</w:t>
      </w:r>
    </w:p>
    <w:p>
      <w:pPr>
        <w:spacing w:after="0" w:line="96" w:lineRule="exact"/>
        <w:rPr>
          <w:rFonts w:ascii="Arial" w:cs="Arial" w:eastAsia="Arial" w:hAnsi="Arial"/>
          <w:sz w:val="16"/>
          <w:szCs w:val="16"/>
          <w:color w:val="auto"/>
        </w:rPr>
      </w:pPr>
    </w:p>
    <w:p>
      <w:pPr>
        <w:ind w:left="1060" w:firstLine="3"/>
        <w:spacing w:after="0" w:line="251" w:lineRule="auto"/>
        <w:tabs>
          <w:tab w:leader="none" w:pos="143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assumption or substitution of any or all Awards in connection with such Corporate Event, in which case the Awards shall be subject to the adjustment set forth in subsection (a) above, and to the extent that such Awards are Performance Awards or other Awards that vest subject to the achievement of Performance Objectives or similar performance criteria, such Performance Objectives or similar performance criteria shall be adjusted appropriately to reflect the Corporate Event;</w:t>
      </w:r>
    </w:p>
    <w:p>
      <w:pPr>
        <w:spacing w:after="0" w:line="94" w:lineRule="exact"/>
        <w:rPr>
          <w:rFonts w:ascii="Arial" w:cs="Arial" w:eastAsia="Arial" w:hAnsi="Arial"/>
          <w:sz w:val="16"/>
          <w:szCs w:val="16"/>
          <w:color w:val="auto"/>
        </w:rPr>
      </w:pPr>
    </w:p>
    <w:p>
      <w:pPr>
        <w:ind w:left="1060" w:right="20" w:firstLine="3"/>
        <w:spacing w:after="0" w:line="248" w:lineRule="auto"/>
        <w:tabs>
          <w:tab w:leader="none" w:pos="143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The acceleration of vesting of any or all Awards not assumed or substituted in connection with such Corporate Event, subject to the consummation of such Corporate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Performance Awards or other Awards that vest subject to the achievement of Performance Objectives or similar performance criteria will be deemed earned (i) based on actual performance through the date of the Corporate Event, or (ii) at the target level (or if no target is specified, the maximum level), in the event actual performance cannot be measured through the date of the Corporate Event, in each case, with respect to all unexpired Performance Periods or Performance Periods for which satisfaction of the Performance Objectives or other material terms for the applicable Performance Period has not been certified by the Committee prior to the date of the Corporate Event;</w:t>
      </w:r>
    </w:p>
    <w:p>
      <w:pPr>
        <w:spacing w:after="0" w:line="100" w:lineRule="exact"/>
        <w:rPr>
          <w:rFonts w:ascii="Arial" w:cs="Arial" w:eastAsia="Arial" w:hAnsi="Arial"/>
          <w:sz w:val="16"/>
          <w:szCs w:val="16"/>
          <w:color w:val="auto"/>
        </w:rPr>
      </w:pPr>
    </w:p>
    <w:p>
      <w:pPr>
        <w:ind w:left="1060" w:right="160" w:firstLine="3"/>
        <w:spacing w:after="0" w:line="248" w:lineRule="auto"/>
        <w:tabs>
          <w:tab w:leader="none" w:pos="143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The cancellation of any or all Awards not assumed or substituted in connection with such Corporate Event (whether vested or unvested) as of the consummation of such Corporate Event, together with the payment to the Participants holding vested Awards (including any Awards that would vest upon the Corporate Event but for such cancellation) so canceled of an amount in respect of cancellation equal to the amount payable pursuant to any Cash Award or, with respect to other Awards, an amount based upon the per-share consideration being paid for the Stock in connection with such Corporate Event, less, in the case of Exercisable Awards, the applicable exercise or base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holders of Exercisable Awards shall be entitled to consideration in respect of cancellation of such Awards only if the per-share consideration less the applicable exercise or base price is greater than zero dollars ($0), and to the extent that the per-share consideration is less than or equal to the applicable exercise or base price, such Awards shall be canceled for no consideration;</w:t>
      </w:r>
    </w:p>
    <w:p>
      <w:pPr>
        <w:spacing w:after="0" w:line="97" w:lineRule="exact"/>
        <w:rPr>
          <w:rFonts w:ascii="Arial" w:cs="Arial" w:eastAsia="Arial" w:hAnsi="Arial"/>
          <w:sz w:val="16"/>
          <w:szCs w:val="16"/>
          <w:color w:val="auto"/>
        </w:rPr>
      </w:pPr>
    </w:p>
    <w:p>
      <w:pPr>
        <w:ind w:left="1060" w:firstLine="3"/>
        <w:spacing w:after="0" w:line="253" w:lineRule="auto"/>
        <w:tabs>
          <w:tab w:leader="none" w:pos="143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The cancellation of any or all Exercisable Awards not assumed or substituted in connection with such Corporate Event (whether vested or unvested) as of the consummation of such Corporate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Exercisable Awards to be so canceled pursuant to this paragraph (4) shall first become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272415</wp:posOffset>
            </wp:positionV>
            <wp:extent cx="291465" cy="2743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b w:val="1"/>
          <w:bCs w:val="1"/>
          <w:color w:val="auto"/>
        </w:rPr>
        <w:t>B-16</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205740</wp:posOffset>
            </wp:positionV>
            <wp:extent cx="1251585" cy="1371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51585" cy="137160"/>
                    </a:xfrm>
                    <a:prstGeom prst="rect">
                      <a:avLst/>
                    </a:prstGeom>
                    <a:noFill/>
                  </pic:spPr>
                </pic:pic>
              </a:graphicData>
            </a:graphic>
          </wp:anchor>
        </w:drawing>
      </w:r>
    </w:p>
    <w:p>
      <w:pPr>
        <w:spacing w:after="0" w:line="331"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1060" w:right="320"/>
        <w:spacing w:after="0" w:line="253" w:lineRule="auto"/>
        <w:rPr>
          <w:sz w:val="20"/>
          <w:szCs w:val="20"/>
          <w:color w:val="auto"/>
        </w:rPr>
      </w:pPr>
      <w:r>
        <w:rPr>
          <w:rFonts w:ascii="Arial" w:cs="Arial" w:eastAsia="Arial" w:hAnsi="Arial"/>
          <w:sz w:val="16"/>
          <w:szCs w:val="16"/>
          <w:color w:val="auto"/>
        </w:rPr>
        <w:t>for a period of at least twenty (20) days prior to such Corporate Event, with any exercise during such period of any unvested Exercisable Awards to be (A) contingent upon and subject to the occurrence of the Corporate Event, and (B) effectuated by such means as are approved by the Committee; and</w:t>
      </w:r>
    </w:p>
    <w:p>
      <w:pPr>
        <w:spacing w:after="0" w:line="93" w:lineRule="exact"/>
        <w:rPr>
          <w:sz w:val="20"/>
          <w:szCs w:val="20"/>
          <w:color w:val="auto"/>
        </w:rPr>
      </w:pPr>
    </w:p>
    <w:p>
      <w:pPr>
        <w:ind w:left="1060" w:right="140" w:firstLine="3"/>
        <w:spacing w:after="0" w:line="246" w:lineRule="auto"/>
        <w:tabs>
          <w:tab w:leader="none" w:pos="143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replacement of any or all Awards (other than Awards that are intended to qualify as “stock rights” that do not provide for a “deferral of compensation” within the meaning of Section 409A of the Code) with a cash incentive program that preserves the value of the Awards so replaced (determined as of the consummation of the Corporate Event), with subsequent payment of cash incentives subject to the same vesting conditions as applicable to the Awards so replaced and payment to be made within thirty</w:t>
      </w:r>
    </w:p>
    <w:p>
      <w:pPr>
        <w:spacing w:after="0" w:line="1" w:lineRule="exact"/>
        <w:rPr>
          <w:rFonts w:ascii="Arial" w:cs="Arial" w:eastAsia="Arial" w:hAnsi="Arial"/>
          <w:sz w:val="16"/>
          <w:szCs w:val="16"/>
          <w:color w:val="auto"/>
        </w:rPr>
      </w:pPr>
    </w:p>
    <w:p>
      <w:pPr>
        <w:ind w:left="1400" w:hanging="337"/>
        <w:spacing w:after="0"/>
        <w:tabs>
          <w:tab w:leader="none" w:pos="14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days of the applicable vesting date.</w:t>
      </w:r>
    </w:p>
    <w:p>
      <w:pPr>
        <w:spacing w:after="0" w:line="221" w:lineRule="exact"/>
        <w:rPr>
          <w:sz w:val="20"/>
          <w:szCs w:val="20"/>
          <w:color w:val="auto"/>
        </w:rPr>
      </w:pPr>
    </w:p>
    <w:p>
      <w:pPr>
        <w:ind w:left="660" w:right="80"/>
        <w:spacing w:after="0" w:line="246" w:lineRule="auto"/>
        <w:rPr>
          <w:sz w:val="20"/>
          <w:szCs w:val="20"/>
          <w:color w:val="auto"/>
        </w:rPr>
      </w:pPr>
      <w:r>
        <w:rPr>
          <w:rFonts w:ascii="Arial" w:cs="Arial" w:eastAsia="Arial" w:hAnsi="Arial"/>
          <w:sz w:val="16"/>
          <w:szCs w:val="16"/>
          <w:color w:val="auto"/>
        </w:rPr>
        <w:t>Payments to holders pursuant to paragraph (3) above shall be made in cash or, in the sole discretion of the Committee, and to the extent applicable, in the form of such other consideration necessary for a Participant to receive property, cash, or securities (or a combination thereof) as such Participant would have been entitled to receive upon the occurrence of the transaction if the Participant had been, immediately prior to such transaction, the holder of the number of shares of Stock covered by the Award at such time (less any applicable exercise or base price). In addition, in connection with any Corporate Event, prior to any payment or adjustment contemplated under this subsection (b), the Committee may require a Participant to (A) represent and warrant as to the unencumbered title to his or her Awards,</w:t>
      </w:r>
    </w:p>
    <w:p>
      <w:pPr>
        <w:spacing w:after="0" w:line="2" w:lineRule="exact"/>
        <w:rPr>
          <w:sz w:val="20"/>
          <w:szCs w:val="20"/>
          <w:color w:val="auto"/>
        </w:rPr>
      </w:pPr>
    </w:p>
    <w:p>
      <w:pPr>
        <w:ind w:left="660" w:right="80" w:firstLine="9"/>
        <w:spacing w:after="0" w:line="250" w:lineRule="auto"/>
        <w:tabs>
          <w:tab w:leader="none" w:pos="91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bear such Participant’s pro-rata share of any post-closing indemnity obligations, and be subject to the same post-closing purchase price adjustments, escrow terms, offset rights, holdback terms, and similar conditions as the other holders of Stock, and (C) deliver customary transfer documentation as reasonably determined by the Committee. The Committee need not take the same action or actions with respect to all Awards or portions thereof or with respect to all Participants. The Committee may take different actions with respect to the vested and unvested portions of an Award.</w:t>
      </w:r>
    </w:p>
    <w:p>
      <w:pPr>
        <w:spacing w:after="0" w:line="203" w:lineRule="exact"/>
        <w:rPr>
          <w:sz w:val="20"/>
          <w:szCs w:val="20"/>
          <w:color w:val="auto"/>
        </w:rPr>
      </w:pPr>
    </w:p>
    <w:p>
      <w:pPr>
        <w:ind w:left="660" w:right="200" w:firstLine="9"/>
        <w:spacing w:after="0" w:line="253" w:lineRule="auto"/>
        <w:tabs>
          <w:tab w:leader="none" w:pos="1026"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Any adjustment provided under this Section 11 may, in the Committee’s discretion, provide for the elimination of any fractional share that might otherwise become subject to an Award. No cash settlements shall be made with respect to fractional shares so eliminated.</w:t>
      </w:r>
    </w:p>
    <w:p>
      <w:pPr>
        <w:spacing w:after="0" w:line="201" w:lineRule="exact"/>
        <w:rPr>
          <w:rFonts w:ascii="Arial" w:cs="Arial" w:eastAsia="Arial" w:hAnsi="Arial"/>
          <w:sz w:val="16"/>
          <w:szCs w:val="16"/>
          <w:color w:val="auto"/>
        </w:rPr>
      </w:pPr>
    </w:p>
    <w:p>
      <w:pPr>
        <w:ind w:left="660" w:right="40" w:firstLine="9"/>
        <w:spacing w:after="0" w:line="232" w:lineRule="auto"/>
        <w:tabs>
          <w:tab w:leader="none" w:pos="1035"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Double-Trigger Vesting</w:t>
      </w:r>
      <w:r>
        <w:rPr>
          <w:rFonts w:ascii="Arial" w:cs="Arial" w:eastAsia="Arial" w:hAnsi="Arial"/>
          <w:sz w:val="16"/>
          <w:szCs w:val="16"/>
          <w:color w:val="auto"/>
        </w:rPr>
        <w:t>. Notwithstanding any other provisions of the Plan, an Award Agreement or a Participant Agreement to the contrary, no Award Agreement or Participant Agreement shall provide that the vesting, payment, purchase or distribution of an Award will be accelerated by reason of a Change in Control for any Participant unless the Participant’s employment is involuntarily terminated as a result of the Change in Control. For purposes of this Section 11(d), a Participant’s employment will be deemed to have been involuntarily terminated as a result of a Change in Control if it is involuntarily terminated other than for Cause (including the Participant’s resignation for “good reason” (or similar term) as defined in the applicable Award Agreement, Participant Agreement, or in a written change in control, retention, severance or similar agreement between the Company and a Participant, or in a change in control, retention, severance or similar plan maintained by the Company in which the Participant participates), or is terminated under circumstances which entitle the Participant to mandatory severance payment(s) pursuant to applicable law, at any time beginning on the date of the Change in Control up to and including the first (1</w:t>
      </w:r>
      <w:r>
        <w:rPr>
          <w:rFonts w:ascii="Arial" w:cs="Arial" w:eastAsia="Arial" w:hAnsi="Arial"/>
          <w:sz w:val="27"/>
          <w:szCs w:val="27"/>
          <w:color w:val="auto"/>
          <w:vertAlign w:val="superscript"/>
        </w:rPr>
        <w:t>st</w:t>
      </w:r>
      <w:r>
        <w:rPr>
          <w:rFonts w:ascii="Arial" w:cs="Arial" w:eastAsia="Arial" w:hAnsi="Arial"/>
          <w:sz w:val="16"/>
          <w:szCs w:val="16"/>
          <w:color w:val="auto"/>
        </w:rPr>
        <w:t>) anniversary of the Change in Control (or, if applicable, such longer post-Change in Control period as may be determined by the Committee).</w:t>
      </w:r>
    </w:p>
    <w:p>
      <w:pPr>
        <w:spacing w:after="0" w:line="196" w:lineRule="exact"/>
        <w:rPr>
          <w:sz w:val="20"/>
          <w:szCs w:val="20"/>
          <w:color w:val="auto"/>
        </w:rPr>
      </w:pPr>
    </w:p>
    <w:p>
      <w:pPr>
        <w:ind w:left="1080" w:hanging="411"/>
        <w:spacing w:after="0"/>
        <w:tabs>
          <w:tab w:leader="none" w:pos="1080"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Use of Proceeds.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proceeds received from the sale of Stock pursuant to the Plan shall be used for general corporate purposes.</w:t>
      </w:r>
    </w:p>
    <w:p>
      <w:pPr>
        <w:spacing w:after="0" w:line="201" w:lineRule="exact"/>
        <w:rPr>
          <w:sz w:val="20"/>
          <w:szCs w:val="20"/>
          <w:color w:val="auto"/>
        </w:rPr>
      </w:pPr>
    </w:p>
    <w:p>
      <w:pPr>
        <w:ind w:left="1080" w:hanging="411"/>
        <w:spacing w:after="0"/>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b w:val="1"/>
          <w:bCs w:val="1"/>
          <w:color w:val="auto"/>
        </w:rPr>
        <w:t>Rights and Privileges as a Stockholder.</w:t>
      </w:r>
    </w:p>
    <w:p>
      <w:pPr>
        <w:spacing w:after="0" w:line="241" w:lineRule="exact"/>
        <w:rPr>
          <w:sz w:val="20"/>
          <w:szCs w:val="20"/>
          <w:color w:val="auto"/>
        </w:rPr>
      </w:pPr>
    </w:p>
    <w:p>
      <w:pPr>
        <w:ind w:left="660" w:right="60"/>
        <w:spacing w:after="0" w:line="260" w:lineRule="auto"/>
        <w:rPr>
          <w:sz w:val="20"/>
          <w:szCs w:val="20"/>
          <w:color w:val="auto"/>
        </w:rPr>
      </w:pPr>
      <w:r>
        <w:rPr>
          <w:rFonts w:ascii="Arial" w:cs="Arial" w:eastAsia="Arial" w:hAnsi="Arial"/>
          <w:sz w:val="16"/>
          <w:szCs w:val="16"/>
          <w:color w:val="auto"/>
        </w:rPr>
        <w:t>Except as otherwise specifically provided in the Plan, no Person shall be entitled to the rights and privileges of Stock ownership in respect of shares of Stock that are subject to Awards hereunder until such shares have been issued to that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268605</wp:posOffset>
            </wp:positionV>
            <wp:extent cx="291465" cy="2743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6160" w:type="dxa"/>
        <w:tblCellMar>
          <w:top w:w="0" w:type="dxa"/>
          <w:left w:w="0" w:type="dxa"/>
          <w:bottom w:w="0" w:type="dxa"/>
          <w:right w:w="0" w:type="dxa"/>
        </w:tblCellMar>
      </w:tblPr>
      <w:tr>
        <w:trPr>
          <w:trHeight w:val="215"/>
        </w:trPr>
        <w:tc>
          <w:tcPr>
            <w:tcW w:w="392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500" w:type="dxa"/>
            <w:vAlign w:val="bottom"/>
          </w:tcPr>
          <w:p>
            <w:pPr>
              <w:ind w:left="140"/>
              <w:spacing w:after="0"/>
              <w:rPr>
                <w:sz w:val="20"/>
                <w:szCs w:val="20"/>
                <w:color w:val="auto"/>
              </w:rPr>
            </w:pPr>
            <w:r>
              <w:rPr>
                <w:rFonts w:ascii="Arial" w:cs="Arial" w:eastAsia="Arial" w:hAnsi="Arial"/>
                <w:sz w:val="16"/>
                <w:szCs w:val="16"/>
                <w:b w:val="1"/>
                <w:bCs w:val="1"/>
                <w:color w:val="auto"/>
                <w:w w:val="97"/>
              </w:rPr>
              <w:t>B-17</w:t>
            </w:r>
          </w:p>
        </w:tc>
      </w:tr>
    </w:tbl>
    <w:p>
      <w:pPr>
        <w:sectPr>
          <w:pgSz w:w="11900" w:h="16838" w:orient="portrait"/>
          <w:cols w:equalWidth="0" w:num="1">
            <w:col w:w="10580"/>
          </w:cols>
          <w:pgMar w:left="320" w:top="459" w:right="9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191260" cy="1371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191260" cy="137160"/>
                    </a:xfrm>
                    <a:prstGeom prst="rect">
                      <a:avLst/>
                    </a:prstGeom>
                    <a:noFill/>
                  </pic:spPr>
                </pic:pic>
              </a:graphicData>
            </a:graphic>
          </wp:anchor>
        </w:drawing>
      </w:r>
    </w:p>
    <w:p>
      <w:pPr>
        <w:spacing w:after="0" w:line="33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28" w:lineRule="exact"/>
        <w:rPr>
          <w:sz w:val="20"/>
          <w:szCs w:val="20"/>
          <w:color w:val="auto"/>
        </w:rPr>
      </w:pPr>
    </w:p>
    <w:p>
      <w:pPr>
        <w:ind w:left="1080" w:hanging="413"/>
        <w:spacing w:after="0"/>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Transferability of Awards.</w:t>
      </w:r>
    </w:p>
    <w:p>
      <w:pPr>
        <w:spacing w:after="0" w:line="241"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Awards may not be sold, transferred, pledged, assigned, or otherwise alienated or hypothecated, other than by will or by the applicable laws of descent and distribution, and to the extent subject to exercise, Awards may not be exercised during the lifetime of the grantee other than by the grantee. Notwithstanding the foregoing, except with respect to Incentive Stock Options, Awards and a Participant’s rights under the Plan shall be transferable for no value to the extent provided in an Award Agreement or otherwise determined at any time by the Committee.</w:t>
      </w:r>
    </w:p>
    <w:p>
      <w:pPr>
        <w:spacing w:after="0" w:line="183" w:lineRule="exact"/>
        <w:rPr>
          <w:sz w:val="20"/>
          <w:szCs w:val="20"/>
          <w:color w:val="auto"/>
        </w:rPr>
      </w:pPr>
    </w:p>
    <w:p>
      <w:pPr>
        <w:ind w:left="1080" w:hanging="413"/>
        <w:spacing w:after="0"/>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Employment or Service Rights.</w:t>
      </w:r>
    </w:p>
    <w:p>
      <w:pPr>
        <w:spacing w:after="0" w:line="241"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16"/>
          <w:szCs w:val="16"/>
          <w:color w:val="auto"/>
        </w:rPr>
        <w:t>No individual shall have any claim or right to be granted an Award under the Plan or, having been selected for the grant of an Award, to be selected for the grant of any other Award. Neither the Plan nor any action taken hereunder shall be construed as giving any individual any right to be retained in the employ or service of the Company or an Affiliate of the Company.</w:t>
      </w:r>
    </w:p>
    <w:p>
      <w:pPr>
        <w:spacing w:after="0" w:line="181" w:lineRule="exact"/>
        <w:rPr>
          <w:sz w:val="20"/>
          <w:szCs w:val="20"/>
          <w:color w:val="auto"/>
        </w:rPr>
      </w:pPr>
    </w:p>
    <w:p>
      <w:pPr>
        <w:ind w:left="1080" w:hanging="413"/>
        <w:spacing w:after="0"/>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b w:val="1"/>
          <w:bCs w:val="1"/>
          <w:color w:val="auto"/>
        </w:rPr>
        <w:t>Compliance with Laws.</w:t>
      </w:r>
    </w:p>
    <w:p>
      <w:pPr>
        <w:spacing w:after="0" w:line="241"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obligation of the Company to deliver Stock upon issuance, vesting, exercise, or settlement of any Award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with the U.S. Securities and Exchange Commission pursuant to the Securities Act (or with a similar non-U.S. regulatory agency pursuant to a similar law or regulation)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or resale under the Securities Act any of the shares of Stock to be offered or sold under the Plan or any shares of Stock to be issued upon exercise or settlement of Awards. If the shares of Stock offered for sale or sold under the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192" w:lineRule="exact"/>
        <w:rPr>
          <w:sz w:val="20"/>
          <w:szCs w:val="20"/>
          <w:color w:val="auto"/>
        </w:rPr>
      </w:pPr>
    </w:p>
    <w:p>
      <w:pPr>
        <w:ind w:left="1080" w:hanging="413"/>
        <w:spacing w:after="0"/>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Withholding Obligations.</w:t>
      </w:r>
    </w:p>
    <w:p>
      <w:pPr>
        <w:spacing w:after="0" w:line="241"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As a condition to the issuance, vesting, exercise, or settlement of any Award (or upon the making of an election under Section 83(b) of the Code), the Committee may require that a Participant satisfy, through deduction or withholding from any payment of any kind otherwise due to the Participant, or through such other arrangements as are satisfactory to the Committee, the amount of all federal, state, and local income and other taxes of any kind required or permitted to be withheld in connection with such issuance, vesting, exercise, or settlement (or election). The Committee, in its discretion, may permit shares of Stock to be used to satisfy tax withholding requirements, and such shares shall be valued at their Fair Market Value as of the issuance, vesting, exercise, or settlement date of the Award, as applicable. Depending on the withholding method, the Company may withhold by considering the applicable minimum statutorily required withholding rates or other applicable withholding rates in the applicable Participant’s jurisdiction, including maximum applicable rates that may be utilized without creating adverse accounting treatment under Financial Accounting Standards Board Accounting Standards Codification Topic 718 (or any successor pronouncement thereto) and is permitted under applicable withholding rules promulgated by the Internal Revenue Service or another applicable governmental entity.</w:t>
      </w:r>
    </w:p>
    <w:p>
      <w:pPr>
        <w:spacing w:after="0" w:line="192" w:lineRule="exact"/>
        <w:rPr>
          <w:sz w:val="20"/>
          <w:szCs w:val="20"/>
          <w:color w:val="auto"/>
        </w:rPr>
      </w:pPr>
    </w:p>
    <w:p>
      <w:pPr>
        <w:ind w:left="1060" w:hanging="393"/>
        <w:spacing w:after="0"/>
        <w:tabs>
          <w:tab w:leader="none" w:pos="1060"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Amendment of the Plan or Awards.</w:t>
      </w:r>
    </w:p>
    <w:p>
      <w:pPr>
        <w:spacing w:after="0" w:line="241" w:lineRule="exact"/>
        <w:rPr>
          <w:sz w:val="20"/>
          <w:szCs w:val="20"/>
          <w:color w:val="auto"/>
        </w:rPr>
      </w:pPr>
    </w:p>
    <w:p>
      <w:pPr>
        <w:ind w:left="1040" w:hanging="373"/>
        <w:spacing w:after="0"/>
        <w:tabs>
          <w:tab w:leader="none" w:pos="104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The Board or the Committee may amend the Plan at any time and from time to time.</w:t>
      </w:r>
    </w:p>
    <w:p>
      <w:pPr>
        <w:spacing w:after="0" w:line="221" w:lineRule="exact"/>
        <w:rPr>
          <w:rFonts w:ascii="Arial" w:cs="Arial" w:eastAsia="Arial" w:hAnsi="Arial"/>
          <w:sz w:val="16"/>
          <w:szCs w:val="16"/>
          <w:color w:val="auto"/>
        </w:rPr>
      </w:pPr>
    </w:p>
    <w:p>
      <w:pPr>
        <w:ind w:left="1040" w:hanging="373"/>
        <w:spacing w:after="0"/>
        <w:tabs>
          <w:tab w:leader="none" w:pos="104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Amendment of Awards</w:t>
      </w:r>
      <w:r>
        <w:rPr>
          <w:rFonts w:ascii="Arial" w:cs="Arial" w:eastAsia="Arial" w:hAnsi="Arial"/>
          <w:sz w:val="16"/>
          <w:szCs w:val="16"/>
          <w:color w:val="auto"/>
        </w:rPr>
        <w:t>. The Board or the Committee may amend the terms of any one or more Awards at any time and from time to</w:t>
      </w:r>
    </w:p>
    <w:p>
      <w:pPr>
        <w:spacing w:after="0" w:line="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285115</wp:posOffset>
            </wp:positionV>
            <wp:extent cx="291465" cy="2743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b w:val="1"/>
          <w:bCs w:val="1"/>
          <w:color w:val="auto"/>
        </w:rPr>
        <w:t>B-18</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60"/>
          </w:cols>
          <w:pgMar w:left="320" w:top="459" w:right="10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205740</wp:posOffset>
            </wp:positionV>
            <wp:extent cx="1251585" cy="1371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51585" cy="137160"/>
                    </a:xfrm>
                    <a:prstGeom prst="rect">
                      <a:avLst/>
                    </a:prstGeom>
                    <a:noFill/>
                  </pic:spPr>
                </pic:pic>
              </a:graphicData>
            </a:graphic>
          </wp:anchor>
        </w:drawing>
      </w:r>
    </w:p>
    <w:p>
      <w:pPr>
        <w:spacing w:after="0" w:line="331"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660" w:right="20" w:firstLine="9"/>
        <w:spacing w:after="0" w:line="248" w:lineRule="auto"/>
        <w:tabs>
          <w:tab w:leader="none" w:pos="1026"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Stockholder Approval; No Material Impairment</w:t>
      </w:r>
      <w:r>
        <w:rPr>
          <w:rFonts w:ascii="Arial" w:cs="Arial" w:eastAsia="Arial" w:hAnsi="Arial"/>
          <w:sz w:val="16"/>
          <w:szCs w:val="16"/>
          <w:color w:val="auto"/>
        </w:rPr>
        <w:t>. Notwithstanding anything herein to the contrary, no amendment to the Plan or any Award shall be effective without stockholder approval to the extent that such approval is required pursuant to applicable law or the applicable rules of each national securities exchange on which the Stock is listed. Additionally, no amendment to the Plan or any Award shall materially impair a Participant’s rights under any Award unless the Participant consents in writing (it being understood that no action taken by the Board or the Committee that is expressly permitted under the Plan, including, without limitation, any actions described in Section 11 hereof, shall constitute an amendment to the Plan or an Award for such purpose). Notwithstanding the foregoing, subject to the limitations of applicable law, if any, and without an affected Participant’s consent, the Board or the Committee may amend the terms of the Plan or any one or more Awards from time to time as necessary to bring such Awards into compliance with applicable law, including, without limitation, Section 409A of the Code.</w:t>
      </w:r>
    </w:p>
    <w:p>
      <w:pPr>
        <w:spacing w:after="0" w:line="205" w:lineRule="exact"/>
        <w:rPr>
          <w:rFonts w:ascii="Arial" w:cs="Arial" w:eastAsia="Arial" w:hAnsi="Arial"/>
          <w:sz w:val="16"/>
          <w:szCs w:val="16"/>
          <w:color w:val="auto"/>
        </w:rPr>
      </w:pPr>
    </w:p>
    <w:p>
      <w:pPr>
        <w:ind w:left="660" w:right="100" w:firstLine="9"/>
        <w:spacing w:after="0" w:line="248" w:lineRule="auto"/>
        <w:tabs>
          <w:tab w:leader="none" w:pos="1035"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No Repricing of Awards Without Stockholder Approval</w:t>
      </w:r>
      <w:r>
        <w:rPr>
          <w:rFonts w:ascii="Arial" w:cs="Arial" w:eastAsia="Arial" w:hAnsi="Arial"/>
          <w:sz w:val="16"/>
          <w:szCs w:val="16"/>
          <w:color w:val="auto"/>
        </w:rPr>
        <w:t>. Notwithstanding subsection (a) or (b) above, or any other provision of the Plan, the repricing of Awards shall not be permitted without stockholder approval. For this purpose, a “</w:t>
      </w:r>
      <w:r>
        <w:rPr>
          <w:rFonts w:ascii="Arial" w:cs="Arial" w:eastAsia="Arial" w:hAnsi="Arial"/>
          <w:sz w:val="16"/>
          <w:szCs w:val="16"/>
          <w:u w:val="single" w:color="auto"/>
          <w:color w:val="auto"/>
        </w:rPr>
        <w:t>repricing</w:t>
      </w:r>
      <w:r>
        <w:rPr>
          <w:rFonts w:ascii="Arial" w:cs="Arial" w:eastAsia="Arial" w:hAnsi="Arial"/>
          <w:sz w:val="16"/>
          <w:szCs w:val="16"/>
          <w:color w:val="auto"/>
        </w:rPr>
        <w:t>” means any of the following (or any other action that has the same effect as any of the following): (1) changing the terms of an Award to lower its exercise or base price (other than on account of capital adjustments resulting from share splits, etc., as described in Section 11(a) hereof), (2) any other action that is treated as a repricing under GAAP, and (3) repurchasing for cash or canceling an Award in exchange for another Award at a time when its exercise or base price is greater than the Fair Market Value of the underlying Stock, unless the cancellation and exchange occurs in connection with an event set forth in Section 11(b) hereof.</w:t>
      </w:r>
    </w:p>
    <w:p>
      <w:pPr>
        <w:spacing w:after="0" w:line="188" w:lineRule="exact"/>
        <w:rPr>
          <w:sz w:val="20"/>
          <w:szCs w:val="20"/>
          <w:color w:val="auto"/>
        </w:rPr>
      </w:pPr>
    </w:p>
    <w:p>
      <w:pPr>
        <w:ind w:left="1080" w:hanging="411"/>
        <w:spacing w:after="0"/>
        <w:tabs>
          <w:tab w:leader="none" w:pos="1080"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Termination or Suspension of the Plan.</w:t>
      </w:r>
    </w:p>
    <w:p>
      <w:pPr>
        <w:spacing w:after="0" w:line="241" w:lineRule="exact"/>
        <w:rPr>
          <w:sz w:val="20"/>
          <w:szCs w:val="20"/>
          <w:color w:val="auto"/>
        </w:rPr>
      </w:pPr>
    </w:p>
    <w:p>
      <w:pPr>
        <w:ind w:left="660" w:right="60"/>
        <w:spacing w:after="0" w:line="218" w:lineRule="auto"/>
        <w:rPr>
          <w:sz w:val="20"/>
          <w:szCs w:val="20"/>
          <w:color w:val="auto"/>
        </w:rPr>
      </w:pPr>
      <w:r>
        <w:rPr>
          <w:rFonts w:ascii="Arial" w:cs="Arial" w:eastAsia="Arial" w:hAnsi="Arial"/>
          <w:sz w:val="16"/>
          <w:szCs w:val="16"/>
          <w:color w:val="auto"/>
        </w:rPr>
        <w:t>The Board or the Committee may suspend or terminate the Plan at any time. Unless sooner terminated, the Plan shall terminate on the day before the tenth (10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anniversary of the Effective Date. No Awards may be granted under the Plan while the Plan is suspended or after it is terminated;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following any suspension or termination of the Plan, the Plan shall remain in effect for the purpose of governing all Awards then outstanding hereunder until such time as all Awards under the Plan have been terminated, forfeited, or otherwise canceled, or earned, exercised, settled, or otherwise paid out, in accordance with their terms.</w:t>
      </w:r>
    </w:p>
    <w:p>
      <w:pPr>
        <w:spacing w:after="0" w:line="191" w:lineRule="exact"/>
        <w:rPr>
          <w:sz w:val="20"/>
          <w:szCs w:val="20"/>
          <w:color w:val="auto"/>
        </w:rPr>
      </w:pPr>
    </w:p>
    <w:p>
      <w:pPr>
        <w:ind w:left="1080" w:hanging="411"/>
        <w:spacing w:after="0"/>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Effective Date of the Plan.</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Plan is effective as of the Effective Date.</w:t>
      </w:r>
    </w:p>
    <w:p>
      <w:pPr>
        <w:spacing w:after="0" w:line="201" w:lineRule="exact"/>
        <w:rPr>
          <w:sz w:val="20"/>
          <w:szCs w:val="20"/>
          <w:color w:val="auto"/>
        </w:rPr>
      </w:pPr>
    </w:p>
    <w:p>
      <w:pPr>
        <w:ind w:left="1080" w:hanging="411"/>
        <w:spacing w:after="0"/>
        <w:tabs>
          <w:tab w:leader="none" w:pos="1080" w:val="left"/>
        </w:tabs>
        <w:numPr>
          <w:ilvl w:val="0"/>
          <w:numId w:val="155"/>
        </w:numPr>
        <w:rPr>
          <w:rFonts w:ascii="Arial" w:cs="Arial" w:eastAsia="Arial" w:hAnsi="Arial"/>
          <w:sz w:val="16"/>
          <w:szCs w:val="16"/>
          <w:color w:val="auto"/>
        </w:rPr>
      </w:pPr>
      <w:r>
        <w:rPr>
          <w:rFonts w:ascii="Arial" w:cs="Arial" w:eastAsia="Arial" w:hAnsi="Arial"/>
          <w:sz w:val="16"/>
          <w:szCs w:val="16"/>
          <w:b w:val="1"/>
          <w:bCs w:val="1"/>
          <w:color w:val="auto"/>
        </w:rPr>
        <w:t>Miscellaneous.</w:t>
      </w:r>
    </w:p>
    <w:p>
      <w:pPr>
        <w:spacing w:after="0" w:line="241" w:lineRule="exact"/>
        <w:rPr>
          <w:sz w:val="20"/>
          <w:szCs w:val="20"/>
          <w:color w:val="auto"/>
        </w:rPr>
      </w:pPr>
    </w:p>
    <w:p>
      <w:pPr>
        <w:ind w:left="660" w:right="60" w:firstLine="9"/>
        <w:spacing w:after="0" w:line="248" w:lineRule="auto"/>
        <w:tabs>
          <w:tab w:leader="none" w:pos="1035"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Treatment of Dividends and Dividend Equivalents on Unvested Awards</w:t>
      </w:r>
      <w:r>
        <w:rPr>
          <w:rFonts w:ascii="Arial" w:cs="Arial" w:eastAsia="Arial" w:hAnsi="Arial"/>
          <w:sz w:val="16"/>
          <w:szCs w:val="16"/>
          <w:color w:val="auto"/>
        </w:rPr>
        <w:t>. Notwithstanding any other provision of the Plan to the contrary, with respect to any Award that provides for or includes a right to dividends or dividend equivalents, if dividends are declared during the period that an equity Award is outstanding, such dividends (or dividend equivalents) shall either (i) not be paid or credited with respect to such Award or (ii) be accumulated but remain subject to vesting requirement(s) to the same extent as the applicable Award and shall only be paid at the time or times such vesting requirement(s) are satisfied. Except as otherwise determined by the Committee, no interest will accrue or be paid on the amount of any cash dividends withheld. No dividends or dividend equivalents shall be paid on Options or Stock Appreciation Rights.</w:t>
      </w:r>
    </w:p>
    <w:p>
      <w:pPr>
        <w:spacing w:after="0" w:line="208" w:lineRule="exact"/>
        <w:rPr>
          <w:rFonts w:ascii="Arial" w:cs="Arial" w:eastAsia="Arial" w:hAnsi="Arial"/>
          <w:sz w:val="16"/>
          <w:szCs w:val="16"/>
          <w:color w:val="auto"/>
        </w:rPr>
      </w:pPr>
    </w:p>
    <w:p>
      <w:pPr>
        <w:ind w:left="660" w:right="60" w:firstLine="9"/>
        <w:spacing w:after="0" w:line="248" w:lineRule="auto"/>
        <w:tabs>
          <w:tab w:leader="none" w:pos="1035"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Detrimental Activity</w:t>
      </w:r>
      <w:r>
        <w:rPr>
          <w:rFonts w:ascii="Arial" w:cs="Arial" w:eastAsia="Arial" w:hAnsi="Arial"/>
          <w:sz w:val="16"/>
          <w:szCs w:val="16"/>
          <w:color w:val="auto"/>
        </w:rPr>
        <w:t>. Unless otherwise determined by the Committee at grant, each Award Agreement shall provide that (i) in the event the Participant engages in Detrimental Activity prior to vesting of any Full Value Award or exercise of any Exercisable Award, all Awards, as applicable, held by the Participant shall thereupon terminate and expire, (ii) as a condition of the exercise of an Exercisable Award, the Participant shall be required to certify in a manner acceptable to the Company (or shall be deemed to have certified) that the Participant is in compliance with the terms and conditions of the Plan and that the Participant has not engaged in, and does not intend to engage in, any Detrimental Activity, and (iii) in the event the Participant engages in Detrimental Activity during the one-year period commencing on the later of (x) the date an Exercisable Award is exercised or the date a Full Value Award becomes vested, or (y) the date of the Participant’s Termination,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276225</wp:posOffset>
            </wp:positionV>
            <wp:extent cx="291465" cy="2743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6160" w:type="dxa"/>
        <w:tblCellMar>
          <w:top w:w="0" w:type="dxa"/>
          <w:left w:w="0" w:type="dxa"/>
          <w:bottom w:w="0" w:type="dxa"/>
          <w:right w:w="0" w:type="dxa"/>
        </w:tblCellMar>
      </w:tblPr>
      <w:tr>
        <w:trPr>
          <w:trHeight w:val="215"/>
        </w:trPr>
        <w:tc>
          <w:tcPr>
            <w:tcW w:w="392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500" w:type="dxa"/>
            <w:vAlign w:val="bottom"/>
          </w:tcPr>
          <w:p>
            <w:pPr>
              <w:ind w:left="140"/>
              <w:spacing w:after="0"/>
              <w:rPr>
                <w:sz w:val="20"/>
                <w:szCs w:val="20"/>
                <w:color w:val="auto"/>
              </w:rPr>
            </w:pPr>
            <w:r>
              <w:rPr>
                <w:rFonts w:ascii="Arial" w:cs="Arial" w:eastAsia="Arial" w:hAnsi="Arial"/>
                <w:sz w:val="16"/>
                <w:szCs w:val="16"/>
                <w:b w:val="1"/>
                <w:bCs w:val="1"/>
                <w:color w:val="auto"/>
                <w:w w:val="97"/>
              </w:rPr>
              <w:t>B-19</w:t>
            </w:r>
          </w:p>
        </w:tc>
      </w:tr>
    </w:tbl>
    <w:p>
      <w:pPr>
        <w:sectPr>
          <w:pgSz w:w="11900" w:h="16838" w:orient="portrait"/>
          <w:cols w:equalWidth="0" w:num="1">
            <w:col w:w="10580"/>
          </w:cols>
          <w:pgMar w:left="320" w:top="459" w:right="9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191260" cy="1371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191260" cy="137160"/>
                    </a:xfrm>
                    <a:prstGeom prst="rect">
                      <a:avLst/>
                    </a:prstGeom>
                    <a:noFill/>
                  </pic:spPr>
                </pic:pic>
              </a:graphicData>
            </a:graphic>
          </wp:anchor>
        </w:drawing>
      </w:r>
    </w:p>
    <w:p>
      <w:pPr>
        <w:spacing w:after="0" w:line="33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660" w:right="60"/>
        <w:spacing w:after="0" w:line="260" w:lineRule="auto"/>
        <w:rPr>
          <w:sz w:val="20"/>
          <w:szCs w:val="20"/>
          <w:color w:val="auto"/>
        </w:rPr>
      </w:pPr>
      <w:r>
        <w:rPr>
          <w:rFonts w:ascii="Arial" w:cs="Arial" w:eastAsia="Arial" w:hAnsi="Arial"/>
          <w:sz w:val="16"/>
          <w:szCs w:val="16"/>
          <w:color w:val="auto"/>
        </w:rPr>
        <w:t>Company shall be entitled to recover from the Participant at any time within one year after such date, and the Participant shall pay over to the Company, an amount equal to any gain realized (whether at the time of vesting, exercise or thereafter).</w:t>
      </w:r>
    </w:p>
    <w:p>
      <w:pPr>
        <w:spacing w:after="0" w:line="195" w:lineRule="exact"/>
        <w:rPr>
          <w:sz w:val="20"/>
          <w:szCs w:val="20"/>
          <w:color w:val="auto"/>
        </w:rPr>
      </w:pPr>
    </w:p>
    <w:p>
      <w:pPr>
        <w:ind w:left="660" w:right="40" w:firstLine="9"/>
        <w:spacing w:after="0" w:line="249" w:lineRule="auto"/>
        <w:tabs>
          <w:tab w:leader="none" w:pos="1026"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Certificates</w:t>
      </w:r>
      <w:r>
        <w:rPr>
          <w:rFonts w:ascii="Arial" w:cs="Arial" w:eastAsia="Arial" w:hAnsi="Arial"/>
          <w:sz w:val="16"/>
          <w:szCs w:val="16"/>
          <w:color w:val="auto"/>
        </w:rPr>
        <w:t>. Stock acquired pursuant to Awards granted under the Plan may be evidenced in such a manner as the Committee shall determine. If certificates representing Stock are registered in the name of the Participant, the Committee may require that (1) such certificates bear an appropriate legend referring to the terms, conditions, and restrictions applicable to such Stock, (2) the Company retain physical possession of the certificates, and (3) the Participant deliver a stock power to the Company, endorsed in blank, relating to the Stock. Notwithstanding the foregoing, the Committee may determine, in its sole discretion, that the Stock shall be held in book-entry form rather than delivered to the Participant pending the release of any applicable restrictions.</w:t>
      </w:r>
    </w:p>
    <w:p>
      <w:pPr>
        <w:spacing w:after="0" w:line="204" w:lineRule="exact"/>
        <w:rPr>
          <w:rFonts w:ascii="Arial" w:cs="Arial" w:eastAsia="Arial" w:hAnsi="Arial"/>
          <w:sz w:val="16"/>
          <w:szCs w:val="16"/>
          <w:color w:val="auto"/>
        </w:rPr>
      </w:pPr>
    </w:p>
    <w:p>
      <w:pPr>
        <w:jc w:val="both"/>
        <w:ind w:left="660" w:right="360" w:firstLine="9"/>
        <w:spacing w:after="0" w:line="253" w:lineRule="auto"/>
        <w:tabs>
          <w:tab w:leader="none" w:pos="1035"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Other Benefits</w:t>
      </w:r>
      <w:r>
        <w:rPr>
          <w:rFonts w:ascii="Arial" w:cs="Arial" w:eastAsia="Arial" w:hAnsi="Arial"/>
          <w:sz w:val="16"/>
          <w:szCs w:val="16"/>
          <w:color w:val="auto"/>
        </w:rPr>
        <w:t>. No Award granted or paid out under the Plan shall be deemed compensation for purposes of computing benefits under any retirement plan of the Company or its Affiliates nor affect any benefits under any other benefit plan now or subsequently in effect under which the availability or amount of benefits is related to the level of compensation.</w:t>
      </w:r>
    </w:p>
    <w:p>
      <w:pPr>
        <w:spacing w:after="0" w:line="201" w:lineRule="exact"/>
        <w:rPr>
          <w:rFonts w:ascii="Arial" w:cs="Arial" w:eastAsia="Arial" w:hAnsi="Arial"/>
          <w:sz w:val="16"/>
          <w:szCs w:val="16"/>
          <w:color w:val="auto"/>
        </w:rPr>
      </w:pPr>
    </w:p>
    <w:p>
      <w:pPr>
        <w:ind w:left="660" w:right="20" w:firstLine="9"/>
        <w:spacing w:after="0" w:line="248" w:lineRule="auto"/>
        <w:tabs>
          <w:tab w:leader="none" w:pos="1035"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Corporate Action Constituting Grant of Awards</w:t>
      </w:r>
      <w:r>
        <w:rPr>
          <w:rFonts w:ascii="Arial" w:cs="Arial" w:eastAsia="Arial" w:hAnsi="Arial"/>
          <w:sz w:val="16"/>
          <w:szCs w:val="16"/>
          <w:color w:val="auto"/>
        </w:rPr>
        <w:t>. Corporate action constituting a grant by the Company of an Award to any Participant will be deemed completed as of the date of such corporate action, unless otherwise determined by the Committee, regardless of when the instrument, certificate, or letter evidencing the Award is communicated to, or actually received or accepted by, the Participant. In the event that the corporate records (</w:t>
      </w:r>
      <w:r>
        <w:rPr>
          <w:rFonts w:ascii="Arial" w:cs="Arial" w:eastAsia="Arial" w:hAnsi="Arial"/>
          <w:sz w:val="16"/>
          <w:szCs w:val="16"/>
          <w:i w:val="1"/>
          <w:iCs w:val="1"/>
          <w:color w:val="auto"/>
        </w:rPr>
        <w:t>e</w:t>
      </w:r>
      <w:r>
        <w:rPr>
          <w:rFonts w:ascii="Arial" w:cs="Arial" w:eastAsia="Arial" w:hAnsi="Arial"/>
          <w:sz w:val="16"/>
          <w:szCs w:val="16"/>
          <w:color w:val="auto"/>
        </w:rPr>
        <w:t>.</w:t>
      </w:r>
      <w:r>
        <w:rPr>
          <w:rFonts w:ascii="Arial" w:cs="Arial" w:eastAsia="Arial" w:hAnsi="Arial"/>
          <w:sz w:val="16"/>
          <w:szCs w:val="16"/>
          <w:i w:val="1"/>
          <w:iCs w:val="1"/>
          <w:color w:val="auto"/>
        </w:rPr>
        <w:t>g</w:t>
      </w:r>
      <w:r>
        <w:rPr>
          <w:rFonts w:ascii="Arial" w:cs="Arial" w:eastAsia="Arial" w:hAnsi="Arial"/>
          <w:sz w:val="16"/>
          <w:szCs w:val="16"/>
          <w:color w:val="auto"/>
        </w:rPr>
        <w:t>., Committee consents, resolutions or minutes) documenting the corporate action constituting the grant contain terms (</w:t>
      </w:r>
      <w:r>
        <w:rPr>
          <w:rFonts w:ascii="Arial" w:cs="Arial" w:eastAsia="Arial" w:hAnsi="Arial"/>
          <w:sz w:val="16"/>
          <w:szCs w:val="16"/>
          <w:i w:val="1"/>
          <w:iCs w:val="1"/>
          <w:color w:val="auto"/>
        </w:rPr>
        <w:t>e</w:t>
      </w:r>
      <w:r>
        <w:rPr>
          <w:rFonts w:ascii="Arial" w:cs="Arial" w:eastAsia="Arial" w:hAnsi="Arial"/>
          <w:sz w:val="16"/>
          <w:szCs w:val="16"/>
          <w:color w:val="auto"/>
        </w:rPr>
        <w:t>.g., exercise price, vesting schedule or number of shares of Stock) that are inconsistent with those in the Award Agreement as a result of a clerical error in connection with the preparation of the Award Agreement, the corporate records will control and the Participant will have no legally binding right to the incorrect term in the Award Agreement.</w:t>
      </w:r>
    </w:p>
    <w:p>
      <w:pPr>
        <w:spacing w:after="0" w:line="208" w:lineRule="exact"/>
        <w:rPr>
          <w:rFonts w:ascii="Arial" w:cs="Arial" w:eastAsia="Arial" w:hAnsi="Arial"/>
          <w:sz w:val="16"/>
          <w:szCs w:val="16"/>
          <w:color w:val="auto"/>
        </w:rPr>
      </w:pPr>
    </w:p>
    <w:p>
      <w:pPr>
        <w:ind w:left="660" w:firstLine="9"/>
        <w:spacing w:after="0" w:line="248" w:lineRule="auto"/>
        <w:tabs>
          <w:tab w:leader="none" w:pos="99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Clawback/Recoupment Policy</w:t>
      </w:r>
      <w:r>
        <w:rPr>
          <w:rFonts w:ascii="Arial" w:cs="Arial" w:eastAsia="Arial" w:hAnsi="Arial"/>
          <w:sz w:val="16"/>
          <w:szCs w:val="16"/>
          <w:color w:val="auto"/>
        </w:rPr>
        <w:t>. Notwithstanding anything contained herein to the contrary, in addition to the recoupment provisions set forth herein relating to Detrimental Activity, all Awards granted under the Plan shall be and remain subject to any incentive compensation clawback or recoupment policy currently in effect or as may be adopted by the Board (or a committee or subcommittee of the Board) and, in each case, as may be amended from time to time. No such policy adoption or amendment shall in any event require the prior consent of any Participant. No recovery of compensation under such a clawback policy will be an event giving rise to a right to resign for “good reason” or “constructive termination” (or similar term) under any agreement with the Company or any of its Affiliates. In the event that an Award is subject to more than one such policy, the policy with the most restrictive clawback or recoupment provisions shall govern such Award, subject to applicable law.</w:t>
      </w:r>
    </w:p>
    <w:p>
      <w:pPr>
        <w:spacing w:after="0" w:line="207" w:lineRule="exact"/>
        <w:rPr>
          <w:rFonts w:ascii="Arial" w:cs="Arial" w:eastAsia="Arial" w:hAnsi="Arial"/>
          <w:sz w:val="16"/>
          <w:szCs w:val="16"/>
          <w:color w:val="auto"/>
        </w:rPr>
      </w:pPr>
    </w:p>
    <w:p>
      <w:pPr>
        <w:ind w:left="660" w:right="100" w:firstLine="9"/>
        <w:spacing w:after="0" w:line="246" w:lineRule="auto"/>
        <w:tabs>
          <w:tab w:leader="none" w:pos="1035"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Non-Exempt Employees</w:t>
      </w:r>
      <w:r>
        <w:rPr>
          <w:rFonts w:ascii="Arial" w:cs="Arial" w:eastAsia="Arial" w:hAnsi="Arial"/>
          <w:sz w:val="16"/>
          <w:szCs w:val="16"/>
          <w:color w:val="auto"/>
        </w:rPr>
        <w:t>. If an Option is granted to an employee of the Company or any of its Affiliates in the United States who is a non-exempt employee for purposes of the Fair Labor Standards Act of 1938, as amended, the Option will not be first exercisable for any shares of Stock until at least six (6) months following the date of grant of the Option (although the Option may vest prior to such date).</w:t>
      </w:r>
    </w:p>
    <w:p>
      <w:pPr>
        <w:spacing w:after="0" w:line="1" w:lineRule="exact"/>
        <w:rPr>
          <w:rFonts w:ascii="Arial" w:cs="Arial" w:eastAsia="Arial" w:hAnsi="Arial"/>
          <w:sz w:val="16"/>
          <w:szCs w:val="16"/>
          <w:color w:val="auto"/>
        </w:rPr>
      </w:pPr>
    </w:p>
    <w:p>
      <w:pPr>
        <w:ind w:left="660"/>
        <w:spacing w:after="0" w:line="248" w:lineRule="auto"/>
        <w:rPr>
          <w:rFonts w:ascii="Arial" w:cs="Arial" w:eastAsia="Arial" w:hAnsi="Arial"/>
          <w:sz w:val="16"/>
          <w:szCs w:val="16"/>
          <w:color w:val="auto"/>
        </w:rPr>
      </w:pPr>
      <w:r>
        <w:rPr>
          <w:rFonts w:ascii="Arial" w:cs="Arial" w:eastAsia="Arial" w:hAnsi="Arial"/>
          <w:sz w:val="16"/>
          <w:szCs w:val="16"/>
          <w:color w:val="auto"/>
        </w:rPr>
        <w:t>Consistent with the provisions of the Worker Economic Opportunity Act, (1) if such employee dies or suffers a Disability, (2) upon a Corporate Event in which such Option is not assumed, continued, or substituted, (3) upon a Change in Control, or (4) upon the Participant’s retirement (as such term may be defined in the applicable Award Agreement or a Participant Agreement, or, if no such definition exists, in accordance with the Company’s then current employment policies and guidelines), the vested portion of any Options held by such employee may be exercised earlier than six (6) months following the date of grant. The foregoing provision is intended to operate so that any income derived by a non-exempt employee in connection with the exercise or vesting of an Option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such employee’s regular rate of pay, the provisions of this Section 21(g) will apply to all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275590</wp:posOffset>
            </wp:positionV>
            <wp:extent cx="291465" cy="2743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b w:val="1"/>
          <w:bCs w:val="1"/>
          <w:color w:val="auto"/>
        </w:rPr>
        <w:t>B-20</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60"/>
          </w:cols>
          <w:pgMar w:left="320" w:top="459" w:right="10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205740</wp:posOffset>
            </wp:positionV>
            <wp:extent cx="1251585" cy="1460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51585" cy="146050"/>
                    </a:xfrm>
                    <a:prstGeom prst="rect">
                      <a:avLst/>
                    </a:prstGeom>
                    <a:noFill/>
                  </pic:spPr>
                </pic:pic>
              </a:graphicData>
            </a:graphic>
          </wp:anchor>
        </w:drawing>
      </w:r>
    </w:p>
    <w:p>
      <w:pPr>
        <w:spacing w:after="0" w:line="331"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192" w:lineRule="exact"/>
        <w:rPr>
          <w:sz w:val="20"/>
          <w:szCs w:val="20"/>
          <w:color w:val="auto"/>
        </w:rPr>
      </w:pPr>
    </w:p>
    <w:p>
      <w:pPr>
        <w:ind w:left="120" w:right="20" w:hanging="4"/>
        <w:spacing w:after="0" w:line="247" w:lineRule="auto"/>
        <w:tabs>
          <w:tab w:leader="none" w:pos="498"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of receipt of any Award, each Participant explicitly and unambiguously consents to the collection, use, and transfer, in electronic or other form, of personal data as described in this Section 21(h) by and among, as applicable, the Company and its Affiliates for the exclusive purpose of implementing, administering, and managing the Plan and Awards and the Participant’s participation in the Plan. In furtherance of such implementation, administration, and management,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w:t>
      </w:r>
      <w:r>
        <w:rPr>
          <w:rFonts w:ascii="Arial" w:cs="Arial" w:eastAsia="Arial" w:hAnsi="Arial"/>
          <w:sz w:val="16"/>
          <w:szCs w:val="16"/>
          <w:u w:val="single" w:color="auto"/>
          <w:color w:val="auto"/>
        </w:rPr>
        <w:t>Data</w:t>
      </w:r>
      <w:r>
        <w:rPr>
          <w:rFonts w:ascii="Arial" w:cs="Arial" w:eastAsia="Arial" w:hAnsi="Arial"/>
          <w:sz w:val="16"/>
          <w:szCs w:val="16"/>
          <w:color w:val="auto"/>
        </w:rPr>
        <w:t>”). In addition to transferring the Data amongst themselves as necessary for the purpose of implementation, administration, and management of the Plan and Awards and the Participant’s participation in the Plan, the Company and its Affiliates may each transfer the Data to any third parties assisting the Company in the implementation, administration, and management of the Plan and Awards and the Participant’s participation in the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the Plan and Awards and the Participant’s participation in the Plan, including any requisite transfer of such Data as may be required to a broker or other third party with whom the Company or the Participant may elect to deposit any shares of Stock. The Data related to a Participant will be held only as long as is necessary to implement, administer, and manage the Plan and Awards and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eligibility to participate in the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w:t>
      </w:r>
    </w:p>
    <w:p>
      <w:pPr>
        <w:spacing w:after="0" w:line="397" w:lineRule="exact"/>
        <w:rPr>
          <w:rFonts w:ascii="Arial" w:cs="Arial" w:eastAsia="Arial" w:hAnsi="Arial"/>
          <w:sz w:val="16"/>
          <w:szCs w:val="16"/>
          <w:color w:val="auto"/>
        </w:rPr>
      </w:pPr>
    </w:p>
    <w:p>
      <w:pPr>
        <w:ind w:left="120" w:right="60" w:hanging="4"/>
        <w:spacing w:after="0" w:line="248" w:lineRule="auto"/>
        <w:tabs>
          <w:tab w:leader="none" w:pos="444"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Participants Outside of the United States</w:t>
      </w:r>
      <w:r>
        <w:rPr>
          <w:rFonts w:ascii="Arial" w:cs="Arial" w:eastAsia="Arial" w:hAnsi="Arial"/>
          <w:sz w:val="16"/>
          <w:szCs w:val="16"/>
          <w:color w:val="auto"/>
        </w:rPr>
        <w:t>. The Committee may modify the terms of any Award under the Plan made to or held by a Participant who is then a resident, or is primarily employed or providing services, outside of the United States in any manner deemed by the Committee to be necessary or appropriate in order that such Award shall conform to laws, regulations, and customs of the country in which the Participant is then a resident or primarily employed or providing services, or so that the value and other benefits of the Award to the Participant, as affected by non–U.S. tax laws and other restrictions applicable as a result of the Participant’s residence, employment, or providing services abroad, shall be comparable to the value of such Award to a Participant who is a resident, or is primarily employed or providing services, in the United States. An Award may be modified under this Section 21(i) in a manner that is inconsistent with the express terms of the Plan, so long as such modifications will not contravene any applicable law or regulation or result in actual liability under Section 16(b) of the Exchange Act for the Participant whose Award is modified. Additionally, the Committee may adopt such procedures and sub-plans as are necessary or appropriate to permit participation in the Plan by Eligible Persons who are non–U.S. nationals or are primarily employed or providing services outside the United States.</w:t>
      </w:r>
    </w:p>
    <w:p>
      <w:pPr>
        <w:spacing w:after="0" w:line="204" w:lineRule="exact"/>
        <w:rPr>
          <w:rFonts w:ascii="Arial" w:cs="Arial" w:eastAsia="Arial" w:hAnsi="Arial"/>
          <w:sz w:val="16"/>
          <w:szCs w:val="16"/>
          <w:color w:val="auto"/>
        </w:rPr>
      </w:pPr>
    </w:p>
    <w:p>
      <w:pPr>
        <w:ind w:left="120" w:right="40" w:hanging="4"/>
        <w:spacing w:after="0" w:line="248" w:lineRule="auto"/>
        <w:tabs>
          <w:tab w:leader="none" w:pos="444"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Change in Time Commitment</w:t>
      </w:r>
      <w:r>
        <w:rPr>
          <w:rFonts w:ascii="Arial" w:cs="Arial" w:eastAsia="Arial" w:hAnsi="Arial"/>
          <w:sz w:val="16"/>
          <w:szCs w:val="16"/>
          <w:color w:val="auto"/>
        </w:rPr>
        <w:t>. In the event a Participant’s regular level of time commitment in the performance of his or her services for the Company or any of its Affiliates is reduced (for example, and without limitation, if the Participant is an employee of the Company and the employee has a change in status from a full-time employee to a part-time employee) after the date of grant of any Award to the Participant, the Committee has the right in its sole discretion to (i) make a corresponding reduction in the number of shares of Stock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291465" cy="2743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22" w:lineRule="exact"/>
        <w:rPr>
          <w:sz w:val="20"/>
          <w:szCs w:val="20"/>
          <w:color w:val="auto"/>
        </w:rPr>
      </w:pPr>
    </w:p>
    <w:tbl>
      <w:tblPr>
        <w:tblLayout w:type="fixed"/>
        <w:tblInd w:w="6660" w:type="dxa"/>
        <w:tblCellMar>
          <w:top w:w="0" w:type="dxa"/>
          <w:left w:w="0" w:type="dxa"/>
          <w:bottom w:w="0" w:type="dxa"/>
          <w:right w:w="0" w:type="dxa"/>
        </w:tblCellMar>
      </w:tblPr>
      <w:tr>
        <w:trPr>
          <w:trHeight w:val="215"/>
        </w:trPr>
        <w:tc>
          <w:tcPr>
            <w:tcW w:w="394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540" w:type="dxa"/>
            <w:vAlign w:val="bottom"/>
          </w:tcPr>
          <w:p>
            <w:pPr>
              <w:ind w:left="180"/>
              <w:spacing w:after="0"/>
              <w:rPr>
                <w:sz w:val="20"/>
                <w:szCs w:val="20"/>
                <w:color w:val="auto"/>
              </w:rPr>
            </w:pPr>
            <w:r>
              <w:rPr>
                <w:rFonts w:ascii="Arial" w:cs="Arial" w:eastAsia="Arial" w:hAnsi="Arial"/>
                <w:sz w:val="16"/>
                <w:szCs w:val="16"/>
                <w:b w:val="1"/>
                <w:bCs w:val="1"/>
                <w:color w:val="auto"/>
                <w:w w:val="97"/>
              </w:rPr>
              <w:t>B-21</w:t>
            </w:r>
          </w:p>
        </w:tc>
      </w:tr>
    </w:tbl>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191260"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191260" cy="137160"/>
                    </a:xfrm>
                    <a:prstGeom prst="rect">
                      <a:avLst/>
                    </a:prstGeom>
                    <a:noFill/>
                  </pic:spPr>
                </pic:pic>
              </a:graphicData>
            </a:graphic>
          </wp:anchor>
        </w:drawing>
      </w:r>
    </w:p>
    <w:p>
      <w:pPr>
        <w:spacing w:after="0" w:line="331"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200" w:lineRule="exact"/>
        <w:rPr>
          <w:sz w:val="20"/>
          <w:szCs w:val="20"/>
          <w:color w:val="auto"/>
        </w:rPr>
      </w:pPr>
    </w:p>
    <w:p>
      <w:pPr>
        <w:spacing w:after="0" w:line="248" w:lineRule="exact"/>
        <w:rPr>
          <w:sz w:val="20"/>
          <w:szCs w:val="20"/>
          <w:color w:val="auto"/>
        </w:rPr>
      </w:pPr>
    </w:p>
    <w:p>
      <w:pPr>
        <w:ind w:left="660" w:right="40" w:firstLine="7"/>
        <w:spacing w:after="0" w:line="247" w:lineRule="auto"/>
        <w:tabs>
          <w:tab w:leader="none" w:pos="1029"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No Liability of Committee Members</w:t>
      </w:r>
      <w:r>
        <w:rPr>
          <w:rFonts w:ascii="Arial" w:cs="Arial" w:eastAsia="Arial" w:hAnsi="Arial"/>
          <w:sz w:val="16"/>
          <w:szCs w:val="16"/>
          <w:color w:val="auto"/>
        </w:rPr>
        <w:t xml:space="preserve">. Neither any member of the Committee nor any of the Committee’s permitted delegates shall be liable personally by reason of any contract or other instrument executed by such member or on his or her behalf in his or her capacity as a member of the Committee 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all costs and expenses (including counsel fees) and liabilities (including sums paid in settlement of a claim) arising out of any act or omission to act in connection with the Plan, unless arising out of such Person’s own fraud or willful misconduct; </w:t>
      </w:r>
      <w:r>
        <w:rPr>
          <w:rFonts w:ascii="Arial" w:cs="Arial" w:eastAsia="Arial" w:hAnsi="Arial"/>
          <w:sz w:val="16"/>
          <w:szCs w:val="16"/>
          <w:i w:val="1"/>
          <w:iCs w:val="1"/>
          <w:color w:val="auto"/>
        </w:rPr>
        <w:t>provided, however</w:t>
      </w:r>
      <w:r>
        <w:rPr>
          <w:rFonts w:ascii="Arial" w:cs="Arial" w:eastAsia="Arial" w:hAnsi="Arial"/>
          <w:sz w:val="16"/>
          <w:szCs w:val="16"/>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or articles of incorporation or by-laws, each as may be amended from time to time, as a matter of law, or otherwise, or any power that the Company may have to indemnify them or hold them harmless.</w:t>
      </w:r>
    </w:p>
    <w:p>
      <w:pPr>
        <w:spacing w:after="0" w:line="212" w:lineRule="exact"/>
        <w:rPr>
          <w:rFonts w:ascii="Arial" w:cs="Arial" w:eastAsia="Arial" w:hAnsi="Arial"/>
          <w:sz w:val="16"/>
          <w:szCs w:val="16"/>
          <w:color w:val="auto"/>
        </w:rPr>
      </w:pPr>
    </w:p>
    <w:p>
      <w:pPr>
        <w:ind w:left="660" w:right="20" w:firstLine="7"/>
        <w:spacing w:after="0" w:line="248" w:lineRule="auto"/>
        <w:tabs>
          <w:tab w:leader="none" w:pos="984"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Payments Following Accidents or Illness</w:t>
      </w:r>
      <w:r>
        <w:rPr>
          <w:rFonts w:ascii="Arial" w:cs="Arial" w:eastAsia="Arial" w:hAnsi="Arial"/>
          <w:sz w:val="16"/>
          <w:szCs w:val="16"/>
          <w:color w:val="auto"/>
        </w:rPr>
        <w:t>. If the Committee shall find that any Person to whom any amount is payable under the Plan is unable to care for his or her affairs because of illness or accident, or is a minor, or has died, then any payment due to such Person or his or her estate (unless a prior claim therefor has been made by a duly appointed legal representative) may, if the Committee so directs the Company, be paid to his or her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 The Committee may in its sole discretion require the transferee of a Participant to supply it with written notice of the Participant’s death or Disability and to supply it with a copy of the will (in the case of the Participant’s death) or such other evidence as the Committee deems necessary to establish the validity of the transfer of an Award. The Committee may, in its discretion, also require the agreement of the transferee to be bound by all of the terms and conditions of the Plan.</w:t>
      </w:r>
    </w:p>
    <w:p>
      <w:pPr>
        <w:spacing w:after="0" w:line="204" w:lineRule="exact"/>
        <w:rPr>
          <w:rFonts w:ascii="Arial" w:cs="Arial" w:eastAsia="Arial" w:hAnsi="Arial"/>
          <w:sz w:val="16"/>
          <w:szCs w:val="16"/>
          <w:color w:val="auto"/>
        </w:rPr>
      </w:pPr>
    </w:p>
    <w:p>
      <w:pPr>
        <w:ind w:left="660" w:right="40" w:firstLine="7"/>
        <w:spacing w:after="0" w:line="260" w:lineRule="auto"/>
        <w:tabs>
          <w:tab w:leader="none" w:pos="1083"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Plan shall be governed by and construed in accordance with the laws of State of Delaware without reference to the principles of conflicts of laws thereof.</w:t>
      </w:r>
    </w:p>
    <w:p>
      <w:pPr>
        <w:spacing w:after="0" w:line="195" w:lineRule="exact"/>
        <w:rPr>
          <w:rFonts w:ascii="Arial" w:cs="Arial" w:eastAsia="Arial" w:hAnsi="Arial"/>
          <w:sz w:val="16"/>
          <w:szCs w:val="16"/>
          <w:color w:val="auto"/>
        </w:rPr>
      </w:pPr>
    </w:p>
    <w:p>
      <w:pPr>
        <w:ind w:left="660" w:right="100" w:firstLine="7"/>
        <w:spacing w:after="0" w:line="253" w:lineRule="auto"/>
        <w:tabs>
          <w:tab w:leader="none" w:pos="1038"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Any reference herein to a “written” agreement or document or “writing” will include any agreement or document delivered electronically or posted on the Company’s intranet (or other shared electronic medium controlled or authorized by the Company to which the Participant has access) to the extent permitted by applicable law.</w:t>
      </w:r>
    </w:p>
    <w:p>
      <w:pPr>
        <w:spacing w:after="0" w:line="201" w:lineRule="exact"/>
        <w:rPr>
          <w:rFonts w:ascii="Arial" w:cs="Arial" w:eastAsia="Arial" w:hAnsi="Arial"/>
          <w:sz w:val="16"/>
          <w:szCs w:val="16"/>
          <w:color w:val="auto"/>
        </w:rPr>
      </w:pPr>
    </w:p>
    <w:p>
      <w:pPr>
        <w:ind w:left="1040" w:hanging="373"/>
        <w:spacing w:after="0"/>
        <w:tabs>
          <w:tab w:leader="none" w:pos="1040"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Reformation; Permitted Disclosures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060" w:right="40" w:firstLine="3"/>
        <w:spacing w:after="0" w:line="251" w:lineRule="auto"/>
        <w:tabs>
          <w:tab w:leader="none" w:pos="143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If any provision regarding Detrimental Activity or any other provision set forth in the Plan or an Award Agreement is found by any court of competent jurisdiction or arbitrator to be invalid, void or unenforceable or to be excessively broad as to duration, activity, geographic application or subject, such provision or provisions shall be construed, by limiting or reducing them to the extent legally permitted, so as to be enforceable to the maximum extent compatible with then applicable law.</w:t>
      </w:r>
    </w:p>
    <w:p>
      <w:pPr>
        <w:spacing w:after="0" w:line="94" w:lineRule="exact"/>
        <w:rPr>
          <w:rFonts w:ascii="Arial" w:cs="Arial" w:eastAsia="Arial" w:hAnsi="Arial"/>
          <w:sz w:val="16"/>
          <w:szCs w:val="16"/>
          <w:color w:val="auto"/>
        </w:rPr>
      </w:pPr>
    </w:p>
    <w:p>
      <w:pPr>
        <w:ind w:left="1060" w:right="260" w:firstLine="3"/>
        <w:spacing w:after="0" w:line="248" w:lineRule="auto"/>
        <w:tabs>
          <w:tab w:leader="none" w:pos="143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Nothing contained in this Plan or any Award Agreement shall prohibit or prevent a Participant from (i) reporting possible violations of federal law or regulations, including any possible securities laws violations, to any governmental agency or entity, including the U.S. Department of Justice, the U.S. Securities and Exchange Commission, the U.S. Congress, or any agency Inspector General; (ii) making any other disclosures that are protected under the whistleblower provisions of Federal law or regulations; (iii) otherwise fully participating in any Federal whistleblower programs, including any such programs managed by the U.S. Securities and Exchange Commission or the Occupational Safety and Health Administration; or (iv) receiving individual monetary awards or other individual relief by virtue of participating in any such Federal whistleblower programs.</w:t>
      </w:r>
    </w:p>
    <w:p>
      <w:pPr>
        <w:spacing w:after="0" w:line="100" w:lineRule="exact"/>
        <w:rPr>
          <w:rFonts w:ascii="Arial" w:cs="Arial" w:eastAsia="Arial" w:hAnsi="Arial"/>
          <w:sz w:val="16"/>
          <w:szCs w:val="16"/>
          <w:color w:val="auto"/>
        </w:rPr>
      </w:pPr>
    </w:p>
    <w:p>
      <w:pPr>
        <w:ind w:left="1060" w:firstLine="3"/>
        <w:spacing w:after="0" w:line="260" w:lineRule="auto"/>
        <w:tabs>
          <w:tab w:leader="none" w:pos="143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Under the Federal Defend Trade Secrets Act of 2016, a Participant shall not be held criminally or civilly liable under any Federal or state trade secret law for the disclosure of a trade secret that is made (i) (A)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268605</wp:posOffset>
            </wp:positionV>
            <wp:extent cx="291465" cy="2743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b w:val="1"/>
          <w:bCs w:val="1"/>
          <w:color w:val="auto"/>
        </w:rPr>
        <w:t>B-22</w:t>
      </w:r>
      <w:r>
        <w:rPr>
          <w:sz w:val="20"/>
          <w:szCs w:val="20"/>
          <w:color w:val="auto"/>
        </w:rPr>
        <w:tab/>
      </w: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p>
      <w:pPr>
        <w:sectPr>
          <w:pgSz w:w="11900" w:h="16838" w:orient="portrait"/>
          <w:cols w:equalWidth="0" w:num="1">
            <w:col w:w="10580"/>
          </w:cols>
          <w:pgMar w:left="320" w:top="459" w:right="9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205740</wp:posOffset>
            </wp:positionV>
            <wp:extent cx="1251585" cy="1460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51585" cy="146050"/>
                    </a:xfrm>
                    <a:prstGeom prst="rect">
                      <a:avLst/>
                    </a:prstGeom>
                    <a:noFill/>
                  </pic:spPr>
                </pic:pic>
              </a:graphicData>
            </a:graphic>
          </wp:anchor>
        </w:drawing>
      </w:r>
    </w:p>
    <w:p>
      <w:pPr>
        <w:spacing w:after="0" w:line="331"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005CB9"/>
        </w:rPr>
        <w:t>A</w:t>
      </w:r>
      <w:r>
        <w:rPr>
          <w:rFonts w:ascii="Arial" w:cs="Arial" w:eastAsia="Arial" w:hAnsi="Arial"/>
          <w:sz w:val="11"/>
          <w:szCs w:val="11"/>
          <w:b w:val="1"/>
          <w:bCs w:val="1"/>
          <w:color w:val="005CB9"/>
        </w:rPr>
        <w:t>NNEX</w:t>
      </w:r>
      <w:r>
        <w:rPr>
          <w:rFonts w:ascii="Arial" w:cs="Arial" w:eastAsia="Arial" w:hAnsi="Arial"/>
          <w:sz w:val="14"/>
          <w:szCs w:val="14"/>
          <w:b w:val="1"/>
          <w:bCs w:val="1"/>
          <w:color w:val="005CB9"/>
        </w:rPr>
        <w:t xml:space="preserve"> B</w:t>
      </w:r>
    </w:p>
    <w:p>
      <w:pPr>
        <w:spacing w:after="0" w:line="192" w:lineRule="exact"/>
        <w:rPr>
          <w:sz w:val="20"/>
          <w:szCs w:val="20"/>
          <w:color w:val="auto"/>
        </w:rPr>
      </w:pPr>
    </w:p>
    <w:p>
      <w:pPr>
        <w:jc w:val="both"/>
        <w:ind w:left="560" w:right="180"/>
        <w:spacing w:after="0" w:line="253" w:lineRule="auto"/>
        <w:rPr>
          <w:sz w:val="20"/>
          <w:szCs w:val="20"/>
          <w:color w:val="auto"/>
        </w:rPr>
      </w:pPr>
      <w:r>
        <w:rPr>
          <w:rFonts w:ascii="Arial" w:cs="Arial" w:eastAsia="Arial" w:hAnsi="Arial"/>
          <w:sz w:val="16"/>
          <w:szCs w:val="16"/>
          <w:color w:val="auto"/>
        </w:rPr>
        <w:t>confidence to a Federal, state, or local government official, either directly or indirectly, or to an attorney; and (B) solely for the purpose of reporting or investigating a suspected violation of law; (ii) to a Participant’s attorney in relation to a lawsuit for retaliation against a Participant for reporting a suspected violation of law; or (iii) in a complaint or other document filed in a lawsuit or other proceeding, if such filing is made under seal.</w:t>
      </w:r>
    </w:p>
    <w:p>
      <w:pPr>
        <w:spacing w:after="0" w:line="201" w:lineRule="exact"/>
        <w:rPr>
          <w:sz w:val="20"/>
          <w:szCs w:val="20"/>
          <w:color w:val="auto"/>
        </w:rPr>
      </w:pPr>
    </w:p>
    <w:p>
      <w:pPr>
        <w:ind w:left="120" w:right="20" w:hanging="4"/>
        <w:spacing w:after="0" w:line="247" w:lineRule="auto"/>
        <w:tabs>
          <w:tab w:leader="none" w:pos="498"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All disputes and claims of any nature that a Participant (or such Participant’s transferee or estate) may have against the Company arising out of or in any way related to the Plan or any Award Agreement must be submitted solely and exclusively to binding arbitration in accordance with the then-current employment arbitration rules and procedures of the American Arbitration Association (AAA) to be held in New York, New York. All information regarding the dispute or claim and arbitration proceedings, including any settlement, shall not be disclosed by the Participant or any arbitrator to any third party without the written consent of the Company, except with respect to judicial enforcement of any arbitration award. Any arbitration claim must be brought solely in the Participant’s (or such Participant’s transferee’s or estate’s) individual capacity and not as a claimant or class member (or similar capacity) in any purported multiple-claimant, class, collective, representative or similar proceeding, and the arbitrator may not permit joinder of any multiple claimants and their claims without the express written consent of the Company. Any arbitrator selected to adjudicate the claim must be knowledgeable in the industry standards and practices, and, by signing an Award Agreement, each Participant will be deemed to agree that any claims pursuant to the Plan or an Award Agreement is inherently a matter involving interstate commerce and thus, notwithstanding the choice of law provision included herein, the Federal Arbitration Act shall govern the interpretation and enforcement of this arbitration provision. The arbitrator shall not be permitted to award any punitive or similar damages, but may award attorney’s fees and expenses to the prevailing party in any arbitration. Any decision by the arbitrator shall be binding on all parties to the arbitration.</w:t>
      </w:r>
    </w:p>
    <w:p>
      <w:pPr>
        <w:spacing w:after="0" w:line="211" w:lineRule="exact"/>
        <w:rPr>
          <w:rFonts w:ascii="Arial" w:cs="Arial" w:eastAsia="Arial" w:hAnsi="Arial"/>
          <w:sz w:val="16"/>
          <w:szCs w:val="16"/>
          <w:color w:val="auto"/>
        </w:rPr>
      </w:pPr>
    </w:p>
    <w:p>
      <w:pPr>
        <w:ind w:left="120" w:right="120" w:hanging="4"/>
        <w:spacing w:after="0" w:line="251" w:lineRule="auto"/>
        <w:tabs>
          <w:tab w:leader="none" w:pos="498"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Statute of Limitations</w:t>
      </w:r>
      <w:r>
        <w:rPr>
          <w:rFonts w:ascii="Arial" w:cs="Arial" w:eastAsia="Arial" w:hAnsi="Arial"/>
          <w:sz w:val="16"/>
          <w:szCs w:val="16"/>
          <w:color w:val="auto"/>
        </w:rPr>
        <w:t>. A Participant or any other person filing a claim for benefits under the Plan must file the claim within one (1) year of the date the Participant or other person knew or should have known of the facts giving rise to the claim. This one-year statute of limitations will apply in any forum where a Participant or any other person may file a claim and, unless the Company waives the time limits set forth above in its sole discretion, any claim not brought within the time periods specified shall be waived and forever barred.</w:t>
      </w:r>
    </w:p>
    <w:p>
      <w:pPr>
        <w:spacing w:after="0" w:line="202" w:lineRule="exact"/>
        <w:rPr>
          <w:rFonts w:ascii="Arial" w:cs="Arial" w:eastAsia="Arial" w:hAnsi="Arial"/>
          <w:sz w:val="16"/>
          <w:szCs w:val="16"/>
          <w:color w:val="auto"/>
        </w:rPr>
      </w:pPr>
    </w:p>
    <w:p>
      <w:pPr>
        <w:ind w:left="120" w:right="220" w:hanging="4"/>
        <w:spacing w:after="0" w:line="249" w:lineRule="auto"/>
        <w:tabs>
          <w:tab w:leader="none" w:pos="462"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Funding</w:t>
      </w:r>
      <w:r>
        <w:rPr>
          <w:rFonts w:ascii="Arial" w:cs="Arial" w:eastAsia="Arial" w:hAnsi="Arial"/>
          <w:sz w:val="16"/>
          <w:szCs w:val="16"/>
          <w:color w:val="auto"/>
        </w:rPr>
        <w:t>. No provision of the Plan shall require the Company, for the purpose of satisfying any obligations under the Plan, to purchase assets or place any assets in a trust or other entity to which contributions are made or otherwise to segregate any assets, nor shall the Company be required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and service providers under general law.</w:t>
      </w:r>
    </w:p>
    <w:p>
      <w:pPr>
        <w:spacing w:after="0" w:line="204" w:lineRule="exact"/>
        <w:rPr>
          <w:rFonts w:ascii="Arial" w:cs="Arial" w:eastAsia="Arial" w:hAnsi="Arial"/>
          <w:sz w:val="16"/>
          <w:szCs w:val="16"/>
          <w:color w:val="auto"/>
        </w:rPr>
      </w:pPr>
    </w:p>
    <w:p>
      <w:pPr>
        <w:jc w:val="both"/>
        <w:ind w:left="120" w:right="240" w:hanging="4"/>
        <w:spacing w:after="0" w:line="253" w:lineRule="auto"/>
        <w:tabs>
          <w:tab w:leader="none" w:pos="489"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Reliance on Reports</w:t>
      </w:r>
      <w:r>
        <w:rPr>
          <w:rFonts w:ascii="Arial" w:cs="Arial" w:eastAsia="Arial" w:hAnsi="Arial"/>
          <w:sz w:val="16"/>
          <w:szCs w:val="16"/>
          <w:color w:val="auto"/>
        </w:rPr>
        <w:t>. Each member of the Committee and each member of the Board shall be fully justified in relying, acting, or failing to act, and shall not be liable for having so relied, acted, or failed to act in good faith, upon any report made by the independent public accountant of the Company and its Affiliates and upon any other information furnished in connection with the Plan by any Person or Persons other than such member.</w:t>
      </w:r>
    </w:p>
    <w:p>
      <w:pPr>
        <w:spacing w:after="0" w:line="201" w:lineRule="exact"/>
        <w:rPr>
          <w:rFonts w:ascii="Arial" w:cs="Arial" w:eastAsia="Arial" w:hAnsi="Arial"/>
          <w:sz w:val="16"/>
          <w:szCs w:val="16"/>
          <w:color w:val="auto"/>
        </w:rPr>
      </w:pPr>
    </w:p>
    <w:p>
      <w:pPr>
        <w:ind w:left="120" w:right="140" w:hanging="4"/>
        <w:spacing w:after="0" w:line="253" w:lineRule="auto"/>
        <w:tabs>
          <w:tab w:leader="none" w:pos="453"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Vesting of Awards</w:t>
      </w:r>
      <w:r>
        <w:rPr>
          <w:rFonts w:ascii="Arial" w:cs="Arial" w:eastAsia="Arial" w:hAnsi="Arial"/>
          <w:sz w:val="16"/>
          <w:szCs w:val="16"/>
          <w:color w:val="auto"/>
        </w:rPr>
        <w:t>. Notwithstanding any other provisions of the Plan or an Award Agreement to the contrary, in the event that the vesting date for all or a portion of an Award occurs on a date which is not a trading day on the principal national securities exchange in the United States on which the shares of Stock are then traded, such portion of the Award will vest on the trading day immediately prior to the vesting date for the Award.</w:t>
      </w:r>
    </w:p>
    <w:p>
      <w:pPr>
        <w:spacing w:after="0" w:line="201" w:lineRule="exact"/>
        <w:rPr>
          <w:rFonts w:ascii="Arial" w:cs="Arial" w:eastAsia="Arial" w:hAnsi="Arial"/>
          <w:sz w:val="16"/>
          <w:szCs w:val="16"/>
          <w:color w:val="auto"/>
        </w:rPr>
      </w:pPr>
    </w:p>
    <w:p>
      <w:pPr>
        <w:ind w:left="120" w:right="260" w:hanging="4"/>
        <w:spacing w:after="0" w:line="260" w:lineRule="auto"/>
        <w:tabs>
          <w:tab w:leader="none" w:pos="498"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Titles and Headings</w:t>
      </w:r>
      <w:r>
        <w:rPr>
          <w:rFonts w:ascii="Arial" w:cs="Arial" w:eastAsia="Arial" w:hAnsi="Arial"/>
          <w:sz w:val="16"/>
          <w:szCs w:val="16"/>
          <w:color w:val="auto"/>
        </w:rPr>
        <w:t>. The titles and headings of the sections in the Plan are for convenience of reference only, and in the event of any conflict, the text of the Plan, rather than such titles or headings, shall control.</w:t>
      </w:r>
    </w:p>
    <w:p>
      <w:pPr>
        <w:spacing w:after="0" w:line="195" w:lineRule="exact"/>
        <w:rPr>
          <w:rFonts w:ascii="Arial" w:cs="Arial" w:eastAsia="Arial" w:hAnsi="Arial"/>
          <w:sz w:val="16"/>
          <w:szCs w:val="16"/>
          <w:color w:val="auto"/>
        </w:rPr>
      </w:pPr>
    </w:p>
    <w:p>
      <w:pPr>
        <w:ind w:left="494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291465" cy="2743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spacing w:after="0" w:line="235" w:lineRule="exact"/>
        <w:rPr>
          <w:sz w:val="20"/>
          <w:szCs w:val="20"/>
          <w:color w:val="auto"/>
        </w:rPr>
      </w:pPr>
    </w:p>
    <w:tbl>
      <w:tblPr>
        <w:tblLayout w:type="fixed"/>
        <w:tblInd w:w="6660" w:type="dxa"/>
        <w:tblCellMar>
          <w:top w:w="0" w:type="dxa"/>
          <w:left w:w="0" w:type="dxa"/>
          <w:bottom w:w="0" w:type="dxa"/>
          <w:right w:w="0" w:type="dxa"/>
        </w:tblCellMar>
      </w:tblPr>
      <w:tr>
        <w:trPr>
          <w:trHeight w:val="215"/>
        </w:trPr>
        <w:tc>
          <w:tcPr>
            <w:tcW w:w="3940" w:type="dxa"/>
            <w:vAlign w:val="bottom"/>
          </w:tcPr>
          <w:p>
            <w:pPr>
              <w:spacing w:after="0"/>
              <w:rPr>
                <w:sz w:val="20"/>
                <w:szCs w:val="20"/>
                <w:color w:val="auto"/>
              </w:rPr>
            </w:pPr>
            <w:r>
              <w:rPr>
                <w:rFonts w:ascii="Arial" w:cs="Arial" w:eastAsia="Arial" w:hAnsi="Arial"/>
                <w:sz w:val="14"/>
                <w:szCs w:val="14"/>
                <w:color w:val="005CB9"/>
              </w:rPr>
              <w:t xml:space="preserve">Take-Two Interactive Software, Inc. </w:t>
            </w:r>
            <w:r>
              <w:rPr>
                <w:rFonts w:ascii="Arial" w:cs="Arial" w:eastAsia="Arial" w:hAnsi="Arial"/>
                <w:sz w:val="14"/>
                <w:szCs w:val="14"/>
                <w:color w:val="000000"/>
              </w:rPr>
              <w:t>| 2020 Proxy Statement</w:t>
            </w:r>
          </w:p>
        </w:tc>
        <w:tc>
          <w:tcPr>
            <w:tcW w:w="540" w:type="dxa"/>
            <w:vAlign w:val="bottom"/>
          </w:tcPr>
          <w:p>
            <w:pPr>
              <w:ind w:left="180"/>
              <w:spacing w:after="0"/>
              <w:rPr>
                <w:sz w:val="20"/>
                <w:szCs w:val="20"/>
                <w:color w:val="auto"/>
              </w:rPr>
            </w:pPr>
            <w:r>
              <w:rPr>
                <w:rFonts w:ascii="Arial" w:cs="Arial" w:eastAsia="Arial" w:hAnsi="Arial"/>
                <w:sz w:val="16"/>
                <w:szCs w:val="16"/>
                <w:b w:val="1"/>
                <w:bCs w:val="1"/>
                <w:color w:val="auto"/>
                <w:w w:val="97"/>
              </w:rPr>
              <w:t>B-23</w:t>
            </w:r>
          </w:p>
        </w:tc>
      </w:tr>
    </w:tbl>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VOTE BY INTERNET - www.proxyvote.com</w:t>
      </w:r>
    </w:p>
    <w:p>
      <w:pPr>
        <w:ind w:left="5860"/>
        <w:spacing w:after="0" w:line="226" w:lineRule="auto"/>
        <w:rPr>
          <w:sz w:val="20"/>
          <w:szCs w:val="20"/>
          <w:color w:val="auto"/>
        </w:rPr>
      </w:pPr>
      <w:r>
        <w:rPr>
          <w:rFonts w:ascii="Arial" w:cs="Arial" w:eastAsia="Arial" w:hAnsi="Arial"/>
          <w:sz w:val="14"/>
          <w:szCs w:val="14"/>
          <w:color w:val="auto"/>
        </w:rPr>
        <w:t>Use the Internet to transmit your voting instructions and for electronic delivery of</w:t>
      </w:r>
    </w:p>
    <w:p>
      <w:pPr>
        <w:ind w:left="5860"/>
        <w:spacing w:after="0" w:line="221" w:lineRule="auto"/>
        <w:rPr>
          <w:sz w:val="20"/>
          <w:szCs w:val="20"/>
          <w:color w:val="auto"/>
        </w:rPr>
      </w:pPr>
      <w:r>
        <w:rPr>
          <w:rFonts w:ascii="Arial" w:cs="Arial" w:eastAsia="Arial" w:hAnsi="Arial"/>
          <w:sz w:val="14"/>
          <w:szCs w:val="14"/>
          <w:color w:val="auto"/>
        </w:rPr>
        <w:t>information up until 11:59 P.M. Eastern Time on September 15, 2020. Have your proxy</w:t>
      </w:r>
    </w:p>
    <w:p>
      <w:pPr>
        <w:ind w:left="5860"/>
        <w:spacing w:after="0" w:line="222" w:lineRule="auto"/>
        <w:rPr>
          <w:sz w:val="20"/>
          <w:szCs w:val="20"/>
          <w:color w:val="auto"/>
        </w:rPr>
      </w:pPr>
      <w:r>
        <w:rPr>
          <w:rFonts w:ascii="Arial" w:cs="Arial" w:eastAsia="Arial" w:hAnsi="Arial"/>
          <w:sz w:val="14"/>
          <w:szCs w:val="14"/>
          <w:color w:val="auto"/>
        </w:rPr>
        <w:t>card in hand when you access the web site and follow the instructions to obtain your</w:t>
      </w:r>
    </w:p>
    <w:p>
      <w:pPr>
        <w:ind w:left="5860"/>
        <w:spacing w:after="0"/>
        <w:rPr>
          <w:sz w:val="20"/>
          <w:szCs w:val="20"/>
          <w:color w:val="auto"/>
        </w:rPr>
      </w:pPr>
      <w:r>
        <w:rPr>
          <w:rFonts w:ascii="Arial" w:cs="Arial" w:eastAsia="Arial" w:hAnsi="Arial"/>
          <w:sz w:val="14"/>
          <w:szCs w:val="14"/>
          <w:color w:val="auto"/>
        </w:rPr>
        <w:t>records and to create an electronic voting instruction form.</w:t>
      </w:r>
    </w:p>
    <w:p>
      <w:pPr>
        <w:spacing w:after="0" w:line="201" w:lineRule="exact"/>
        <w:rPr>
          <w:sz w:val="20"/>
          <w:szCs w:val="20"/>
          <w:color w:val="auto"/>
        </w:rPr>
      </w:pPr>
    </w:p>
    <w:p>
      <w:pPr>
        <w:ind w:left="840"/>
        <w:spacing w:after="0"/>
        <w:tabs>
          <w:tab w:leader="none" w:pos="5840" w:val="left"/>
        </w:tabs>
        <w:rPr>
          <w:sz w:val="20"/>
          <w:szCs w:val="20"/>
          <w:color w:val="auto"/>
        </w:rPr>
      </w:pPr>
      <w:r>
        <w:rPr>
          <w:rFonts w:ascii="Arial" w:cs="Arial" w:eastAsia="Arial" w:hAnsi="Arial"/>
          <w:sz w:val="14"/>
          <w:szCs w:val="14"/>
          <w:b w:val="1"/>
          <w:bCs w:val="1"/>
          <w:i w:val="1"/>
          <w:iCs w:val="1"/>
          <w:color w:val="auto"/>
        </w:rPr>
        <w:t>TAKE-TWO INTERACTIVE SOFTWARE, INC.</w:t>
      </w:r>
      <w:r>
        <w:rPr>
          <w:sz w:val="20"/>
          <w:szCs w:val="20"/>
          <w:color w:val="auto"/>
        </w:rPr>
        <w:tab/>
      </w:r>
      <w:r>
        <w:rPr>
          <w:rFonts w:ascii="Arial" w:cs="Arial" w:eastAsia="Arial" w:hAnsi="Arial"/>
          <w:sz w:val="14"/>
          <w:szCs w:val="14"/>
          <w:b w:val="1"/>
          <w:bCs w:val="1"/>
          <w:color w:val="auto"/>
        </w:rPr>
        <w:t>ELECTRONIC DELIVERY OF FUTURE PROXY MATERIALS</w:t>
      </w:r>
    </w:p>
    <w:p>
      <w:pPr>
        <w:ind w:left="840"/>
        <w:spacing w:after="0"/>
        <w:tabs>
          <w:tab w:leader="none" w:pos="5840" w:val="left"/>
        </w:tabs>
        <w:rPr>
          <w:sz w:val="20"/>
          <w:szCs w:val="20"/>
          <w:color w:val="auto"/>
        </w:rPr>
      </w:pPr>
      <w:r>
        <w:rPr>
          <w:rFonts w:ascii="Arial" w:cs="Arial" w:eastAsia="Arial" w:hAnsi="Arial"/>
          <w:sz w:val="14"/>
          <w:szCs w:val="14"/>
          <w:b w:val="1"/>
          <w:bCs w:val="1"/>
          <w:i w:val="1"/>
          <w:iCs w:val="1"/>
          <w:color w:val="auto"/>
        </w:rPr>
        <w:t>ATTN: INVESTOR RELATIONS</w:t>
      </w:r>
      <w:r>
        <w:rPr>
          <w:sz w:val="20"/>
          <w:szCs w:val="20"/>
          <w:color w:val="auto"/>
        </w:rPr>
        <w:tab/>
      </w:r>
      <w:r>
        <w:rPr>
          <w:rFonts w:ascii="Arial" w:cs="Arial" w:eastAsia="Arial" w:hAnsi="Arial"/>
          <w:sz w:val="13"/>
          <w:szCs w:val="13"/>
          <w:color w:val="auto"/>
        </w:rPr>
        <w:t>If you would like to reduce the costs incurred by our company in mailing proxy materials,</w:t>
      </w:r>
    </w:p>
    <w:p>
      <w:pPr>
        <w:ind w:left="840"/>
        <w:spacing w:after="0"/>
        <w:tabs>
          <w:tab w:leader="none" w:pos="5840" w:val="left"/>
        </w:tabs>
        <w:rPr>
          <w:sz w:val="20"/>
          <w:szCs w:val="20"/>
          <w:color w:val="auto"/>
        </w:rPr>
      </w:pPr>
      <w:r>
        <w:rPr>
          <w:rFonts w:ascii="Arial" w:cs="Arial" w:eastAsia="Arial" w:hAnsi="Arial"/>
          <w:sz w:val="14"/>
          <w:szCs w:val="14"/>
          <w:b w:val="1"/>
          <w:bCs w:val="1"/>
          <w:i w:val="1"/>
          <w:iCs w:val="1"/>
          <w:color w:val="auto"/>
        </w:rPr>
        <w:t>110 WEST 44</w:t>
      </w:r>
      <w:r>
        <w:rPr>
          <w:rFonts w:ascii="Arial" w:cs="Arial" w:eastAsia="Arial" w:hAnsi="Arial"/>
          <w:sz w:val="12"/>
          <w:szCs w:val="12"/>
          <w:b w:val="1"/>
          <w:bCs w:val="1"/>
          <w:i w:val="1"/>
          <w:iCs w:val="1"/>
          <w:color w:val="auto"/>
        </w:rPr>
        <w:t>TH</w:t>
      </w:r>
      <w:r>
        <w:rPr>
          <w:rFonts w:ascii="Arial" w:cs="Arial" w:eastAsia="Arial" w:hAnsi="Arial"/>
          <w:sz w:val="14"/>
          <w:szCs w:val="14"/>
          <w:b w:val="1"/>
          <w:bCs w:val="1"/>
          <w:i w:val="1"/>
          <w:iCs w:val="1"/>
          <w:color w:val="auto"/>
        </w:rPr>
        <w:t xml:space="preserve"> STREET</w:t>
      </w:r>
      <w:r>
        <w:rPr>
          <w:sz w:val="20"/>
          <w:szCs w:val="20"/>
          <w:color w:val="auto"/>
        </w:rPr>
        <w:tab/>
      </w:r>
      <w:r>
        <w:rPr>
          <w:rFonts w:ascii="Arial" w:cs="Arial" w:eastAsia="Arial" w:hAnsi="Arial"/>
          <w:sz w:val="12"/>
          <w:szCs w:val="12"/>
          <w:color w:val="auto"/>
        </w:rPr>
        <w:t>you can consent to receiving all future proxy statements, proxy cards and annual reports</w:t>
      </w:r>
    </w:p>
    <w:p>
      <w:pPr>
        <w:ind w:left="840"/>
        <w:spacing w:after="0"/>
        <w:tabs>
          <w:tab w:leader="none" w:pos="5840" w:val="left"/>
        </w:tabs>
        <w:rPr>
          <w:sz w:val="20"/>
          <w:szCs w:val="20"/>
          <w:color w:val="auto"/>
        </w:rPr>
      </w:pPr>
      <w:r>
        <w:rPr>
          <w:rFonts w:ascii="Arial" w:cs="Arial" w:eastAsia="Arial" w:hAnsi="Arial"/>
          <w:sz w:val="14"/>
          <w:szCs w:val="14"/>
          <w:b w:val="1"/>
          <w:bCs w:val="1"/>
          <w:i w:val="1"/>
          <w:iCs w:val="1"/>
          <w:color w:val="auto"/>
        </w:rPr>
        <w:t>NEW YORK, NY 10036</w:t>
      </w:r>
      <w:r>
        <w:rPr>
          <w:sz w:val="20"/>
          <w:szCs w:val="20"/>
          <w:color w:val="auto"/>
        </w:rPr>
        <w:tab/>
      </w:r>
      <w:r>
        <w:rPr>
          <w:rFonts w:ascii="Arial" w:cs="Arial" w:eastAsia="Arial" w:hAnsi="Arial"/>
          <w:sz w:val="13"/>
          <w:szCs w:val="13"/>
          <w:color w:val="auto"/>
        </w:rPr>
        <w:t>electronically via e-mail or the Internet. To sign up for electronic delivery, please follow</w:t>
      </w:r>
    </w:p>
    <w:p>
      <w:pPr>
        <w:ind w:left="5860"/>
        <w:spacing w:after="0" w:line="221" w:lineRule="auto"/>
        <w:rPr>
          <w:sz w:val="20"/>
          <w:szCs w:val="20"/>
          <w:color w:val="auto"/>
        </w:rPr>
      </w:pPr>
      <w:r>
        <w:rPr>
          <w:rFonts w:ascii="Arial" w:cs="Arial" w:eastAsia="Arial" w:hAnsi="Arial"/>
          <w:sz w:val="14"/>
          <w:szCs w:val="14"/>
          <w:color w:val="auto"/>
        </w:rPr>
        <w:t>the instructions above to vote using the Internet and, when prompted, indicate that you</w:t>
      </w:r>
    </w:p>
    <w:p>
      <w:pPr>
        <w:ind w:left="5860"/>
        <w:spacing w:after="0"/>
        <w:rPr>
          <w:sz w:val="20"/>
          <w:szCs w:val="20"/>
          <w:color w:val="auto"/>
        </w:rPr>
      </w:pPr>
      <w:r>
        <w:rPr>
          <w:rFonts w:ascii="Arial" w:cs="Arial" w:eastAsia="Arial" w:hAnsi="Arial"/>
          <w:sz w:val="14"/>
          <w:szCs w:val="14"/>
          <w:color w:val="auto"/>
        </w:rPr>
        <w:t>agree to receive or access proxy materials electronically in future years.</w:t>
      </w:r>
    </w:p>
    <w:p>
      <w:pPr>
        <w:spacing w:after="0" w:line="215"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VOTE BY PHONE - 1-800-690-6903</w:t>
      </w:r>
    </w:p>
    <w:p>
      <w:pPr>
        <w:ind w:left="5860"/>
        <w:spacing w:after="0" w:line="226" w:lineRule="auto"/>
        <w:rPr>
          <w:sz w:val="20"/>
          <w:szCs w:val="20"/>
          <w:color w:val="auto"/>
        </w:rPr>
      </w:pPr>
      <w:r>
        <w:rPr>
          <w:rFonts w:ascii="Arial" w:cs="Arial" w:eastAsia="Arial" w:hAnsi="Arial"/>
          <w:sz w:val="14"/>
          <w:szCs w:val="14"/>
          <w:color w:val="auto"/>
        </w:rPr>
        <w:t>Use any touch-tone telephone to transmit your voting instructions up until 11:59 P.M.</w:t>
      </w:r>
    </w:p>
    <w:p>
      <w:pPr>
        <w:ind w:left="5860"/>
        <w:spacing w:after="0"/>
        <w:rPr>
          <w:sz w:val="20"/>
          <w:szCs w:val="20"/>
          <w:color w:val="auto"/>
        </w:rPr>
      </w:pPr>
      <w:r>
        <w:rPr>
          <w:rFonts w:ascii="Arial" w:cs="Arial" w:eastAsia="Arial" w:hAnsi="Arial"/>
          <w:sz w:val="13"/>
          <w:szCs w:val="13"/>
          <w:color w:val="auto"/>
        </w:rPr>
        <w:t>Eastern Time the day before the cut-off date or meeting date. Have your proxy card in hand</w:t>
      </w:r>
    </w:p>
    <w:p>
      <w:pPr>
        <w:ind w:left="5860"/>
        <w:spacing w:after="0"/>
        <w:rPr>
          <w:sz w:val="20"/>
          <w:szCs w:val="20"/>
          <w:color w:val="auto"/>
        </w:rPr>
      </w:pPr>
      <w:r>
        <w:rPr>
          <w:rFonts w:ascii="Arial" w:cs="Arial" w:eastAsia="Arial" w:hAnsi="Arial"/>
          <w:sz w:val="14"/>
          <w:szCs w:val="14"/>
          <w:color w:val="auto"/>
        </w:rPr>
        <w:t>when you call and then follow the instructions.</w:t>
      </w:r>
    </w:p>
    <w:p>
      <w:pPr>
        <w:spacing w:after="0" w:line="215"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VOTE BY MAIL</w:t>
      </w:r>
    </w:p>
    <w:p>
      <w:pPr>
        <w:ind w:left="5860"/>
        <w:spacing w:after="0" w:line="226" w:lineRule="auto"/>
        <w:rPr>
          <w:sz w:val="20"/>
          <w:szCs w:val="20"/>
          <w:color w:val="auto"/>
        </w:rPr>
      </w:pPr>
      <w:r>
        <w:rPr>
          <w:rFonts w:ascii="Arial" w:cs="Arial" w:eastAsia="Arial" w:hAnsi="Arial"/>
          <w:sz w:val="14"/>
          <w:szCs w:val="14"/>
          <w:color w:val="auto"/>
        </w:rPr>
        <w:t>Mark, sign and date your proxy card and return it in the postage-paid envelope we have</w:t>
      </w:r>
    </w:p>
    <w:p>
      <w:pPr>
        <w:ind w:left="5860"/>
        <w:spacing w:after="0"/>
        <w:rPr>
          <w:sz w:val="20"/>
          <w:szCs w:val="20"/>
          <w:color w:val="auto"/>
        </w:rPr>
      </w:pPr>
      <w:r>
        <w:rPr>
          <w:rFonts w:ascii="Arial" w:cs="Arial" w:eastAsia="Arial" w:hAnsi="Arial"/>
          <w:sz w:val="13"/>
          <w:szCs w:val="13"/>
          <w:color w:val="auto"/>
        </w:rPr>
        <w:t>provided or return it to Vote Processing, c/o Broadridge, 51 Mercedes Way, Edgewood, NY</w:t>
      </w:r>
    </w:p>
    <w:p>
      <w:pPr>
        <w:ind w:left="5860"/>
        <w:spacing w:after="0"/>
        <w:rPr>
          <w:sz w:val="20"/>
          <w:szCs w:val="20"/>
          <w:color w:val="auto"/>
        </w:rPr>
      </w:pPr>
      <w:r>
        <w:rPr>
          <w:rFonts w:ascii="Arial" w:cs="Arial" w:eastAsia="Arial" w:hAnsi="Arial"/>
          <w:sz w:val="14"/>
          <w:szCs w:val="14"/>
          <w:color w:val="auto"/>
        </w:rPr>
        <w:t>11717.</w:t>
      </w:r>
    </w:p>
    <w:p>
      <w:pPr>
        <w:spacing w:after="0" w:line="232" w:lineRule="exact"/>
        <w:rPr>
          <w:sz w:val="20"/>
          <w:szCs w:val="20"/>
          <w:color w:val="auto"/>
        </w:rPr>
      </w:pPr>
    </w:p>
    <w:p>
      <w:pPr>
        <w:ind w:left="120"/>
        <w:spacing w:after="0"/>
        <w:tabs>
          <w:tab w:leader="none" w:pos="8500" w:val="left"/>
        </w:tabs>
        <w:rPr>
          <w:sz w:val="20"/>
          <w:szCs w:val="20"/>
          <w:color w:val="auto"/>
        </w:rPr>
      </w:pPr>
      <w:r>
        <w:rPr>
          <w:rFonts w:ascii="Arial" w:cs="Arial" w:eastAsia="Arial" w:hAnsi="Arial"/>
          <w:sz w:val="14"/>
          <w:szCs w:val="14"/>
          <w:color w:val="auto"/>
        </w:rPr>
        <w:t>TO VOTE, MARK BLOCKS BELOW IN BLUE OR BLACK INK AS FOLLOWS:</w:t>
      </w:r>
      <w:r>
        <w:rPr>
          <w:sz w:val="20"/>
          <w:szCs w:val="20"/>
          <w:color w:val="auto"/>
        </w:rPr>
        <w:tab/>
      </w:r>
      <w:r>
        <w:rPr>
          <w:rFonts w:ascii="Arial" w:cs="Arial" w:eastAsia="Arial" w:hAnsi="Arial"/>
          <w:sz w:val="13"/>
          <w:szCs w:val="13"/>
          <w:color w:val="auto"/>
        </w:rPr>
        <w:t>KEEP THIS PORTION FOR YOUR RECORDS</w:t>
      </w:r>
    </w:p>
    <w:p>
      <w:pPr>
        <w:jc w:val="right"/>
        <w:ind w:left="120"/>
        <w:spacing w:after="0" w:line="237" w:lineRule="auto"/>
        <w:rPr>
          <w:sz w:val="20"/>
          <w:szCs w:val="20"/>
          <w:color w:val="auto"/>
        </w:rPr>
      </w:pPr>
      <w:r>
        <w:rPr>
          <w:rFonts w:ascii="Arial" w:cs="Arial" w:eastAsia="Arial" w:hAnsi="Arial"/>
          <w:sz w:val="14"/>
          <w:szCs w:val="14"/>
          <w:color w:val="auto"/>
        </w:rPr>
        <w:t>———————————————— ———————————————————— ———————————————————— —————— DETACH AND RETURN THIS PORTION ONLY</w:t>
      </w:r>
    </w:p>
    <w:p>
      <w:pPr>
        <w:spacing w:after="0" w:line="71"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4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-95885</wp:posOffset>
            </wp:positionV>
            <wp:extent cx="334010" cy="2146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34010" cy="21463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4"/>
          <w:szCs w:val="14"/>
          <w:b w:val="1"/>
          <w:bCs w:val="1"/>
          <w:color w:val="auto"/>
        </w:rPr>
        <w:t>“FOR” the following:</w:t>
      </w:r>
    </w:p>
    <w:p>
      <w:pPr>
        <w:spacing w:after="0" w:line="9" w:lineRule="exact"/>
        <w:rPr>
          <w:sz w:val="20"/>
          <w:szCs w:val="20"/>
          <w:color w:val="auto"/>
        </w:rPr>
      </w:pPr>
    </w:p>
    <w:p>
      <w:pPr>
        <w:ind w:left="620" w:right="9500" w:hanging="216"/>
        <w:spacing w:after="0" w:line="242" w:lineRule="auto"/>
        <w:tabs>
          <w:tab w:leader="none" w:pos="620" w:val="left"/>
        </w:tabs>
        <w:numPr>
          <w:ilvl w:val="0"/>
          <w:numId w:val="161"/>
        </w:numPr>
        <w:rPr>
          <w:rFonts w:ascii="Arial" w:cs="Arial" w:eastAsia="Arial" w:hAnsi="Arial"/>
          <w:sz w:val="13"/>
          <w:szCs w:val="13"/>
          <w:b w:val="1"/>
          <w:bCs w:val="1"/>
          <w:color w:val="auto"/>
        </w:rPr>
      </w:pPr>
      <w:r>
        <w:rPr>
          <w:rFonts w:ascii="Arial" w:cs="Arial" w:eastAsia="Arial" w:hAnsi="Arial"/>
          <w:sz w:val="13"/>
          <w:szCs w:val="13"/>
          <w:color w:val="auto"/>
        </w:rPr>
        <w:t>Election of Directors Nominees</w:t>
      </w:r>
    </w:p>
    <w:tbl>
      <w:tblPr>
        <w:tblLayout w:type="fixed"/>
        <w:tblInd w:w="400" w:type="dxa"/>
        <w:tblCellMar>
          <w:top w:w="0" w:type="dxa"/>
          <w:left w:w="0" w:type="dxa"/>
          <w:bottom w:w="0" w:type="dxa"/>
          <w:right w:w="0" w:type="dxa"/>
        </w:tblCellMar>
      </w:tblPr>
      <w:tr>
        <w:trPr>
          <w:trHeight w:val="129"/>
        </w:trPr>
        <w:tc>
          <w:tcPr>
            <w:tcW w:w="1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3020" w:type="dxa"/>
            <w:vAlign w:val="bottom"/>
            <w:gridSpan w:val="3"/>
          </w:tcPr>
          <w:p>
            <w:pPr>
              <w:ind w:left="1680"/>
              <w:spacing w:after="0" w:line="129" w:lineRule="exact"/>
              <w:rPr>
                <w:sz w:val="20"/>
                <w:szCs w:val="20"/>
                <w:color w:val="auto"/>
              </w:rPr>
            </w:pPr>
            <w:r>
              <w:rPr>
                <w:rFonts w:ascii="Arial" w:cs="Arial" w:eastAsia="Arial" w:hAnsi="Arial"/>
                <w:sz w:val="14"/>
                <w:szCs w:val="14"/>
                <w:b w:val="1"/>
                <w:bCs w:val="1"/>
                <w:color w:val="auto"/>
                <w:w w:val="99"/>
              </w:rPr>
              <w:t>For Against Abstain</w:t>
            </w:r>
          </w:p>
        </w:tc>
      </w:tr>
      <w:tr>
        <w:trPr>
          <w:trHeight w:val="224"/>
        </w:trPr>
        <w:tc>
          <w:tcPr>
            <w:tcW w:w="180" w:type="dxa"/>
            <w:vAlign w:val="bottom"/>
          </w:tcPr>
          <w:p>
            <w:pPr>
              <w:jc w:val="right"/>
              <w:spacing w:after="0"/>
              <w:rPr>
                <w:sz w:val="20"/>
                <w:szCs w:val="20"/>
                <w:color w:val="auto"/>
              </w:rPr>
            </w:pPr>
            <w:r>
              <w:rPr>
                <w:rFonts w:ascii="Arial" w:cs="Arial" w:eastAsia="Arial" w:hAnsi="Arial"/>
                <w:sz w:val="14"/>
                <w:szCs w:val="14"/>
                <w:color w:val="auto"/>
                <w:w w:val="76"/>
              </w:rPr>
              <w:t>01</w:t>
            </w:r>
          </w:p>
        </w:tc>
        <w:tc>
          <w:tcPr>
            <w:tcW w:w="2900" w:type="dxa"/>
            <w:vAlign w:val="bottom"/>
          </w:tcPr>
          <w:p>
            <w:pPr>
              <w:ind w:left="40"/>
              <w:spacing w:after="0"/>
              <w:rPr>
                <w:sz w:val="20"/>
                <w:szCs w:val="20"/>
                <w:color w:val="auto"/>
              </w:rPr>
            </w:pPr>
            <w:r>
              <w:rPr>
                <w:rFonts w:ascii="Arial" w:cs="Arial" w:eastAsia="Arial" w:hAnsi="Arial"/>
                <w:sz w:val="14"/>
                <w:szCs w:val="14"/>
                <w:color w:val="auto"/>
              </w:rPr>
              <w:t>Strauss Zelnick</w:t>
            </w:r>
          </w:p>
        </w:tc>
        <w:tc>
          <w:tcPr>
            <w:tcW w:w="200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26"/>
        </w:trPr>
        <w:tc>
          <w:tcPr>
            <w:tcW w:w="180" w:type="dxa"/>
            <w:vAlign w:val="bottom"/>
          </w:tcPr>
          <w:p>
            <w:pPr>
              <w:jc w:val="right"/>
              <w:spacing w:after="0"/>
              <w:rPr>
                <w:sz w:val="20"/>
                <w:szCs w:val="20"/>
                <w:color w:val="auto"/>
              </w:rPr>
            </w:pPr>
            <w:r>
              <w:rPr>
                <w:rFonts w:ascii="Arial" w:cs="Arial" w:eastAsia="Arial" w:hAnsi="Arial"/>
                <w:sz w:val="14"/>
                <w:szCs w:val="14"/>
                <w:color w:val="auto"/>
                <w:w w:val="76"/>
              </w:rPr>
              <w:t>02</w:t>
            </w:r>
          </w:p>
        </w:tc>
        <w:tc>
          <w:tcPr>
            <w:tcW w:w="2900" w:type="dxa"/>
            <w:vAlign w:val="bottom"/>
          </w:tcPr>
          <w:p>
            <w:pPr>
              <w:ind w:left="40"/>
              <w:spacing w:after="0"/>
              <w:rPr>
                <w:sz w:val="20"/>
                <w:szCs w:val="20"/>
                <w:color w:val="auto"/>
              </w:rPr>
            </w:pPr>
            <w:r>
              <w:rPr>
                <w:rFonts w:ascii="Arial" w:cs="Arial" w:eastAsia="Arial" w:hAnsi="Arial"/>
                <w:sz w:val="14"/>
                <w:szCs w:val="14"/>
                <w:color w:val="auto"/>
              </w:rPr>
              <w:t>Michael Dornemann</w:t>
            </w:r>
          </w:p>
        </w:tc>
        <w:tc>
          <w:tcPr>
            <w:tcW w:w="200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30"/>
        </w:trPr>
        <w:tc>
          <w:tcPr>
            <w:tcW w:w="180" w:type="dxa"/>
            <w:vAlign w:val="bottom"/>
          </w:tcPr>
          <w:p>
            <w:pPr>
              <w:jc w:val="right"/>
              <w:spacing w:after="0"/>
              <w:rPr>
                <w:sz w:val="20"/>
                <w:szCs w:val="20"/>
                <w:color w:val="auto"/>
              </w:rPr>
            </w:pPr>
            <w:r>
              <w:rPr>
                <w:rFonts w:ascii="Arial" w:cs="Arial" w:eastAsia="Arial" w:hAnsi="Arial"/>
                <w:sz w:val="14"/>
                <w:szCs w:val="14"/>
                <w:color w:val="auto"/>
                <w:w w:val="76"/>
              </w:rPr>
              <w:t>03</w:t>
            </w:r>
          </w:p>
        </w:tc>
        <w:tc>
          <w:tcPr>
            <w:tcW w:w="2900" w:type="dxa"/>
            <w:vAlign w:val="bottom"/>
          </w:tcPr>
          <w:p>
            <w:pPr>
              <w:ind w:left="40"/>
              <w:spacing w:after="0"/>
              <w:rPr>
                <w:sz w:val="20"/>
                <w:szCs w:val="20"/>
                <w:color w:val="auto"/>
              </w:rPr>
            </w:pPr>
            <w:r>
              <w:rPr>
                <w:rFonts w:ascii="Arial" w:cs="Arial" w:eastAsia="Arial" w:hAnsi="Arial"/>
                <w:sz w:val="14"/>
                <w:szCs w:val="14"/>
                <w:color w:val="auto"/>
              </w:rPr>
              <w:t>J Moses</w:t>
            </w:r>
          </w:p>
        </w:tc>
        <w:tc>
          <w:tcPr>
            <w:tcW w:w="200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30"/>
        </w:trPr>
        <w:tc>
          <w:tcPr>
            <w:tcW w:w="180" w:type="dxa"/>
            <w:vAlign w:val="bottom"/>
          </w:tcPr>
          <w:p>
            <w:pPr>
              <w:jc w:val="right"/>
              <w:spacing w:after="0"/>
              <w:rPr>
                <w:sz w:val="20"/>
                <w:szCs w:val="20"/>
                <w:color w:val="auto"/>
              </w:rPr>
            </w:pPr>
            <w:r>
              <w:rPr>
                <w:rFonts w:ascii="Arial" w:cs="Arial" w:eastAsia="Arial" w:hAnsi="Arial"/>
                <w:sz w:val="14"/>
                <w:szCs w:val="14"/>
                <w:color w:val="auto"/>
                <w:w w:val="76"/>
              </w:rPr>
              <w:t>04</w:t>
            </w:r>
          </w:p>
        </w:tc>
        <w:tc>
          <w:tcPr>
            <w:tcW w:w="2900" w:type="dxa"/>
            <w:vAlign w:val="bottom"/>
          </w:tcPr>
          <w:p>
            <w:pPr>
              <w:ind w:left="40"/>
              <w:spacing w:after="0"/>
              <w:rPr>
                <w:sz w:val="20"/>
                <w:szCs w:val="20"/>
                <w:color w:val="auto"/>
              </w:rPr>
            </w:pPr>
            <w:r>
              <w:rPr>
                <w:rFonts w:ascii="Arial" w:cs="Arial" w:eastAsia="Arial" w:hAnsi="Arial"/>
                <w:sz w:val="14"/>
                <w:szCs w:val="14"/>
                <w:color w:val="auto"/>
              </w:rPr>
              <w:t>Michael Sheresky</w:t>
            </w:r>
          </w:p>
        </w:tc>
        <w:tc>
          <w:tcPr>
            <w:tcW w:w="200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29"/>
        </w:trPr>
        <w:tc>
          <w:tcPr>
            <w:tcW w:w="180" w:type="dxa"/>
            <w:vAlign w:val="bottom"/>
          </w:tcPr>
          <w:p>
            <w:pPr>
              <w:jc w:val="right"/>
              <w:spacing w:after="0"/>
              <w:rPr>
                <w:sz w:val="20"/>
                <w:szCs w:val="20"/>
                <w:color w:val="auto"/>
              </w:rPr>
            </w:pPr>
            <w:r>
              <w:rPr>
                <w:rFonts w:ascii="Arial" w:cs="Arial" w:eastAsia="Arial" w:hAnsi="Arial"/>
                <w:sz w:val="14"/>
                <w:szCs w:val="14"/>
                <w:color w:val="auto"/>
                <w:w w:val="76"/>
              </w:rPr>
              <w:t>05</w:t>
            </w:r>
          </w:p>
        </w:tc>
        <w:tc>
          <w:tcPr>
            <w:tcW w:w="2900" w:type="dxa"/>
            <w:vAlign w:val="bottom"/>
          </w:tcPr>
          <w:p>
            <w:pPr>
              <w:ind w:left="40"/>
              <w:spacing w:after="0"/>
              <w:rPr>
                <w:sz w:val="20"/>
                <w:szCs w:val="20"/>
                <w:color w:val="auto"/>
              </w:rPr>
            </w:pPr>
            <w:r>
              <w:rPr>
                <w:rFonts w:ascii="Arial" w:cs="Arial" w:eastAsia="Arial" w:hAnsi="Arial"/>
                <w:sz w:val="14"/>
                <w:szCs w:val="14"/>
                <w:color w:val="auto"/>
              </w:rPr>
              <w:t>LaVerne Srinivasan</w:t>
            </w:r>
          </w:p>
        </w:tc>
        <w:tc>
          <w:tcPr>
            <w:tcW w:w="200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30"/>
        </w:trPr>
        <w:tc>
          <w:tcPr>
            <w:tcW w:w="180" w:type="dxa"/>
            <w:vAlign w:val="bottom"/>
          </w:tcPr>
          <w:p>
            <w:pPr>
              <w:jc w:val="right"/>
              <w:spacing w:after="0"/>
              <w:rPr>
                <w:sz w:val="20"/>
                <w:szCs w:val="20"/>
                <w:color w:val="auto"/>
              </w:rPr>
            </w:pPr>
            <w:r>
              <w:rPr>
                <w:rFonts w:ascii="Arial" w:cs="Arial" w:eastAsia="Arial" w:hAnsi="Arial"/>
                <w:sz w:val="14"/>
                <w:szCs w:val="14"/>
                <w:color w:val="auto"/>
                <w:w w:val="76"/>
              </w:rPr>
              <w:t>06</w:t>
            </w:r>
          </w:p>
        </w:tc>
        <w:tc>
          <w:tcPr>
            <w:tcW w:w="2900" w:type="dxa"/>
            <w:vAlign w:val="bottom"/>
          </w:tcPr>
          <w:p>
            <w:pPr>
              <w:ind w:left="40"/>
              <w:spacing w:after="0"/>
              <w:rPr>
                <w:sz w:val="20"/>
                <w:szCs w:val="20"/>
                <w:color w:val="auto"/>
              </w:rPr>
            </w:pPr>
            <w:r>
              <w:rPr>
                <w:rFonts w:ascii="Arial" w:cs="Arial" w:eastAsia="Arial" w:hAnsi="Arial"/>
                <w:sz w:val="14"/>
                <w:szCs w:val="14"/>
                <w:color w:val="auto"/>
              </w:rPr>
              <w:t>Susan Tolson</w:t>
            </w:r>
          </w:p>
        </w:tc>
        <w:tc>
          <w:tcPr>
            <w:tcW w:w="200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30"/>
        </w:trPr>
        <w:tc>
          <w:tcPr>
            <w:tcW w:w="180" w:type="dxa"/>
            <w:vAlign w:val="bottom"/>
          </w:tcPr>
          <w:p>
            <w:pPr>
              <w:jc w:val="right"/>
              <w:spacing w:after="0"/>
              <w:rPr>
                <w:sz w:val="20"/>
                <w:szCs w:val="20"/>
                <w:color w:val="auto"/>
              </w:rPr>
            </w:pPr>
            <w:r>
              <w:rPr>
                <w:rFonts w:ascii="Arial" w:cs="Arial" w:eastAsia="Arial" w:hAnsi="Arial"/>
                <w:sz w:val="14"/>
                <w:szCs w:val="14"/>
                <w:color w:val="auto"/>
                <w:w w:val="76"/>
              </w:rPr>
              <w:t>07</w:t>
            </w:r>
          </w:p>
        </w:tc>
        <w:tc>
          <w:tcPr>
            <w:tcW w:w="2900" w:type="dxa"/>
            <w:vAlign w:val="bottom"/>
          </w:tcPr>
          <w:p>
            <w:pPr>
              <w:ind w:left="40"/>
              <w:spacing w:after="0"/>
              <w:rPr>
                <w:sz w:val="20"/>
                <w:szCs w:val="20"/>
                <w:color w:val="auto"/>
              </w:rPr>
            </w:pPr>
            <w:r>
              <w:rPr>
                <w:rFonts w:ascii="Arial" w:cs="Arial" w:eastAsia="Arial" w:hAnsi="Arial"/>
                <w:sz w:val="14"/>
                <w:szCs w:val="14"/>
                <w:color w:val="auto"/>
              </w:rPr>
              <w:t>Paul Viera</w:t>
            </w:r>
          </w:p>
        </w:tc>
        <w:tc>
          <w:tcPr>
            <w:tcW w:w="200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30"/>
        </w:trPr>
        <w:tc>
          <w:tcPr>
            <w:tcW w:w="180" w:type="dxa"/>
            <w:vAlign w:val="bottom"/>
          </w:tcPr>
          <w:p>
            <w:pPr>
              <w:jc w:val="right"/>
              <w:spacing w:after="0"/>
              <w:rPr>
                <w:sz w:val="20"/>
                <w:szCs w:val="20"/>
                <w:color w:val="auto"/>
              </w:rPr>
            </w:pPr>
            <w:r>
              <w:rPr>
                <w:rFonts w:ascii="Arial" w:cs="Arial" w:eastAsia="Arial" w:hAnsi="Arial"/>
                <w:sz w:val="14"/>
                <w:szCs w:val="14"/>
                <w:color w:val="auto"/>
                <w:w w:val="76"/>
              </w:rPr>
              <w:t>08</w:t>
            </w:r>
          </w:p>
        </w:tc>
        <w:tc>
          <w:tcPr>
            <w:tcW w:w="2900" w:type="dxa"/>
            <w:vAlign w:val="bottom"/>
          </w:tcPr>
          <w:p>
            <w:pPr>
              <w:ind w:left="40"/>
              <w:spacing w:after="0"/>
              <w:rPr>
                <w:sz w:val="20"/>
                <w:szCs w:val="20"/>
                <w:color w:val="auto"/>
              </w:rPr>
            </w:pPr>
            <w:r>
              <w:rPr>
                <w:rFonts w:ascii="Arial" w:cs="Arial" w:eastAsia="Arial" w:hAnsi="Arial"/>
                <w:sz w:val="14"/>
                <w:szCs w:val="14"/>
                <w:color w:val="auto"/>
              </w:rPr>
              <w:t>Roland Hernandez</w:t>
            </w:r>
          </w:p>
        </w:tc>
        <w:tc>
          <w:tcPr>
            <w:tcW w:w="200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0" w:lineRule="exact"/>
        <w:rPr>
          <w:sz w:val="20"/>
          <w:szCs w:val="20"/>
          <w:color w:val="auto"/>
        </w:rPr>
      </w:pPr>
    </w:p>
    <w:p>
      <w:pPr>
        <w:sectPr>
          <w:pgSz w:w="11900" w:h="16838" w:orient="portrait"/>
          <w:cols w:equalWidth="0" w:num="1">
            <w:col w:w="11340"/>
          </w:cols>
          <w:pgMar w:left="320" w:top="459" w:right="239" w:bottom="1440" w:gutter="0" w:footer="0" w:header="0"/>
        </w:sectPr>
      </w:pPr>
    </w:p>
    <w:p>
      <w:pPr>
        <w:spacing w:after="0" w:line="57"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The Board of Directors recommends you vote “FOR” proposals 2, 3 and 4.</w:t>
      </w:r>
    </w:p>
    <w:p>
      <w:pPr>
        <w:spacing w:after="0" w:line="32" w:lineRule="exact"/>
        <w:rPr>
          <w:sz w:val="20"/>
          <w:szCs w:val="20"/>
          <w:color w:val="auto"/>
        </w:rPr>
      </w:pPr>
    </w:p>
    <w:p>
      <w:pPr>
        <w:ind w:left="600" w:hanging="196"/>
        <w:spacing w:after="0" w:line="253" w:lineRule="auto"/>
        <w:tabs>
          <w:tab w:leader="none" w:pos="600" w:val="left"/>
        </w:tabs>
        <w:numPr>
          <w:ilvl w:val="0"/>
          <w:numId w:val="162"/>
        </w:numPr>
        <w:rPr>
          <w:rFonts w:ascii="Arial" w:cs="Arial" w:eastAsia="Arial" w:hAnsi="Arial"/>
          <w:sz w:val="14"/>
          <w:szCs w:val="14"/>
          <w:b w:val="1"/>
          <w:bCs w:val="1"/>
          <w:color w:val="auto"/>
        </w:rPr>
      </w:pPr>
      <w:r>
        <w:rPr>
          <w:rFonts w:ascii="Arial" w:cs="Arial" w:eastAsia="Arial" w:hAnsi="Arial"/>
          <w:sz w:val="14"/>
          <w:szCs w:val="14"/>
          <w:color w:val="auto"/>
        </w:rPr>
        <w:t>Approval, on a non-binding advisory basis, of the compensation of the Company’s “named executive officers” as disclosed in the Proxy Statement.</w:t>
      </w:r>
    </w:p>
    <w:p>
      <w:pPr>
        <w:spacing w:after="0" w:line="52" w:lineRule="exact"/>
        <w:rPr>
          <w:rFonts w:ascii="Arial" w:cs="Arial" w:eastAsia="Arial" w:hAnsi="Arial"/>
          <w:sz w:val="14"/>
          <w:szCs w:val="14"/>
          <w:b w:val="1"/>
          <w:bCs w:val="1"/>
          <w:color w:val="auto"/>
        </w:rPr>
      </w:pPr>
    </w:p>
    <w:p>
      <w:pPr>
        <w:ind w:left="600" w:hanging="196"/>
        <w:spacing w:after="0"/>
        <w:tabs>
          <w:tab w:leader="none" w:pos="600" w:val="left"/>
        </w:tabs>
        <w:numPr>
          <w:ilvl w:val="0"/>
          <w:numId w:val="162"/>
        </w:numPr>
        <w:rPr>
          <w:rFonts w:ascii="Arial" w:cs="Arial" w:eastAsia="Arial" w:hAnsi="Arial"/>
          <w:sz w:val="14"/>
          <w:szCs w:val="14"/>
          <w:b w:val="1"/>
          <w:bCs w:val="1"/>
          <w:color w:val="auto"/>
        </w:rPr>
      </w:pPr>
      <w:r>
        <w:rPr>
          <w:rFonts w:ascii="Arial" w:cs="Arial" w:eastAsia="Arial" w:hAnsi="Arial"/>
          <w:sz w:val="14"/>
          <w:szCs w:val="14"/>
          <w:color w:val="auto"/>
        </w:rPr>
        <w:t>Approval of the Amended and Restated Take-Two Interactive Software, Inc. 2017 Stock Incentive Plan.</w:t>
      </w:r>
    </w:p>
    <w:p>
      <w:pPr>
        <w:spacing w:after="0" w:line="109" w:lineRule="exact"/>
        <w:rPr>
          <w:rFonts w:ascii="Arial" w:cs="Arial" w:eastAsia="Arial" w:hAnsi="Arial"/>
          <w:sz w:val="14"/>
          <w:szCs w:val="14"/>
          <w:b w:val="1"/>
          <w:bCs w:val="1"/>
          <w:color w:val="auto"/>
        </w:rPr>
      </w:pPr>
    </w:p>
    <w:p>
      <w:pPr>
        <w:ind w:left="600" w:right="120" w:hanging="196"/>
        <w:spacing w:after="0" w:line="253" w:lineRule="auto"/>
        <w:tabs>
          <w:tab w:leader="none" w:pos="600" w:val="left"/>
        </w:tabs>
        <w:numPr>
          <w:ilvl w:val="0"/>
          <w:numId w:val="162"/>
        </w:numPr>
        <w:rPr>
          <w:rFonts w:ascii="Arial" w:cs="Arial" w:eastAsia="Arial" w:hAnsi="Arial"/>
          <w:sz w:val="14"/>
          <w:szCs w:val="14"/>
          <w:b w:val="1"/>
          <w:bCs w:val="1"/>
          <w:color w:val="auto"/>
        </w:rPr>
      </w:pPr>
      <w:r>
        <w:rPr>
          <w:rFonts w:ascii="Arial" w:cs="Arial" w:eastAsia="Arial" w:hAnsi="Arial"/>
          <w:sz w:val="14"/>
          <w:szCs w:val="14"/>
          <w:color w:val="auto"/>
        </w:rPr>
        <w:t>Ratification of the appointment of Ernst &amp; Young LLP as our independent registered public accounting firm for the fiscal year ending March 31, 2021.</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34" w:lineRule="exact"/>
        <w:rPr>
          <w:sz w:val="20"/>
          <w:szCs w:val="20"/>
          <w:color w:val="auto"/>
        </w:rPr>
      </w:pPr>
    </w:p>
    <w:p>
      <w:pPr>
        <w:ind w:left="400"/>
        <w:spacing w:after="0" w:line="161" w:lineRule="exact"/>
        <w:tabs>
          <w:tab w:leader="none" w:pos="6160" w:val="left"/>
        </w:tabs>
        <w:rPr>
          <w:sz w:val="20"/>
          <w:szCs w:val="20"/>
          <w:color w:val="auto"/>
        </w:rPr>
      </w:pPr>
      <w:r>
        <w:rPr>
          <w:rFonts w:ascii="Arial" w:cs="Arial" w:eastAsia="Arial" w:hAnsi="Arial"/>
          <w:sz w:val="14"/>
          <w:szCs w:val="14"/>
          <w:color w:val="auto"/>
        </w:rPr>
        <w:t>For address change/comments, mark here.</w:t>
      </w:r>
      <w:r>
        <w:rPr>
          <w:sz w:val="20"/>
          <w:szCs w:val="20"/>
          <w:color w:val="auto"/>
        </w:rPr>
        <w:tab/>
      </w:r>
      <w:r>
        <w:rPr>
          <w:rFonts w:ascii="MS PGothic" w:cs="MS PGothic" w:eastAsia="MS PGothic" w:hAnsi="MS PGothic"/>
          <w:sz w:val="12"/>
          <w:szCs w:val="12"/>
          <w:color w:val="auto"/>
        </w:rPr>
        <w:t>☐</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(see reverse for instructions)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Against  Abstain</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26"/>
        </w:trPr>
        <w:tc>
          <w:tcPr>
            <w:tcW w:w="28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84"/>
        </w:trPr>
        <w:tc>
          <w:tcPr>
            <w:tcW w:w="28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28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87" w:lineRule="exact"/>
        <w:rPr>
          <w:sz w:val="20"/>
          <w:szCs w:val="20"/>
          <w:color w:val="auto"/>
        </w:rPr>
      </w:pPr>
    </w:p>
    <w:p>
      <w:pPr>
        <w:sectPr>
          <w:pgSz w:w="11900" w:h="16838" w:orient="portrait"/>
          <w:cols w:equalWidth="0" w:num="2">
            <w:col w:w="8420" w:space="440"/>
            <w:col w:w="2480"/>
          </w:cols>
          <w:pgMar w:left="320" w:top="459" w:right="239" w:bottom="1440" w:gutter="0" w:footer="0" w:header="0"/>
          <w:type w:val="continuous"/>
        </w:sectPr>
      </w:pPr>
    </w:p>
    <w:p>
      <w:pPr>
        <w:spacing w:after="0" w:line="5" w:lineRule="exact"/>
        <w:rPr>
          <w:sz w:val="20"/>
          <w:szCs w:val="20"/>
          <w:color w:val="auto"/>
        </w:rPr>
      </w:pPr>
    </w:p>
    <w:p>
      <w:pPr>
        <w:ind w:left="560" w:right="280"/>
        <w:spacing w:after="0" w:line="253"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139065</wp:posOffset>
            </wp:positionV>
            <wp:extent cx="6257925" cy="3511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257925" cy="351155"/>
                    </a:xfrm>
                    <a:prstGeom prst="rect">
                      <a:avLst/>
                    </a:prstGeom>
                    <a:noFill/>
                  </pic:spPr>
                </pic:pic>
              </a:graphicData>
            </a:graphic>
          </wp:anchor>
        </w:drawing>
      </w:r>
    </w:p>
    <w:p>
      <w:pPr>
        <w:sectPr>
          <w:pgSz w:w="11900" w:h="16838" w:orient="portrait"/>
          <w:cols w:equalWidth="0" w:num="1">
            <w:col w:w="11340"/>
          </w:cols>
          <w:pgMar w:left="32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Signature [PLEASE SIGN WITHIN BOX]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4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Signature (Joint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ectPr>
          <w:pgSz w:w="11900" w:h="16838" w:orient="portrait"/>
          <w:cols w:equalWidth="0" w:num="4">
            <w:col w:w="3520" w:space="720"/>
            <w:col w:w="1020" w:space="720"/>
            <w:col w:w="3020" w:space="720"/>
            <w:col w:w="1620"/>
          </w:cols>
          <w:pgMar w:left="320" w:top="459" w:right="23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 Statement is/are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jc w:val="center"/>
        <w:ind w:right="-4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Annual Meeting of Shareholders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16,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51" w:lineRule="exact"/>
        <w:rPr>
          <w:sz w:val="20"/>
          <w:szCs w:val="20"/>
          <w:color w:val="auto"/>
        </w:rPr>
      </w:pPr>
    </w:p>
    <w:p>
      <w:pPr>
        <w:ind w:left="900" w:right="720"/>
        <w:spacing w:after="0" w:line="293" w:lineRule="auto"/>
        <w:rPr>
          <w:sz w:val="20"/>
          <w:szCs w:val="20"/>
          <w:color w:val="auto"/>
        </w:rPr>
      </w:pPr>
      <w:r>
        <w:rPr>
          <w:rFonts w:ascii="Arial" w:cs="Arial" w:eastAsia="Arial" w:hAnsi="Arial"/>
          <w:sz w:val="16"/>
          <w:szCs w:val="16"/>
          <w:color w:val="auto"/>
        </w:rPr>
        <w:t>The shareholder(s) hereby appoint(s) Daniel Emerson and Matthew Breitman, or any one of them acting individually, as proxies, each with the power to appoint his substitute, and hereby authorize(s) them to represent and to vote, as designated on the reverse side of this ballot and in the discretion of the proxies on such other matters as may properly come before the meeting, all of the shares of common stock of Take-Two Interactive Software, Inc. that the shareholder(s) is/are entitled to vote at the Annual Meeting of Shareholders to be held at 9:00 a.m., local time on September 16, 2020, at the W Hotel, 201 Park Avenue South, New York, New York 10003 and any adjournment or postponement thereof.</w:t>
      </w:r>
    </w:p>
    <w:p>
      <w:pPr>
        <w:spacing w:after="0" w:line="201" w:lineRule="exact"/>
        <w:rPr>
          <w:sz w:val="20"/>
          <w:szCs w:val="20"/>
          <w:color w:val="auto"/>
        </w:rPr>
      </w:pPr>
    </w:p>
    <w:p>
      <w:pPr>
        <w:ind w:left="900" w:right="800"/>
        <w:spacing w:after="0" w:line="261" w:lineRule="auto"/>
        <w:rPr>
          <w:sz w:val="20"/>
          <w:szCs w:val="20"/>
          <w:color w:val="auto"/>
        </w:rPr>
      </w:pPr>
      <w:r>
        <w:rPr>
          <w:rFonts w:ascii="Arial" w:cs="Arial" w:eastAsia="Arial" w:hAnsi="Arial"/>
          <w:sz w:val="18"/>
          <w:szCs w:val="18"/>
          <w:b w:val="1"/>
          <w:bCs w:val="1"/>
          <w:color w:val="auto"/>
        </w:rPr>
        <w:t>THIS PROXY, WHEN PROPERLY EXECUTED, WILL BE VOTED AS DIRECTED BY THE SHAREHOLDER(S). IF NO SUCH DIRECTIONS ARE MADE, THIS PROXY WILL BE VOTED “FOR” THE ELECTION OF THE NOMINEES LISTED ON THE REVERSE SIDE OF THIS BALLOT FOR THE BOARD OF DIRECTORS, AND “FOR” PROPOSALS 2, 3 AND 4.</w:t>
      </w:r>
    </w:p>
    <w:p>
      <w:pPr>
        <w:spacing w:after="0" w:line="211" w:lineRule="exact"/>
        <w:rPr>
          <w:sz w:val="20"/>
          <w:szCs w:val="20"/>
          <w:color w:val="auto"/>
        </w:rPr>
      </w:pPr>
    </w:p>
    <w:p>
      <w:pPr>
        <w:jc w:val="both"/>
        <w:ind w:left="900" w:right="740"/>
        <w:spacing w:after="0" w:line="259" w:lineRule="auto"/>
        <w:rPr>
          <w:sz w:val="20"/>
          <w:szCs w:val="20"/>
          <w:color w:val="auto"/>
        </w:rPr>
      </w:pPr>
      <w:r>
        <w:rPr>
          <w:rFonts w:ascii="Arial" w:cs="Arial" w:eastAsia="Arial" w:hAnsi="Arial"/>
          <w:sz w:val="18"/>
          <w:szCs w:val="18"/>
          <w:color w:val="auto"/>
        </w:rPr>
        <w:t>In the event it is not possible or advisable to hold our annual meeting in person as currently planned as a result of COVID-19, we may hold the meeting solely by means of remote communication. Please monitor our website at www.take2games.com and our filings with the SEC for updated information. If you are planning to attend our meeting, please check our website the week of the meeting.</w:t>
      </w:r>
    </w:p>
    <w:p>
      <w:pPr>
        <w:spacing w:after="0" w:line="22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Address change/comments: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26035</wp:posOffset>
            </wp:positionV>
            <wp:extent cx="6103620" cy="77152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10362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(If you noted any Address Changes and/or Comments above, please mark corresponding box on the reverse side.)</w:t>
      </w:r>
    </w:p>
    <w:p>
      <w:pPr>
        <w:spacing w:after="0" w:line="23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760"/>
      </w:cols>
      <w:pgMar w:left="320" w:top="459"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lvl w:ilvl="1">
      <w:lvlJc w:val="left"/>
      <w:lvlText w:val="(%2)"/>
      <w:numFmt w:val="decimal"/>
      <w:start w:val="1"/>
    </w:lvl>
  </w:abstractNum>
  <w:abstractNum w:abstractNumId="5">
    <w:nsid w:val="100F59DC"/>
    <w:multiLevelType w:val="hybridMultilevel"/>
    <w:lvl w:ilvl="0">
      <w:lvlJc w:val="left"/>
      <w:lvlText w:val="%1."/>
      <w:numFmt w:val="decimal"/>
      <w:start w:val="2"/>
    </w:lvl>
  </w:abstractNum>
  <w:abstractNum w:abstractNumId="6">
    <w:nsid w:val="7FB7E0AA"/>
    <w:multiLevelType w:val="hybridMultilevel"/>
    <w:lvl w:ilvl="0">
      <w:lvlJc w:val="left"/>
      <w:lvlText w:val="2"/>
      <w:numFmt w:val="bullet"/>
      <w:start w:val="1"/>
    </w:lvl>
  </w:abstractNum>
  <w:abstractNum w:abstractNumId="7">
    <w:nsid w:val="6EB5BD4"/>
    <w:multiLevelType w:val="hybridMultilevel"/>
    <w:lvl w:ilvl="0">
      <w:lvlJc w:val="left"/>
      <w:lvlText w:val="2"/>
      <w:numFmt w:val="bullet"/>
      <w:start w:val="1"/>
    </w:lvl>
  </w:abstractNum>
  <w:abstractNum w:abstractNumId="8">
    <w:nsid w:val="6F6DD9AC"/>
    <w:multiLevelType w:val="hybridMultilevel"/>
    <w:lvl w:ilvl="0">
      <w:lvlJc w:val="left"/>
      <w:lvlText w:val="3"/>
      <w:numFmt w:val="bullet"/>
      <w:start w:val="1"/>
    </w:lvl>
  </w:abstractNum>
  <w:abstractNum w:abstractNumId="9">
    <w:nsid w:val="94211F2"/>
    <w:multiLevelType w:val="hybridMultilevel"/>
    <w:lvl w:ilvl="0">
      <w:lvlJc w:val="left"/>
      <w:lvlText w:val="4"/>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4"/>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1"/>
      <w:numFmt w:val="decimal"/>
      <w:start w:val="10"/>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1"/>
      <w:numFmt w:val="decimal"/>
      <w:start w:val="12"/>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1)"/>
      <w:numFmt w:val="decimal"/>
      <w:start w:val="1"/>
    </w:lvl>
  </w:abstractNum>
  <w:abstractNum w:abstractNumId="37">
    <w:nsid w:val="6A5F7029"/>
    <w:multiLevelType w:val="hybridMultilevel"/>
    <w:lvl w:ilvl="0">
      <w:lvlJc w:val="left"/>
      <w:lvlText w:val="(%1)"/>
      <w:numFmt w:val="decimal"/>
      <w:start w:val="2"/>
    </w:lvl>
  </w:abstractNum>
  <w:abstractNum w:abstractNumId="38">
    <w:nsid w:val="7D5E18F8"/>
    <w:multiLevelType w:val="hybridMultilevel"/>
    <w:lvl w:ilvl="0">
      <w:lvlJc w:val="left"/>
      <w:lvlText w:val="(%1)"/>
      <w:numFmt w:val="decimal"/>
      <w:start w:val="4"/>
    </w:lvl>
  </w:abstractNum>
  <w:abstractNum w:abstractNumId="39">
    <w:nsid w:val="5F3534A4"/>
    <w:multiLevelType w:val="hybridMultilevel"/>
    <w:lvl w:ilvl="0">
      <w:lvlJc w:val="left"/>
      <w:lvlText w:val="(%1)"/>
      <w:numFmt w:val="decimal"/>
      <w:start w:val="5"/>
    </w:lvl>
  </w:abstractNum>
  <w:abstractNum w:abstractNumId="40">
    <w:nsid w:val="73A1821B"/>
    <w:multiLevelType w:val="hybridMultilevel"/>
    <w:lvl w:ilvl="0">
      <w:lvlJc w:val="left"/>
      <w:lvlText w:val="(%1)"/>
      <w:numFmt w:val="decimal"/>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1"/>
      <w:numFmt w:val="decimal"/>
      <w:start w:val="30"/>
    </w:lvl>
  </w:abstractNum>
  <w:abstractNum w:abstractNumId="44">
    <w:nsid w:val="14FCE74E"/>
    <w:multiLevelType w:val="hybridMultilevel"/>
    <w:lvl w:ilvl="0">
      <w:lvlJc w:val="left"/>
      <w:lvlText w:val="%1."/>
      <w:numFmt w:val="upperLetter"/>
      <w:start w:val="9"/>
    </w:lvl>
  </w:abstractNum>
  <w:abstractNum w:abstractNumId="45">
    <w:nsid w:val="6A3DD3E8"/>
    <w:multiLevelType w:val="hybridMultilevel"/>
    <w:lvl w:ilvl="0">
      <w:lvlJc w:val="left"/>
      <w:lvlText w:val="%1."/>
      <w:numFmt w:val="upperLetter"/>
      <w:start w:val="35"/>
    </w:lvl>
  </w:abstractNum>
  <w:abstractNum w:abstractNumId="46">
    <w:nsid w:val="71C91298"/>
    <w:multiLevelType w:val="hybridMultilevel"/>
    <w:lvl w:ilvl="0">
      <w:lvlJc w:val="left"/>
      <w:lvlText w:val="%1."/>
      <w:numFmt w:val="upperLetter"/>
      <w:start w:val="22"/>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1)"/>
      <w:numFmt w:val="decimal"/>
      <w:start w:val="1"/>
    </w:lvl>
  </w:abstractNum>
  <w:abstractNum w:abstractNumId="52">
    <w:nsid w:val="59ADEA3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3">
    <w:nsid w:val="288F1A34"/>
    <w:multiLevelType w:val="hybridMultilevel"/>
    <w:lvl w:ilvl="0">
      <w:lvlJc w:val="left"/>
      <w:lvlText w:val="(%1)"/>
      <w:numFmt w:val="decimal"/>
      <w:start w:val="1"/>
    </w:lvl>
  </w:abstractNum>
  <w:abstractNum w:abstractNumId="54">
    <w:nsid w:val="2A155DBC"/>
    <w:multiLevelType w:val="hybridMultilevel"/>
    <w:lvl w:ilvl="0">
      <w:lvlJc w:val="left"/>
      <w:lvlText w:val="(%1)"/>
      <w:numFmt w:val="lowerRoman"/>
      <w:start w:val="1"/>
    </w:lvl>
  </w:abstractNum>
  <w:abstractNum w:abstractNumId="55">
    <w:nsid w:val="1D9F6E5F"/>
    <w:multiLevelType w:val="hybridMultilevel"/>
    <w:lvl w:ilvl="0">
      <w:lvlJc w:val="left"/>
      <w:lvlText w:val="(%1)"/>
      <w:numFmt w:val="decimal"/>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1)"/>
      <w:numFmt w:val="decimal"/>
      <w:start w:val="1"/>
    </w:lvl>
  </w:abstractNum>
  <w:abstractNum w:abstractNumId="59">
    <w:nsid w:val="53584BCB"/>
    <w:multiLevelType w:val="hybridMultilevel"/>
    <w:lvl w:ilvl="0">
      <w:lvlJc w:val="left"/>
      <w:lvlText w:val="(%1)"/>
      <w:numFmt w:val="decimal"/>
      <w:start w:val="2"/>
    </w:lvl>
  </w:abstractNum>
  <w:abstractNum w:abstractNumId="60">
    <w:nsid w:val="415E286C"/>
    <w:multiLevelType w:val="hybridMultilevel"/>
    <w:lvl w:ilvl="0">
      <w:lvlJc w:val="left"/>
      <w:lvlText w:val="(%1)"/>
      <w:numFmt w:val="decimal"/>
      <w:start w:val="4"/>
    </w:lvl>
  </w:abstractNum>
  <w:abstractNum w:abstractNumId="61">
    <w:nsid w:val="7C58FD05"/>
    <w:multiLevelType w:val="hybridMultilevel"/>
    <w:lvl w:ilvl="0">
      <w:lvlJc w:val="left"/>
      <w:lvlText w:val="(%1)"/>
      <w:numFmt w:val="decimal"/>
      <w:start w:val="1"/>
    </w:lvl>
  </w:abstractNum>
  <w:abstractNum w:abstractNumId="62">
    <w:nsid w:val="23D86AAC"/>
    <w:multiLevelType w:val="hybridMultilevel"/>
    <w:lvl w:ilvl="0">
      <w:lvlJc w:val="left"/>
      <w:lvlText w:val="(%1)"/>
      <w:numFmt w:val="decimal"/>
      <w:start w:val="1"/>
    </w:lvl>
  </w:abstractNum>
  <w:abstractNum w:abstractNumId="63">
    <w:nsid w:val="45E6D486"/>
    <w:multiLevelType w:val="hybridMultilevel"/>
    <w:lvl w:ilvl="0">
      <w:lvlJc w:val="left"/>
      <w:lvlText w:val="(%1)"/>
      <w:numFmt w:val="decimal"/>
      <w:start w:val="1"/>
    </w:lvl>
  </w:abstractNum>
  <w:abstractNum w:abstractNumId="64">
    <w:nsid w:val="5C10FE21"/>
    <w:multiLevelType w:val="hybridMultilevel"/>
    <w:lvl w:ilvl="0">
      <w:lvlJc w:val="left"/>
      <w:lvlText w:val="(%1)"/>
      <w:numFmt w:val="lowerRoman"/>
      <w:start w:val="3"/>
    </w:lvl>
  </w:abstractNum>
  <w:abstractNum w:abstractNumId="65">
    <w:nsid w:val="E7FFA2B"/>
    <w:multiLevelType w:val="hybridMultilevel"/>
    <w:lvl w:ilvl="0">
      <w:lvlJc w:val="left"/>
      <w:lvlText w:val="(%1)"/>
      <w:numFmt w:val="lowerRoman"/>
      <w:start w:val="10"/>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
      <w:numFmt w:val="bullet"/>
      <w:start w:val="1"/>
    </w:lvl>
  </w:abstractNum>
  <w:abstractNum w:abstractNumId="68">
    <w:nsid w:val="78DF6A55"/>
    <w:multiLevelType w:val="hybridMultilevel"/>
    <w:lvl w:ilvl="0">
      <w:lvlJc w:val="left"/>
      <w:lvlText w:val="(%1)"/>
      <w:numFmt w:val="decimal"/>
      <w:start w:val="1"/>
    </w:lvl>
  </w:abstractNum>
  <w:abstractNum w:abstractNumId="69">
    <w:nsid w:val="39B7AAA2"/>
    <w:multiLevelType w:val="hybridMultilevel"/>
    <w:lvl w:ilvl="0">
      <w:lvlJc w:val="left"/>
      <w:lvlText w:val="(%1)"/>
      <w:numFmt w:val="decimal"/>
      <w:start w:val="2"/>
    </w:lvl>
  </w:abstractNum>
  <w:abstractNum w:abstractNumId="70">
    <w:nsid w:val="2B0D8DBE"/>
    <w:multiLevelType w:val="hybridMultilevel"/>
    <w:lvl w:ilvl="0">
      <w:lvlJc w:val="left"/>
      <w:lvlText w:val="•"/>
      <w:numFmt w:val="bullet"/>
      <w:start w:val="1"/>
    </w:lvl>
    <w:lvl w:ilvl="1">
      <w:lvlJc w:val="left"/>
      <w:lvlText w:val="•"/>
      <w:numFmt w:val="bullet"/>
      <w:start w:val="1"/>
    </w:lvl>
  </w:abstractNum>
  <w:abstractNum w:abstractNumId="71">
    <w:nsid w:val="6C80EC70"/>
    <w:multiLevelType w:val="hybridMultilevel"/>
    <w:lvl w:ilvl="0">
      <w:lvlJc w:val="left"/>
      <w:lvlText w:val="(%1)"/>
      <w:numFmt w:val="decimal"/>
      <w:start w:val="1"/>
    </w:lvl>
  </w:abstractNum>
  <w:abstractNum w:abstractNumId="72">
    <w:nsid w:val="379E21B5"/>
    <w:multiLevelType w:val="hybridMultilevel"/>
    <w:lvl w:ilvl="0">
      <w:lvlJc w:val="left"/>
      <w:lvlText w:val="(%1)"/>
      <w:numFmt w:val="decimal"/>
      <w:start w:val="1"/>
    </w:lvl>
  </w:abstractNum>
  <w:abstractNum w:abstractNumId="73">
    <w:nsid w:val="69E373"/>
    <w:multiLevelType w:val="hybridMultilevel"/>
    <w:lvl w:ilvl="0">
      <w:lvlJc w:val="left"/>
      <w:lvlText w:val="(%1)"/>
      <w:numFmt w:val="decimal"/>
      <w:start w:val="2"/>
    </w:lvl>
  </w:abstractNum>
  <w:abstractNum w:abstractNumId="74">
    <w:nsid w:val="2C27173B"/>
    <w:multiLevelType w:val="hybridMultilevel"/>
    <w:lvl w:ilvl="0">
      <w:lvlJc w:val="left"/>
      <w:lvlText w:val="•"/>
      <w:numFmt w:val="bullet"/>
      <w:start w:val="1"/>
    </w:lvl>
  </w:abstractNum>
  <w:abstractNum w:abstractNumId="75">
    <w:nsid w:val="4C9B0904"/>
    <w:multiLevelType w:val="hybridMultilevel"/>
    <w:lvl w:ilvl="0">
      <w:lvlJc w:val="left"/>
      <w:lvlText w:val="*"/>
      <w:numFmt w:val="bullet"/>
      <w:start w:val="1"/>
    </w:lvl>
  </w:abstractNum>
  <w:abstractNum w:abstractNumId="76">
    <w:nsid w:val="6AA7B75C"/>
    <w:multiLevelType w:val="hybridMultilevel"/>
    <w:lvl w:ilvl="0">
      <w:lvlJc w:val="left"/>
      <w:lvlText w:val="(%1)"/>
      <w:numFmt w:val="decimal"/>
      <w:start w:val="1"/>
    </w:lvl>
  </w:abstractNum>
  <w:abstractNum w:abstractNumId="77">
    <w:nsid w:val="1DF029D3"/>
    <w:multiLevelType w:val="hybridMultilevel"/>
    <w:lvl w:ilvl="0">
      <w:lvlJc w:val="left"/>
      <w:lvlText w:val="(%1)"/>
      <w:numFmt w:val="decimal"/>
      <w:start w:val="7"/>
    </w:lvl>
  </w:abstractNum>
  <w:abstractNum w:abstractNumId="78">
    <w:nsid w:val="5675FF36"/>
    <w:multiLevelType w:val="hybridMultilevel"/>
    <w:lvl w:ilvl="0">
      <w:lvlJc w:val="left"/>
      <w:lvlText w:val="•"/>
      <w:numFmt w:val="bullet"/>
      <w:start w:val="1"/>
    </w:lvl>
  </w:abstractNum>
  <w:abstractNum w:abstractNumId="79">
    <w:nsid w:val="3DD15094"/>
    <w:multiLevelType w:val="hybridMultilevel"/>
    <w:lvl w:ilvl="0">
      <w:lvlJc w:val="left"/>
      <w:lvlText w:val="•"/>
      <w:numFmt w:val="bullet"/>
      <w:start w:val="1"/>
    </w:lvl>
  </w:abstractNum>
  <w:abstractNum w:abstractNumId="80">
    <w:nsid w:val="3DB012B3"/>
    <w:multiLevelType w:val="hybridMultilevel"/>
    <w:lvl w:ilvl="0">
      <w:lvlJc w:val="left"/>
      <w:lvlText w:val="•"/>
      <w:numFmt w:val="bullet"/>
      <w:start w:val="1"/>
    </w:lvl>
  </w:abstractNum>
  <w:abstractNum w:abstractNumId="81">
    <w:nsid w:val="2708C9AF"/>
    <w:multiLevelType w:val="hybridMultilevel"/>
    <w:lvl w:ilvl="0">
      <w:lvlJc w:val="left"/>
      <w:lvlText w:val="•"/>
      <w:numFmt w:val="bullet"/>
      <w:start w:val="1"/>
    </w:lvl>
  </w:abstractNum>
  <w:abstractNum w:abstractNumId="82">
    <w:nsid w:val="5B25ACE2"/>
    <w:multiLevelType w:val="hybridMultilevel"/>
    <w:lvl w:ilvl="0">
      <w:lvlJc w:val="left"/>
      <w:lvlText w:val="(%1)"/>
      <w:numFmt w:val="decimal"/>
      <w:start w:val="1"/>
    </w:lvl>
  </w:abstractNum>
  <w:abstractNum w:abstractNumId="83">
    <w:nsid w:val="175DFCF0"/>
    <w:multiLevelType w:val="hybridMultilevel"/>
    <w:lvl w:ilvl="0">
      <w:lvlJc w:val="left"/>
      <w:lvlText w:val="•"/>
      <w:numFmt w:val="bullet"/>
      <w:start w:val="1"/>
    </w:lvl>
  </w:abstractNum>
  <w:abstractNum w:abstractNumId="84">
    <w:nsid w:val="4F97E3E4"/>
    <w:multiLevelType w:val="hybridMultilevel"/>
    <w:lvl w:ilvl="0">
      <w:lvlJc w:val="left"/>
      <w:lvlText w:val="•"/>
      <w:numFmt w:val="bullet"/>
      <w:start w:val="1"/>
    </w:lvl>
  </w:abstractNum>
  <w:abstractNum w:abstractNumId="85">
    <w:nsid w:val="53B0A9E"/>
    <w:multiLevelType w:val="hybridMultilevel"/>
    <w:lvl w:ilvl="0">
      <w:lvlJc w:val="left"/>
      <w:lvlText w:val="(%1)"/>
      <w:numFmt w:val="lowerRoman"/>
      <w:start w:val="1"/>
    </w:lvl>
  </w:abstractNum>
  <w:abstractNum w:abstractNumId="86">
    <w:nsid w:val="34FD6B4F"/>
    <w:multiLevelType w:val="hybridMultilevel"/>
    <w:lvl w:ilvl="0">
      <w:lvlJc w:val="left"/>
      <w:lvlText w:val="(%1)"/>
      <w:numFmt w:val="lowerRoman"/>
      <w:start w:val="2"/>
    </w:lvl>
  </w:abstractNum>
  <w:abstractNum w:abstractNumId="87">
    <w:nsid w:val="5915FF32"/>
    <w:multiLevelType w:val="hybridMultilevel"/>
    <w:lvl w:ilvl="0">
      <w:lvlJc w:val="left"/>
      <w:lvlText w:val="(%1)"/>
      <w:numFmt w:val="lowerRoman"/>
      <w:start w:val="2"/>
    </w:lvl>
  </w:abstractNum>
  <w:abstractNum w:abstractNumId="88">
    <w:nsid w:val="56438D15"/>
    <w:multiLevelType w:val="hybridMultilevel"/>
    <w:lvl w:ilvl="0">
      <w:lvlJc w:val="left"/>
      <w:lvlText w:val="•"/>
      <w:numFmt w:val="bullet"/>
      <w:start w:val="1"/>
    </w:lvl>
  </w:abstractNum>
  <w:abstractNum w:abstractNumId="89">
    <w:nsid w:val="519E3149"/>
    <w:multiLevelType w:val="hybridMultilevel"/>
    <w:lvl w:ilvl="0">
      <w:lvlJc w:val="left"/>
      <w:lvlText w:val="•"/>
      <w:numFmt w:val="bullet"/>
      <w:start w:val="1"/>
    </w:lvl>
  </w:abstractNum>
  <w:abstractNum w:abstractNumId="90">
    <w:nsid w:val="2C6E4AFD"/>
    <w:multiLevelType w:val="hybridMultilevel"/>
    <w:lvl w:ilvl="0">
      <w:lvlJc w:val="left"/>
      <w:lvlText w:val="•"/>
      <w:numFmt w:val="bullet"/>
      <w:start w:val="1"/>
    </w:lvl>
  </w:abstractNum>
  <w:abstractNum w:abstractNumId="91">
    <w:nsid w:val="17A1B582"/>
    <w:multiLevelType w:val="hybridMultilevel"/>
    <w:lvl w:ilvl="0">
      <w:lvlJc w:val="left"/>
      <w:lvlText w:val="(%1)"/>
      <w:numFmt w:val="lowerRoman"/>
      <w:start w:val="1"/>
    </w:lvl>
  </w:abstractNum>
  <w:abstractNum w:abstractNumId="92">
    <w:nsid w:val="4DF72E4E"/>
    <w:multiLevelType w:val="hybridMultilevel"/>
    <w:lvl w:ilvl="0">
      <w:lvlJc w:val="left"/>
      <w:lvlText w:val="(%1)"/>
      <w:numFmt w:val="decimal"/>
      <w:start w:val="1"/>
    </w:lvl>
  </w:abstractNum>
  <w:abstractNum w:abstractNumId="93">
    <w:nsid w:val="5046B5A9"/>
    <w:multiLevelType w:val="hybridMultilevel"/>
    <w:lvl w:ilvl="0">
      <w:lvlJc w:val="left"/>
      <w:lvlText w:val="(%1)"/>
      <w:numFmt w:val="decimal"/>
      <w:start w:val="1"/>
    </w:lvl>
  </w:abstractNum>
  <w:abstractNum w:abstractNumId="94">
    <w:nsid w:val="5D888A08"/>
    <w:multiLevelType w:val="hybridMultilevel"/>
    <w:lvl w:ilvl="0">
      <w:lvlJc w:val="left"/>
      <w:lvlText w:val="(%1)"/>
      <w:numFmt w:val="decimal"/>
      <w:start w:val="1"/>
    </w:lvl>
  </w:abstractNum>
  <w:abstractNum w:abstractNumId="95">
    <w:nsid w:val="2A082C70"/>
    <w:multiLevelType w:val="hybridMultilevel"/>
    <w:lvl w:ilvl="0">
      <w:lvlJc w:val="left"/>
      <w:lvlText w:val="•"/>
      <w:numFmt w:val="bullet"/>
      <w:start w:val="1"/>
    </w:lvl>
  </w:abstractNum>
  <w:abstractNum w:abstractNumId="96">
    <w:nsid w:val="5EC6AFD4"/>
    <w:multiLevelType w:val="hybridMultilevel"/>
    <w:lvl w:ilvl="0">
      <w:lvlJc w:val="left"/>
      <w:lvlText w:val="•"/>
      <w:numFmt w:val="bullet"/>
      <w:start w:val="1"/>
    </w:lvl>
  </w:abstractNum>
  <w:abstractNum w:abstractNumId="97">
    <w:nsid w:val="19E21BB2"/>
    <w:multiLevelType w:val="hybridMultilevel"/>
    <w:lvl w:ilvl="0">
      <w:lvlJc w:val="left"/>
      <w:lvlText w:val="%1"/>
      <w:numFmt w:val="decimal"/>
      <w:start w:val="92"/>
    </w:lvl>
  </w:abstractNum>
  <w:abstractNum w:abstractNumId="98">
    <w:nsid w:val="75E0858A"/>
    <w:multiLevelType w:val="hybridMultilevel"/>
    <w:lvl w:ilvl="0">
      <w:lvlJc w:val="left"/>
      <w:lvlText w:val="%1."/>
      <w:numFmt w:val="decimal"/>
      <w:start w:val="1"/>
    </w:lvl>
  </w:abstractNum>
  <w:abstractNum w:abstractNumId="99">
    <w:nsid w:val="57A61A29"/>
    <w:multiLevelType w:val="hybridMultilevel"/>
    <w:lvl w:ilvl="0">
      <w:lvlJc w:val="left"/>
      <w:lvlText w:val="%1."/>
      <w:numFmt w:val="decimal"/>
      <w:start w:val="2"/>
    </w:lvl>
  </w:abstractNum>
  <w:abstractNum w:abstractNumId="100">
    <w:nsid w:val="5399C654"/>
    <w:multiLevelType w:val="hybridMultilevel"/>
    <w:lvl w:ilvl="0">
      <w:lvlJc w:val="left"/>
      <w:lvlText w:val="(%1)"/>
      <w:numFmt w:val="lowerLetter"/>
      <w:start w:val="1"/>
    </w:lvl>
  </w:abstractNum>
  <w:abstractNum w:abstractNumId="101">
    <w:nsid w:val="20EE1348"/>
    <w:multiLevelType w:val="hybridMultilevel"/>
    <w:lvl w:ilvl="0">
      <w:lvlJc w:val="left"/>
      <w:lvlText w:val="(%1)"/>
      <w:numFmt w:val="lowerLetter"/>
      <w:start w:val="7"/>
    </w:lvl>
    <w:lvl w:ilvl="1">
      <w:lvlJc w:val="left"/>
      <w:lvlText w:val="(%2)"/>
      <w:numFmt w:val="decimal"/>
      <w:start w:val="1"/>
    </w:lvl>
  </w:abstractNum>
  <w:abstractNum w:abstractNumId="102">
    <w:nsid w:val="4427069A"/>
    <w:multiLevelType w:val="hybridMultilevel"/>
    <w:lvl w:ilvl="0">
      <w:lvlJc w:val="left"/>
      <w:lvlText w:val="(%1)"/>
      <w:numFmt w:val="lowerLetter"/>
      <w:start w:val="8"/>
    </w:lvl>
    <w:lvl w:ilvl="1">
      <w:lvlJc w:val="left"/>
      <w:lvlText w:val="(%2)"/>
      <w:numFmt w:val="decimal"/>
      <w:start w:val="1"/>
    </w:lvl>
  </w:abstractNum>
  <w:abstractNum w:abstractNumId="103">
    <w:nsid w:val="B37E80A"/>
    <w:multiLevelType w:val="hybridMultilevel"/>
    <w:lvl w:ilvl="0">
      <w:lvlJc w:val="left"/>
      <w:lvlText w:val="(%1)"/>
      <w:numFmt w:val="lowerLetter"/>
      <w:start w:val="16"/>
    </w:lvl>
  </w:abstractNum>
  <w:abstractNum w:abstractNumId="104">
    <w:nsid w:val="2157F6BC"/>
    <w:multiLevelType w:val="hybridMultilevel"/>
    <w:lvl w:ilvl="0">
      <w:lvlJc w:val="left"/>
      <w:lvlText w:val="(%1)"/>
      <w:numFmt w:val="lowerLetter"/>
      <w:start w:val="23"/>
    </w:lvl>
  </w:abstractNum>
  <w:abstractNum w:abstractNumId="105">
    <w:nsid w:val="704E1DD5"/>
    <w:multiLevelType w:val="hybridMultilevel"/>
    <w:lvl w:ilvl="0">
      <w:lvlJc w:val="left"/>
      <w:lvlText w:val="(%1)"/>
      <w:numFmt w:val="lowerLetter"/>
      <w:start w:val="27"/>
    </w:lvl>
  </w:abstractNum>
  <w:abstractNum w:abstractNumId="106">
    <w:nsid w:val="57D2F10E"/>
    <w:multiLevelType w:val="hybridMultilevel"/>
    <w:lvl w:ilvl="0">
      <w:lvlJc w:val="left"/>
      <w:lvlText w:val="(%1)"/>
      <w:numFmt w:val="lowerLetter"/>
      <w:start w:val="38"/>
    </w:lvl>
  </w:abstractNum>
  <w:abstractNum w:abstractNumId="107">
    <w:nsid w:val="BFFAE18"/>
    <w:multiLevelType w:val="hybridMultilevel"/>
    <w:lvl w:ilvl="0">
      <w:lvlJc w:val="left"/>
      <w:lvlText w:val="(%1)"/>
      <w:numFmt w:val="lowerLetter"/>
      <w:start w:val="53"/>
    </w:lvl>
  </w:abstractNum>
  <w:abstractNum w:abstractNumId="108">
    <w:nsid w:val="E3E47A8"/>
    <w:multiLevelType w:val="hybridMultilevel"/>
    <w:lvl w:ilvl="0">
      <w:lvlJc w:val="left"/>
      <w:lvlText w:val="(%1)"/>
      <w:numFmt w:val="lowerLetter"/>
      <w:start w:val="54"/>
    </w:lvl>
  </w:abstractNum>
  <w:abstractNum w:abstractNumId="109">
    <w:nsid w:val="2E48F044"/>
    <w:multiLevelType w:val="hybridMultilevel"/>
    <w:lvl w:ilvl="0">
      <w:lvlJc w:val="left"/>
      <w:lvlText w:val="%1."/>
      <w:numFmt w:val="decimal"/>
      <w:start w:val="3"/>
    </w:lvl>
  </w:abstractNum>
  <w:abstractNum w:abstractNumId="110">
    <w:nsid w:val="49D0FEAC"/>
    <w:multiLevelType w:val="hybridMultilevel"/>
    <w:lvl w:ilvl="0">
      <w:lvlJc w:val="left"/>
      <w:lvlText w:val="(%1)"/>
      <w:numFmt w:val="lowerLetter"/>
      <w:start w:val="1"/>
    </w:lvl>
  </w:abstractNum>
  <w:abstractNum w:abstractNumId="111">
    <w:nsid w:val="4BEE5A5B"/>
    <w:multiLevelType w:val="hybridMultilevel"/>
    <w:lvl w:ilvl="0">
      <w:lvlJc w:val="left"/>
      <w:lvlText w:val="(%1)"/>
      <w:numFmt w:val="lowerLetter"/>
      <w:start w:val="2"/>
    </w:lvl>
  </w:abstractNum>
  <w:abstractNum w:abstractNumId="112">
    <w:nsid w:val="5551B9F3"/>
    <w:multiLevelType w:val="hybridMultilevel"/>
    <w:lvl w:ilvl="0">
      <w:lvlJc w:val="left"/>
      <w:lvlText w:val="%1."/>
      <w:numFmt w:val="decimal"/>
      <w:start w:val="4"/>
    </w:lvl>
  </w:abstractNum>
  <w:abstractNum w:abstractNumId="113">
    <w:nsid w:val="24F6AB8E"/>
    <w:multiLevelType w:val="hybridMultilevel"/>
    <w:lvl w:ilvl="0">
      <w:lvlJc w:val="left"/>
      <w:lvlText w:val="(%1)"/>
      <w:numFmt w:val="lowerLetter"/>
      <w:start w:val="1"/>
    </w:lvl>
  </w:abstractNum>
  <w:abstractNum w:abstractNumId="114">
    <w:nsid w:val="634C574C"/>
    <w:multiLevelType w:val="hybridMultilevel"/>
    <w:lvl w:ilvl="0">
      <w:lvlJc w:val="left"/>
      <w:lvlText w:val="(%1)"/>
      <w:numFmt w:val="lowerLetter"/>
      <w:start w:val="3"/>
    </w:lvl>
  </w:abstractNum>
  <w:abstractNum w:abstractNumId="115">
    <w:nsid w:val="24E99DD7"/>
    <w:multiLevelType w:val="hybridMultilevel"/>
    <w:lvl w:ilvl="0">
      <w:lvlJc w:val="left"/>
      <w:lvlText w:val="%1."/>
      <w:numFmt w:val="decimal"/>
      <w:start w:val="5"/>
    </w:lvl>
  </w:abstractNum>
  <w:abstractNum w:abstractNumId="116">
    <w:nsid w:val="2A31B62D"/>
    <w:multiLevelType w:val="hybridMultilevel"/>
    <w:lvl w:ilvl="0">
      <w:lvlJc w:val="left"/>
      <w:lvlText w:val="(%1)"/>
      <w:numFmt w:val="lowerLetter"/>
      <w:start w:val="1"/>
    </w:lvl>
  </w:abstractNum>
  <w:abstractNum w:abstractNumId="117">
    <w:nsid w:val="1849C29B"/>
    <w:multiLevelType w:val="hybridMultilevel"/>
    <w:lvl w:ilvl="0">
      <w:lvlJc w:val="left"/>
      <w:lvlText w:val="(%1)"/>
      <w:numFmt w:val="lowerRoman"/>
      <w:start w:val="1"/>
    </w:lvl>
  </w:abstractNum>
  <w:abstractNum w:abstractNumId="118">
    <w:nsid w:val="7DFF9D09"/>
    <w:multiLevelType w:val="hybridMultilevel"/>
    <w:lvl w:ilvl="0">
      <w:lvlJc w:val="left"/>
      <w:lvlText w:val="(%1)"/>
      <w:numFmt w:val="lowerLetter"/>
      <w:start w:val="2"/>
    </w:lvl>
    <w:lvl w:ilvl="1">
      <w:lvlJc w:val="left"/>
      <w:lvlText w:val="(%2)"/>
      <w:numFmt w:val="decimal"/>
      <w:start w:val="1"/>
    </w:lvl>
  </w:abstractNum>
  <w:abstractNum w:abstractNumId="119">
    <w:nsid w:val="754342"/>
    <w:multiLevelType w:val="hybridMultilevel"/>
    <w:lvl w:ilvl="0">
      <w:lvlJc w:val="left"/>
      <w:lvlText w:val="%1"/>
      <w:numFmt w:val="lowerLetter"/>
      <w:start w:val="1"/>
    </w:lvl>
    <w:lvl w:ilvl="1">
      <w:lvlJc w:val="left"/>
      <w:lvlText w:val="(%2)"/>
      <w:numFmt w:val="decimal"/>
      <w:start w:val="2"/>
    </w:lvl>
  </w:abstractNum>
  <w:abstractNum w:abstractNumId="120">
    <w:nsid w:val="69E7F3E5"/>
    <w:multiLevelType w:val="hybridMultilevel"/>
    <w:lvl w:ilvl="0">
      <w:lvlJc w:val="left"/>
      <w:lvlText w:val="(%1)"/>
      <w:numFmt w:val="lowerLetter"/>
      <w:start w:val="7"/>
    </w:lvl>
    <w:lvl w:ilvl="1">
      <w:lvlJc w:val="left"/>
      <w:lvlText w:val="(%2)"/>
      <w:numFmt w:val="decimal"/>
      <w:start w:val="1"/>
    </w:lvl>
  </w:abstractNum>
  <w:abstractNum w:abstractNumId="121">
    <w:nsid w:val="2A6DE806"/>
    <w:multiLevelType w:val="hybridMultilevel"/>
    <w:lvl w:ilvl="0">
      <w:lvlJc w:val="left"/>
      <w:lvlText w:val="%1."/>
      <w:numFmt w:val="decimal"/>
      <w:start w:val="6"/>
    </w:lvl>
  </w:abstractNum>
  <w:abstractNum w:abstractNumId="122">
    <w:nsid w:val="1816F8C4"/>
    <w:multiLevelType w:val="hybridMultilevel"/>
    <w:lvl w:ilvl="0">
      <w:lvlJc w:val="left"/>
      <w:lvlText w:val="(%1)"/>
      <w:numFmt w:val="lowerLetter"/>
      <w:start w:val="1"/>
    </w:lvl>
  </w:abstractNum>
  <w:abstractNum w:abstractNumId="123">
    <w:nsid w:val="37DF2233"/>
    <w:multiLevelType w:val="hybridMultilevel"/>
    <w:lvl w:ilvl="0">
      <w:lvlJc w:val="left"/>
      <w:lvlText w:val="(%1)"/>
      <w:numFmt w:val="lowerLetter"/>
      <w:start w:val="3"/>
    </w:lvl>
  </w:abstractNum>
  <w:abstractNum w:abstractNumId="124">
    <w:nsid w:val="7AB49DAF"/>
    <w:multiLevelType w:val="hybridMultilevel"/>
    <w:lvl w:ilvl="0">
      <w:lvlJc w:val="left"/>
      <w:lvlText w:val="%1."/>
      <w:numFmt w:val="decimal"/>
      <w:start w:val="7"/>
    </w:lvl>
  </w:abstractNum>
  <w:abstractNum w:abstractNumId="125">
    <w:nsid w:val="759F82CD"/>
    <w:multiLevelType w:val="hybridMultilevel"/>
    <w:lvl w:ilvl="0">
      <w:lvlJc w:val="left"/>
      <w:lvlText w:val="(%1)"/>
      <w:numFmt w:val="lowerLetter"/>
      <w:start w:val="1"/>
    </w:lvl>
  </w:abstractNum>
  <w:abstractNum w:abstractNumId="126">
    <w:nsid w:val="61E74EA3"/>
    <w:multiLevelType w:val="hybridMultilevel"/>
    <w:lvl w:ilvl="0">
      <w:lvlJc w:val="left"/>
      <w:lvlText w:val="%1."/>
      <w:numFmt w:val="decimal"/>
      <w:start w:val="8"/>
    </w:lvl>
  </w:abstractNum>
  <w:abstractNum w:abstractNumId="127">
    <w:nsid w:val="597B4D84"/>
    <w:multiLevelType w:val="hybridMultilevel"/>
    <w:lvl w:ilvl="0">
      <w:lvlJc w:val="left"/>
      <w:lvlText w:val="(%1)"/>
      <w:numFmt w:val="lowerLetter"/>
      <w:start w:val="1"/>
    </w:lvl>
  </w:abstractNum>
  <w:abstractNum w:abstractNumId="128">
    <w:nsid w:val="F819E7F"/>
    <w:multiLevelType w:val="hybridMultilevel"/>
    <w:lvl w:ilvl="0">
      <w:lvlJc w:val="left"/>
      <w:lvlText w:val="(%1)"/>
      <w:numFmt w:val="lowerLetter"/>
      <w:start w:val="4"/>
    </w:lvl>
    <w:lvl w:ilvl="1">
      <w:lvlJc w:val="left"/>
      <w:lvlText w:val="(%2)"/>
      <w:numFmt w:val="decimal"/>
      <w:start w:val="1"/>
    </w:lvl>
  </w:abstractNum>
  <w:abstractNum w:abstractNumId="129">
    <w:nsid w:val="57C7D42D"/>
    <w:multiLevelType w:val="hybridMultilevel"/>
    <w:lvl w:ilvl="0">
      <w:lvlJc w:val="left"/>
      <w:lvlText w:val="%1"/>
      <w:numFmt w:val="lowerLetter"/>
      <w:start w:val="1"/>
    </w:lvl>
    <w:lvl w:ilvl="1">
      <w:lvlJc w:val="left"/>
      <w:lvlText w:val="(%2)"/>
      <w:numFmt w:val="decimal"/>
      <w:start w:val="12"/>
    </w:lvl>
  </w:abstractNum>
  <w:abstractNum w:abstractNumId="130">
    <w:nsid w:val="312167AD"/>
    <w:multiLevelType w:val="hybridMultilevel"/>
    <w:lvl w:ilvl="0">
      <w:lvlJc w:val="left"/>
      <w:lvlText w:val="%1"/>
      <w:numFmt w:val="decimal"/>
      <w:start w:val="1"/>
    </w:lvl>
    <w:lvl w:ilvl="1">
      <w:lvlJc w:val="left"/>
      <w:lvlText w:val="(%2)"/>
      <w:numFmt w:val="decimal"/>
      <w:start w:val="3"/>
    </w:lvl>
  </w:abstractNum>
  <w:abstractNum w:abstractNumId="131">
    <w:nsid w:val="631B64D4"/>
    <w:multiLevelType w:val="hybridMultilevel"/>
    <w:lvl w:ilvl="0">
      <w:lvlJc w:val="left"/>
      <w:lvlText w:val="%1."/>
      <w:numFmt w:val="decimal"/>
      <w:start w:val="9"/>
    </w:lvl>
    <w:lvl w:ilvl="1">
      <w:lvlJc w:val="left"/>
      <w:lvlText w:val="%2"/>
      <w:numFmt w:val="decimal"/>
      <w:start w:val="1"/>
    </w:lvl>
  </w:abstractNum>
  <w:abstractNum w:abstractNumId="132">
    <w:nsid w:val="78B5E776"/>
    <w:multiLevelType w:val="hybridMultilevel"/>
    <w:lvl w:ilvl="0">
      <w:lvlJc w:val="left"/>
      <w:lvlText w:val="(%1)"/>
      <w:numFmt w:val="lowerLetter"/>
      <w:start w:val="1"/>
    </w:lvl>
  </w:abstractNum>
  <w:abstractNum w:abstractNumId="133">
    <w:nsid w:val="75486E47"/>
    <w:multiLevelType w:val="hybridMultilevel"/>
    <w:lvl w:ilvl="0">
      <w:lvlJc w:val="left"/>
      <w:lvlText w:val="(%1)"/>
      <w:numFmt w:val="lowerLetter"/>
      <w:start w:val="6"/>
    </w:lvl>
    <w:lvl w:ilvl="1">
      <w:lvlJc w:val="left"/>
      <w:lvlText w:val="(%2)"/>
      <w:numFmt w:val="decimal"/>
      <w:start w:val="1"/>
    </w:lvl>
  </w:abstractNum>
  <w:abstractNum w:abstractNumId="134">
    <w:nsid w:val="6E534CDE"/>
    <w:multiLevelType w:val="hybridMultilevel"/>
    <w:lvl w:ilvl="0">
      <w:lvlJc w:val="left"/>
      <w:lvlText w:val="%1."/>
      <w:numFmt w:val="decimal"/>
      <w:start w:val="10"/>
    </w:lvl>
  </w:abstractNum>
  <w:abstractNum w:abstractNumId="135">
    <w:nsid w:val="1A0DDE32"/>
    <w:multiLevelType w:val="hybridMultilevel"/>
    <w:lvl w:ilvl="0">
      <w:lvlJc w:val="left"/>
      <w:lvlText w:val="%1."/>
      <w:numFmt w:val="decimal"/>
      <w:start w:val="11"/>
    </w:lvl>
  </w:abstractNum>
  <w:abstractNum w:abstractNumId="136">
    <w:nsid w:val="65968C1C"/>
    <w:multiLevelType w:val="hybridMultilevel"/>
    <w:lvl w:ilvl="0">
      <w:lvlJc w:val="left"/>
      <w:lvlText w:val="(%1)"/>
      <w:numFmt w:val="lowerLetter"/>
      <w:start w:val="1"/>
    </w:lvl>
  </w:abstractNum>
  <w:abstractNum w:abstractNumId="137">
    <w:nsid w:val="46263DEC"/>
    <w:multiLevelType w:val="hybridMultilevel"/>
    <w:lvl w:ilvl="0">
      <w:lvlJc w:val="left"/>
      <w:lvlText w:val="(%1)"/>
      <w:numFmt w:val="decimal"/>
      <w:start w:val="3"/>
    </w:lvl>
  </w:abstractNum>
  <w:abstractNum w:abstractNumId="138">
    <w:nsid w:val="260D8C4A"/>
    <w:multiLevelType w:val="hybridMultilevel"/>
    <w:lvl w:ilvl="0">
      <w:lvlJc w:val="left"/>
      <w:lvlText w:val="(%1)"/>
      <w:numFmt w:val="lowerLetter"/>
      <w:start w:val="2"/>
    </w:lvl>
    <w:lvl w:ilvl="1">
      <w:lvlJc w:val="left"/>
      <w:lvlText w:val="(%2)"/>
      <w:numFmt w:val="decimal"/>
      <w:start w:val="1"/>
    </w:lvl>
  </w:abstractNum>
  <w:abstractNum w:abstractNumId="139">
    <w:nsid w:val="73D4D3C4"/>
    <w:multiLevelType w:val="hybridMultilevel"/>
    <w:lvl w:ilvl="0">
      <w:lvlJc w:val="left"/>
      <w:lvlText w:val="(%1)"/>
      <w:numFmt w:val="decimal"/>
      <w:start w:val="5"/>
    </w:lvl>
  </w:abstractNum>
  <w:abstractNum w:abstractNumId="140">
    <w:nsid w:val="746F2E30"/>
    <w:multiLevelType w:val="hybridMultilevel"/>
    <w:lvl w:ilvl="0">
      <w:lvlJc w:val="left"/>
      <w:lvlText w:val="(%1)"/>
      <w:numFmt w:val="decimal"/>
      <w:start w:val="30"/>
    </w:lvl>
  </w:abstractNum>
  <w:abstractNum w:abstractNumId="141">
    <w:nsid w:val="6FDE8AF6"/>
    <w:multiLevelType w:val="hybridMultilevel"/>
    <w:lvl w:ilvl="0">
      <w:lvlJc w:val="left"/>
      <w:lvlText w:val="(%1)"/>
      <w:numFmt w:val="upperLetter"/>
      <w:start w:val="2"/>
    </w:lvl>
  </w:abstractNum>
  <w:abstractNum w:abstractNumId="142">
    <w:nsid w:val="3FC32E20"/>
    <w:multiLevelType w:val="hybridMultilevel"/>
    <w:lvl w:ilvl="0">
      <w:lvlJc w:val="left"/>
      <w:lvlText w:val="(%1)"/>
      <w:numFmt w:val="lowerLetter"/>
      <w:start w:val="3"/>
    </w:lvl>
  </w:abstractNum>
  <w:abstractNum w:abstractNumId="143">
    <w:nsid w:val="49C0E823"/>
    <w:multiLevelType w:val="hybridMultilevel"/>
    <w:lvl w:ilvl="0">
      <w:lvlJc w:val="left"/>
      <w:lvlText w:val="%1."/>
      <w:numFmt w:val="decimal"/>
      <w:start w:val="12"/>
    </w:lvl>
  </w:abstractNum>
  <w:abstractNum w:abstractNumId="144">
    <w:nsid w:val="14D53685"/>
    <w:multiLevelType w:val="hybridMultilevel"/>
    <w:lvl w:ilvl="0">
      <w:lvlJc w:val="left"/>
      <w:lvlText w:val="%1."/>
      <w:numFmt w:val="decimal"/>
      <w:start w:val="13"/>
    </w:lvl>
  </w:abstractNum>
  <w:abstractNum w:abstractNumId="145">
    <w:nsid w:val="230F856C"/>
    <w:multiLevelType w:val="hybridMultilevel"/>
    <w:lvl w:ilvl="0">
      <w:lvlJc w:val="left"/>
      <w:lvlText w:val="%1."/>
      <w:numFmt w:val="decimal"/>
      <w:start w:val="14"/>
    </w:lvl>
  </w:abstractNum>
  <w:abstractNum w:abstractNumId="146">
    <w:nsid w:val="6EAA85FB"/>
    <w:multiLevelType w:val="hybridMultilevel"/>
    <w:lvl w:ilvl="0">
      <w:lvlJc w:val="left"/>
      <w:lvlText w:val="%1."/>
      <w:numFmt w:val="decimal"/>
      <w:start w:val="15"/>
    </w:lvl>
  </w:abstractNum>
  <w:abstractNum w:abstractNumId="147">
    <w:nsid w:val="3F06ECB2"/>
    <w:multiLevelType w:val="hybridMultilevel"/>
    <w:lvl w:ilvl="0">
      <w:lvlJc w:val="left"/>
      <w:lvlText w:val="%1."/>
      <w:numFmt w:val="decimal"/>
      <w:start w:val="16"/>
    </w:lvl>
  </w:abstractNum>
  <w:abstractNum w:abstractNumId="148">
    <w:nsid w:val="3B594807"/>
    <w:multiLevelType w:val="hybridMultilevel"/>
    <w:lvl w:ilvl="0">
      <w:lvlJc w:val="left"/>
      <w:lvlText w:val="%1."/>
      <w:numFmt w:val="decimal"/>
      <w:start w:val="17"/>
    </w:lvl>
  </w:abstractNum>
  <w:abstractNum w:abstractNumId="149">
    <w:nsid w:val="6CAA2304"/>
    <w:multiLevelType w:val="hybridMultilevel"/>
    <w:lvl w:ilvl="0">
      <w:lvlJc w:val="left"/>
      <w:lvlText w:val="%1."/>
      <w:numFmt w:val="decimal"/>
      <w:start w:val="18"/>
    </w:lvl>
  </w:abstractNum>
  <w:abstractNum w:abstractNumId="150">
    <w:nsid w:val="3F7C2FF4"/>
    <w:multiLevelType w:val="hybridMultilevel"/>
    <w:lvl w:ilvl="0">
      <w:lvlJc w:val="left"/>
      <w:lvlText w:val="(%1)"/>
      <w:numFmt w:val="lowerLetter"/>
      <w:start w:val="1"/>
    </w:lvl>
  </w:abstractNum>
  <w:abstractNum w:abstractNumId="151">
    <w:nsid w:val="25413BEC"/>
    <w:multiLevelType w:val="hybridMultilevel"/>
    <w:lvl w:ilvl="0">
      <w:lvlJc w:val="left"/>
      <w:lvlText w:val="(%1)"/>
      <w:numFmt w:val="lowerLetter"/>
      <w:start w:val="3"/>
    </w:lvl>
  </w:abstractNum>
  <w:abstractNum w:abstractNumId="152">
    <w:nsid w:val="17180B0B"/>
    <w:multiLevelType w:val="hybridMultilevel"/>
    <w:lvl w:ilvl="0">
      <w:lvlJc w:val="left"/>
      <w:lvlText w:val="%1."/>
      <w:numFmt w:val="decimal"/>
      <w:start w:val="19"/>
    </w:lvl>
  </w:abstractNum>
  <w:abstractNum w:abstractNumId="153">
    <w:nsid w:val="579328B9"/>
    <w:multiLevelType w:val="hybridMultilevel"/>
    <w:lvl w:ilvl="0">
      <w:lvlJc w:val="left"/>
      <w:lvlText w:val="%1."/>
      <w:numFmt w:val="decimal"/>
      <w:start w:val="20"/>
    </w:lvl>
  </w:abstractNum>
  <w:abstractNum w:abstractNumId="154">
    <w:nsid w:val="5D205E20"/>
    <w:multiLevelType w:val="hybridMultilevel"/>
    <w:lvl w:ilvl="0">
      <w:lvlJc w:val="left"/>
      <w:lvlText w:val="%1."/>
      <w:numFmt w:val="decimal"/>
      <w:start w:val="21"/>
    </w:lvl>
  </w:abstractNum>
  <w:abstractNum w:abstractNumId="155">
    <w:nsid w:val="11CCA8BA"/>
    <w:multiLevelType w:val="hybridMultilevel"/>
    <w:lvl w:ilvl="0">
      <w:lvlJc w:val="left"/>
      <w:lvlText w:val="(%1)"/>
      <w:numFmt w:val="lowerLetter"/>
      <w:start w:val="1"/>
    </w:lvl>
  </w:abstractNum>
  <w:abstractNum w:abstractNumId="156">
    <w:nsid w:val="4D32AB86"/>
    <w:multiLevelType w:val="hybridMultilevel"/>
    <w:lvl w:ilvl="0">
      <w:lvlJc w:val="left"/>
      <w:lvlText w:val="(%1)"/>
      <w:numFmt w:val="lowerLetter"/>
      <w:start w:val="3"/>
    </w:lvl>
  </w:abstractNum>
  <w:abstractNum w:abstractNumId="157">
    <w:nsid w:val="3F07ACC3"/>
    <w:multiLevelType w:val="hybridMultilevel"/>
    <w:lvl w:ilvl="0">
      <w:lvlJc w:val="left"/>
      <w:lvlText w:val="(%1)"/>
      <w:numFmt w:val="lowerLetter"/>
      <w:start w:val="8"/>
    </w:lvl>
  </w:abstractNum>
  <w:abstractNum w:abstractNumId="158">
    <w:nsid w:val="6B47F63E"/>
    <w:multiLevelType w:val="hybridMultilevel"/>
    <w:lvl w:ilvl="0">
      <w:lvlJc w:val="left"/>
      <w:lvlText w:val="(%1)"/>
      <w:numFmt w:val="lowerLetter"/>
      <w:start w:val="11"/>
    </w:lvl>
    <w:lvl w:ilvl="1">
      <w:lvlJc w:val="left"/>
      <w:lvlText w:val="(%2)"/>
      <w:numFmt w:val="decimal"/>
      <w:start w:val="1"/>
    </w:lvl>
  </w:abstractNum>
  <w:abstractNum w:abstractNumId="159">
    <w:nsid w:val="5CB44A05"/>
    <w:multiLevelType w:val="hybridMultilevel"/>
    <w:lvl w:ilvl="0">
      <w:lvlJc w:val="left"/>
      <w:lvlText w:val="(%1)"/>
      <w:numFmt w:val="lowerLetter"/>
      <w:start w:val="16"/>
    </w:lvl>
    <w:lvl w:ilvl="1">
      <w:lvlJc w:val="left"/>
      <w:lvlText w:val="*"/>
      <w:numFmt w:val="bullet"/>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2020-07-24T15:39:26Z</dcterms:created>
  <dcterms:modified xsi:type="dcterms:W3CDTF">2020-07-24T15:39:26Z</dcterms:modified>
</cp:coreProperties>
</file>