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333375</wp:posOffset>
            </wp:positionH>
            <wp:positionV relativeFrom="page">
              <wp:posOffset>156210</wp:posOffset>
            </wp:positionV>
            <wp:extent cx="68814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1495" cy="8255"/>
                    </a:xfrm>
                    <a:prstGeom prst="rect">
                      <a:avLst/>
                    </a:prstGeom>
                    <a:noFill/>
                  </pic:spPr>
                </pic:pic>
              </a:graphicData>
            </a:graphic>
          </wp:anchor>
        </w:drawing>
        <w:drawing>
          <wp:anchor simplePos="0" relativeHeight="251657728" behindDoc="1" locked="0" layoutInCell="0" allowOverlap="1">
            <wp:simplePos x="0" y="0"/>
            <wp:positionH relativeFrom="page">
              <wp:posOffset>333375</wp:posOffset>
            </wp:positionH>
            <wp:positionV relativeFrom="page">
              <wp:posOffset>181610</wp:posOffset>
            </wp:positionV>
            <wp:extent cx="68814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1495" cy="8255"/>
                    </a:xfrm>
                    <a:prstGeom prst="rect">
                      <a:avLst/>
                    </a:prstGeom>
                    <a:noFill/>
                  </pic:spPr>
                </pic:pic>
              </a:graphicData>
            </a:graphic>
          </wp:anchor>
        </w:drawing>
        <w:t>UNITED STATES</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186055</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164"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9" w:lineRule="exact"/>
        <w:rPr>
          <w:sz w:val="24"/>
          <w:szCs w:val="24"/>
          <w:color w:val="auto"/>
        </w:rPr>
      </w:pPr>
    </w:p>
    <w:p>
      <w:pPr>
        <w:jc w:val="center"/>
        <w:ind w:right="-199"/>
        <w:spacing w:after="0"/>
        <w:rPr>
          <w:sz w:val="20"/>
          <w:szCs w:val="20"/>
          <w:color w:val="auto"/>
        </w:rPr>
      </w:pPr>
      <w:r>
        <w:rPr>
          <w:rFonts w:ascii="Arial" w:cs="Arial" w:eastAsia="Arial" w:hAnsi="Arial"/>
          <w:sz w:val="21"/>
          <w:szCs w:val="21"/>
          <w:b w:val="1"/>
          <w:bCs w:val="1"/>
          <w:color w:val="auto"/>
        </w:rPr>
        <w:t>Securities Exchange Act of 1934</w:t>
      </w:r>
    </w:p>
    <w:p>
      <w:pPr>
        <w:jc w:val="center"/>
        <w:ind w:right="-199"/>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2719070</wp:posOffset>
            </wp:positionH>
            <wp:positionV relativeFrom="paragraph">
              <wp:posOffset>177800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392" w:lineRule="exact"/>
        <w:rPr>
          <w:sz w:val="24"/>
          <w:szCs w:val="24"/>
          <w:color w:val="auto"/>
        </w:rPr>
      </w:pPr>
    </w:p>
    <w:p>
      <w:pPr>
        <w:spacing w:after="0" w:line="196" w:lineRule="exact"/>
        <w:tabs>
          <w:tab w:leader="none" w:pos="302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97" w:lineRule="exact"/>
        <w:rPr>
          <w:sz w:val="24"/>
          <w:szCs w:val="24"/>
          <w:color w:val="auto"/>
        </w:rPr>
      </w:pPr>
    </w:p>
    <w:p>
      <w:pPr>
        <w:ind w:left="560" w:hanging="555"/>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7" w:lineRule="exact"/>
        <w:rPr>
          <w:rFonts w:ascii="MS PGothic" w:cs="MS PGothic" w:eastAsia="MS PGothic" w:hAnsi="MS PGothic"/>
          <w:sz w:val="17"/>
          <w:szCs w:val="17"/>
          <w:color w:val="auto"/>
        </w:rPr>
      </w:pPr>
    </w:p>
    <w:p>
      <w:pPr>
        <w:ind w:left="560" w:hanging="555"/>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129" w:lineRule="exact"/>
        <w:rPr>
          <w:rFonts w:ascii="MS PGothic" w:cs="MS PGothic" w:eastAsia="MS PGothic" w:hAnsi="MS PGothic"/>
          <w:sz w:val="17"/>
          <w:szCs w:val="17"/>
          <w:color w:val="auto"/>
        </w:rPr>
      </w:pPr>
    </w:p>
    <w:p>
      <w:pPr>
        <w:ind w:left="560" w:hanging="555"/>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23" w:lineRule="exact"/>
        <w:rPr>
          <w:sz w:val="24"/>
          <w:szCs w:val="24"/>
          <w:color w:val="auto"/>
        </w:rPr>
      </w:pPr>
    </w:p>
    <w:p>
      <w:pPr>
        <w:ind w:left="560" w:hanging="555"/>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23" w:lineRule="exact"/>
        <w:rPr>
          <w:sz w:val="24"/>
          <w:szCs w:val="24"/>
          <w:color w:val="auto"/>
        </w:rPr>
      </w:pPr>
    </w:p>
    <w:p>
      <w:pPr>
        <w:ind w:left="560" w:hanging="555"/>
        <w:spacing w:after="0"/>
        <w:tabs>
          <w:tab w:leader="none" w:pos="5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23" w:lineRule="exact"/>
        <w:rPr>
          <w:sz w:val="24"/>
          <w:szCs w:val="24"/>
          <w:color w:val="auto"/>
        </w:rPr>
      </w:pPr>
    </w:p>
    <w:p>
      <w:pPr>
        <w:jc w:val="center"/>
        <w:ind w:right="-199"/>
        <w:spacing w:after="0"/>
        <w:rPr>
          <w:sz w:val="20"/>
          <w:szCs w:val="20"/>
          <w:color w:val="auto"/>
        </w:rPr>
      </w:pPr>
      <w:r>
        <w:rPr>
          <w:rFonts w:ascii="Arial" w:cs="Arial" w:eastAsia="Arial" w:hAnsi="Arial"/>
          <w:sz w:val="42"/>
          <w:szCs w:val="42"/>
          <w:b w:val="1"/>
          <w:bCs w:val="1"/>
          <w:color w:val="auto"/>
        </w:rPr>
        <w:t>Take-Two Interactive Software, Inc.</w:t>
      </w:r>
    </w:p>
    <w:p>
      <w:pPr>
        <w:spacing w:after="0" w:line="55" w:lineRule="exact"/>
        <w:rPr>
          <w:sz w:val="24"/>
          <w:szCs w:val="24"/>
          <w:color w:val="auto"/>
        </w:rPr>
      </w:pPr>
    </w:p>
    <w:p>
      <w:pPr>
        <w:jc w:val="center"/>
        <w:ind w:right="-19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278"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40"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30" w:lineRule="exact"/>
        <w:rPr>
          <w:sz w:val="24"/>
          <w:szCs w:val="24"/>
          <w:color w:val="auto"/>
        </w:rPr>
      </w:pPr>
    </w:p>
    <w:p>
      <w:pPr>
        <w:ind w:left="560" w:hanging="555"/>
        <w:spacing w:after="0"/>
        <w:tabs>
          <w:tab w:leader="none" w:pos="56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30" w:lineRule="exact"/>
        <w:rPr>
          <w:sz w:val="24"/>
          <w:szCs w:val="24"/>
          <w:color w:val="auto"/>
        </w:rPr>
      </w:pPr>
    </w:p>
    <w:p>
      <w:pPr>
        <w:ind w:left="560" w:hanging="555"/>
        <w:spacing w:after="0"/>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9" w:lineRule="exact"/>
        <w:rPr>
          <w:rFonts w:ascii="MS PGothic" w:cs="MS PGothic" w:eastAsia="MS PGothic" w:hAnsi="MS PGothic"/>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1100" w:right="160" w:hanging="537"/>
        <w:spacing w:after="0" w:line="290" w:lineRule="auto"/>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90" w:lineRule="exact"/>
        <w:rPr>
          <w:rFonts w:ascii="Arial" w:cs="Arial" w:eastAsia="Arial" w:hAnsi="Arial"/>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74" w:lineRule="exact"/>
        <w:rPr>
          <w:rFonts w:ascii="Arial" w:cs="Arial" w:eastAsia="Arial" w:hAnsi="Arial"/>
          <w:sz w:val="17"/>
          <w:szCs w:val="17"/>
          <w:color w:val="auto"/>
        </w:rPr>
      </w:pPr>
    </w:p>
    <w:p>
      <w:pPr>
        <w:ind w:left="560" w:hanging="555"/>
        <w:spacing w:after="0"/>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35" w:lineRule="exact"/>
        <w:rPr>
          <w:rFonts w:ascii="MS PGothic" w:cs="MS PGothic" w:eastAsia="MS PGothic" w:hAnsi="MS PGothic"/>
          <w:sz w:val="17"/>
          <w:szCs w:val="17"/>
          <w:color w:val="auto"/>
        </w:rPr>
      </w:pPr>
    </w:p>
    <w:p>
      <w:pPr>
        <w:ind w:left="560" w:hanging="555"/>
        <w:spacing w:after="0" w:line="290" w:lineRule="auto"/>
        <w:tabs>
          <w:tab w:leader="none" w:pos="5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5" w:lineRule="exact"/>
        <w:rPr>
          <w:rFonts w:ascii="MS PGothic" w:cs="MS PGothic" w:eastAsia="MS PGothic" w:hAnsi="MS PGothic"/>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1100" w:hanging="537"/>
        <w:spacing w:after="0"/>
        <w:tabs>
          <w:tab w:leader="none" w:pos="110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694690</wp:posOffset>
            </wp:positionH>
            <wp:positionV relativeFrom="paragraph">
              <wp:posOffset>-4107180</wp:posOffset>
            </wp:positionV>
            <wp:extent cx="6189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-3693795</wp:posOffset>
            </wp:positionV>
            <wp:extent cx="6189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-3145790</wp:posOffset>
            </wp:positionV>
            <wp:extent cx="6189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-2732405</wp:posOffset>
            </wp:positionV>
            <wp:extent cx="6189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-2319020</wp:posOffset>
            </wp:positionV>
            <wp:extent cx="6189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-961390</wp:posOffset>
            </wp:positionV>
            <wp:extent cx="6189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-548005</wp:posOffset>
            </wp:positionV>
            <wp:extent cx="6189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-135255</wp:posOffset>
            </wp:positionV>
            <wp:extent cx="6189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89980" cy="8255"/>
                    </a:xfrm>
                    <a:prstGeom prst="rect">
                      <a:avLst/>
                    </a:prstGeom>
                    <a:noFill/>
                  </pic:spPr>
                </pic:pic>
              </a:graphicData>
            </a:graphic>
          </wp:anchor>
        </w:drawing>
        <w:drawing>
          <wp:anchor simplePos="0" relativeHeight="251657728" behindDoc="1" locked="0" layoutInCell="0" allowOverlap="1">
            <wp:simplePos x="0" y="0"/>
            <wp:positionH relativeFrom="column">
              <wp:posOffset>694690</wp:posOffset>
            </wp:positionH>
            <wp:positionV relativeFrom="paragraph">
              <wp:posOffset>277495</wp:posOffset>
            </wp:positionV>
            <wp:extent cx="6189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89980" cy="8255"/>
                    </a:xfrm>
                    <a:prstGeom prst="rect">
                      <a:avLst/>
                    </a:prstGeom>
                    <a:noFill/>
                  </pic:spPr>
                </pic:pic>
              </a:graphicData>
            </a:graphic>
          </wp:anchor>
        </w:drawing>
      </w:r>
    </w:p>
    <w:p>
      <w:pPr>
        <w:sectPr>
          <w:pgSz w:w="11900" w:h="16838" w:orient="portrait"/>
          <w:cols w:equalWidth="0" w:num="1">
            <w:col w:w="10660"/>
          </w:cols>
          <w:pgMar w:left="520" w:top="417" w:right="719" w:bottom="581" w:gutter="0" w:footer="0" w:header="0"/>
        </w:sectPr>
      </w:pPr>
    </w:p>
    <w:bookmarkStart w:id="1" w:name="page2"/>
    <w:bookmarkEnd w:id="1"/>
    <w:p>
      <w:pPr>
        <w:ind w:firstLine="433"/>
        <w:spacing w:after="0" w:line="298" w:lineRule="auto"/>
        <w:rPr>
          <w:sz w:val="20"/>
          <w:szCs w:val="20"/>
          <w:color w:val="auto"/>
        </w:rPr>
      </w:pPr>
      <w:r>
        <w:rPr>
          <w:rFonts w:ascii="Arial" w:cs="Arial" w:eastAsia="Arial" w:hAnsi="Arial"/>
          <w:sz w:val="17"/>
          <w:szCs w:val="17"/>
          <w:b w:val="1"/>
          <w:bCs w:val="1"/>
          <w:color w:val="auto"/>
        </w:rPr>
        <w:t>Persons who are to respond to the collection of information contained in this form are not required to respond unless the form displays a currently valid OMB control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97155</wp:posOffset>
            </wp:positionV>
            <wp:extent cx="68814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8149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122555</wp:posOffset>
            </wp:positionV>
            <wp:extent cx="68814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1495" cy="8255"/>
                    </a:xfrm>
                    <a:prstGeom prst="rect">
                      <a:avLst/>
                    </a:prstGeom>
                    <a:noFill/>
                  </pic:spPr>
                </pic:pic>
              </a:graphicData>
            </a:graphic>
          </wp:anchor>
        </w:drawing>
      </w:r>
    </w:p>
    <w:p>
      <w:pPr>
        <w:sectPr>
          <w:pgSz w:w="11900" w:h="16838" w:orient="portrait"/>
          <w:cols w:equalWidth="0" w:num="1">
            <w:col w:w="10460"/>
          </w:cols>
          <w:pgMar w:left="520" w:top="125" w:right="919" w:bottom="1440" w:gutter="0" w:footer="0" w:header="0"/>
        </w:sectPr>
      </w:pPr>
    </w:p>
    <w:bookmarkStart w:id="2" w:name="page3"/>
    <w:bookmarkEnd w:id="2"/>
    <w:p>
      <w:pPr>
        <w:jc w:val="center"/>
        <w:ind w:left="4060"/>
        <w:spacing w:after="0"/>
        <w:rPr>
          <w:sz w:val="20"/>
          <w:szCs w:val="20"/>
          <w:color w:val="auto"/>
        </w:rPr>
      </w:pPr>
      <w:r>
        <w:rPr>
          <w:rFonts w:ascii="Arial" w:cs="Arial" w:eastAsia="Arial" w:hAnsi="Arial"/>
          <w:sz w:val="46"/>
          <w:szCs w:val="46"/>
          <w:color w:val="004877"/>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770" cy="38100"/>
                    </a:xfrm>
                    <a:prstGeom prst="rect">
                      <a:avLst/>
                    </a:prstGeom>
                    <a:noFill/>
                  </pic:spPr>
                </pic:pic>
              </a:graphicData>
            </a:graphic>
          </wp:anchor>
        </w:drawing>
        <w:drawing>
          <wp:anchor simplePos="0" relativeHeight="251657728" behindDoc="1" locked="0" layoutInCell="0" allowOverlap="1">
            <wp:simplePos x="0" y="0"/>
            <wp:positionH relativeFrom="page">
              <wp:posOffset>5326380</wp:posOffset>
            </wp:positionH>
            <wp:positionV relativeFrom="page">
              <wp:posOffset>181610</wp:posOffset>
            </wp:positionV>
            <wp:extent cx="1889125" cy="1720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9125" cy="1720215"/>
                    </a:xfrm>
                    <a:prstGeom prst="rect">
                      <a:avLst/>
                    </a:prstGeom>
                    <a:noFill/>
                  </pic:spPr>
                </pic:pic>
              </a:graphicData>
            </a:graphic>
          </wp:anchor>
        </w:drawing>
        <w:t xml:space="preserve">Your </w:t>
      </w:r>
      <w:r>
        <w:rPr>
          <w:rFonts w:ascii="Arial" w:cs="Arial" w:eastAsia="Arial" w:hAnsi="Arial"/>
          <w:sz w:val="46"/>
          <w:szCs w:val="46"/>
          <w:b w:val="1"/>
          <w:bCs w:val="1"/>
          <w:color w:val="004877"/>
        </w:rPr>
        <w:t>Vote</w:t>
      </w:r>
      <w:r>
        <w:rPr>
          <w:rFonts w:ascii="Arial" w:cs="Arial" w:eastAsia="Arial" w:hAnsi="Arial"/>
          <w:sz w:val="46"/>
          <w:szCs w:val="46"/>
          <w:color w:val="004877"/>
        </w:rPr>
        <w:t xml:space="preserve"> Counts!</w:t>
      </w:r>
    </w:p>
    <w:p>
      <w:pPr>
        <w:spacing w:after="0" w:line="149" w:lineRule="exact"/>
        <w:rPr>
          <w:sz w:val="20"/>
          <w:szCs w:val="20"/>
          <w:color w:val="auto"/>
        </w:rPr>
      </w:pPr>
    </w:p>
    <w:p>
      <w:pPr>
        <w:jc w:val="center"/>
        <w:ind w:left="4060"/>
        <w:spacing w:after="0"/>
        <w:rPr>
          <w:sz w:val="20"/>
          <w:szCs w:val="20"/>
          <w:color w:val="auto"/>
        </w:rPr>
      </w:pPr>
      <w:r>
        <w:rPr>
          <w:rFonts w:ascii="Arial" w:cs="Arial" w:eastAsia="Arial" w:hAnsi="Arial"/>
          <w:sz w:val="19"/>
          <w:szCs w:val="19"/>
          <w:b w:val="1"/>
          <w:bCs w:val="1"/>
          <w:color w:val="004877"/>
        </w:rPr>
        <w:t>TAKE-TWO INTERACTIVE SOFTWARE, INC.</w:t>
      </w:r>
    </w:p>
    <w:p>
      <w:pPr>
        <w:spacing w:after="0" w:line="257"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004877"/>
        </w:rPr>
        <w:t>2021 Annual Meeting</w:t>
      </w:r>
    </w:p>
    <w:p>
      <w:pPr>
        <w:spacing w:after="0" w:line="17"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004877"/>
        </w:rPr>
        <w:t>Vote by September 13, 2021</w:t>
      </w:r>
    </w:p>
    <w:p>
      <w:pPr>
        <w:spacing w:after="0" w:line="6" w:lineRule="exact"/>
        <w:rPr>
          <w:sz w:val="20"/>
          <w:szCs w:val="20"/>
          <w:color w:val="auto"/>
        </w:rPr>
      </w:pPr>
    </w:p>
    <w:p>
      <w:pPr>
        <w:jc w:val="center"/>
        <w:ind w:left="4060"/>
        <w:spacing w:after="0"/>
        <w:rPr>
          <w:sz w:val="20"/>
          <w:szCs w:val="20"/>
          <w:color w:val="auto"/>
        </w:rPr>
      </w:pPr>
      <w:r>
        <w:rPr>
          <w:rFonts w:ascii="Arial" w:cs="Arial" w:eastAsia="Arial" w:hAnsi="Arial"/>
          <w:sz w:val="18"/>
          <w:szCs w:val="18"/>
          <w:color w:val="004877"/>
        </w:rPr>
        <w:t>11:59 PM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63500</wp:posOffset>
            </wp:positionV>
            <wp:extent cx="3314065" cy="2395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4065" cy="239522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63500</wp:posOffset>
            </wp:positionV>
            <wp:extent cx="3314065" cy="2395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4065" cy="2395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D57918-P59608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95250</wp:posOffset>
            </wp:positionV>
            <wp:extent cx="1012190" cy="7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12190" cy="76200"/>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-89535</wp:posOffset>
            </wp:positionV>
            <wp:extent cx="1509395" cy="261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9395" cy="26162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27"/>
          <w:szCs w:val="27"/>
          <w:color w:val="004877"/>
        </w:rPr>
        <w:t>You invested in TAKE-TWO INTERACTIVE SOFTWARE, INC. and it’s time to vote!</w:t>
      </w:r>
    </w:p>
    <w:p>
      <w:pPr>
        <w:spacing w:after="0" w:line="16" w:lineRule="exact"/>
        <w:rPr>
          <w:sz w:val="20"/>
          <w:szCs w:val="20"/>
          <w:color w:val="auto"/>
        </w:rPr>
      </w:pPr>
    </w:p>
    <w:p>
      <w:pPr>
        <w:ind w:right="500"/>
        <w:spacing w:after="0" w:line="249" w:lineRule="auto"/>
        <w:rPr>
          <w:sz w:val="20"/>
          <w:szCs w:val="20"/>
          <w:color w:val="auto"/>
        </w:rPr>
      </w:pPr>
      <w:r>
        <w:rPr>
          <w:rFonts w:ascii="Arial" w:cs="Arial" w:eastAsia="Arial" w:hAnsi="Arial"/>
          <w:sz w:val="18"/>
          <w:szCs w:val="18"/>
          <w:color w:val="004877"/>
        </w:rPr>
        <w:t xml:space="preserve">You have the right to vote on proposals being presented at the Annual Meeting. </w:t>
      </w:r>
      <w:r>
        <w:rPr>
          <w:rFonts w:ascii="Arial" w:cs="Arial" w:eastAsia="Arial" w:hAnsi="Arial"/>
          <w:sz w:val="18"/>
          <w:szCs w:val="18"/>
          <w:b w:val="1"/>
          <w:bCs w:val="1"/>
          <w:color w:val="004877"/>
        </w:rPr>
        <w:t>This is an important notice regarding the availability of proxy</w:t>
      </w:r>
      <w:r>
        <w:rPr>
          <w:rFonts w:ascii="Arial" w:cs="Arial" w:eastAsia="Arial" w:hAnsi="Arial"/>
          <w:sz w:val="18"/>
          <w:szCs w:val="18"/>
          <w:color w:val="004877"/>
        </w:rPr>
        <w:t xml:space="preserve"> </w:t>
      </w:r>
      <w:r>
        <w:rPr>
          <w:rFonts w:ascii="Arial" w:cs="Arial" w:eastAsia="Arial" w:hAnsi="Arial"/>
          <w:sz w:val="18"/>
          <w:szCs w:val="18"/>
          <w:b w:val="1"/>
          <w:bCs w:val="1"/>
          <w:color w:val="004877"/>
        </w:rPr>
        <w:t>material for the shareholder meeting to be held on September 14, 2021.</w:t>
      </w:r>
    </w:p>
    <w:p>
      <w:pPr>
        <w:spacing w:after="0" w:line="187" w:lineRule="exact"/>
        <w:rPr>
          <w:sz w:val="20"/>
          <w:szCs w:val="20"/>
          <w:color w:val="auto"/>
        </w:rPr>
      </w:pPr>
    </w:p>
    <w:p>
      <w:pPr>
        <w:spacing w:after="0"/>
        <w:rPr>
          <w:sz w:val="20"/>
          <w:szCs w:val="20"/>
          <w:color w:val="auto"/>
        </w:rPr>
      </w:pPr>
      <w:r>
        <w:rPr>
          <w:rFonts w:ascii="Arial" w:cs="Arial" w:eastAsia="Arial" w:hAnsi="Arial"/>
          <w:sz w:val="27"/>
          <w:szCs w:val="27"/>
          <w:color w:val="004877"/>
        </w:rPr>
        <w:t>Get informed before you vote</w:t>
      </w:r>
    </w:p>
    <w:p>
      <w:pPr>
        <w:spacing w:after="0" w:line="16"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004877"/>
        </w:rPr>
        <w:t>View the Notice and Proxy Statement and Annual Report online OR you can receive a free paper or email copy of the material(s) by requesting prior to August 31, 2021. If you would like to request a copy of the material(s) for this and/or future shareholder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070725" cy="258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70725"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4"/>
          <w:szCs w:val="14"/>
          <w:color w:val="004877"/>
        </w:rPr>
        <w:t>* Please check the meeting materials for any special requirements for meeting attendance.</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V1</w:t>
      </w:r>
    </w:p>
    <w:p>
      <w:pPr>
        <w:sectPr>
          <w:pgSz w:w="11900" w:h="16838" w:orient="portrait"/>
          <w:cols w:equalWidth="0" w:num="1">
            <w:col w:w="10840"/>
          </w:cols>
          <w:pgMar w:left="520" w:top="753" w:right="539" w:bottom="1440" w:gutter="0" w:footer="0" w:header="0"/>
        </w:sectPr>
      </w:pPr>
    </w:p>
    <w:bookmarkStart w:id="3" w:name="page4"/>
    <w:bookmarkEnd w:id="3"/>
    <w:p>
      <w:pPr>
        <w:ind w:left="220"/>
        <w:spacing w:after="0"/>
        <w:rPr>
          <w:sz w:val="20"/>
          <w:szCs w:val="20"/>
          <w:color w:val="auto"/>
        </w:rPr>
      </w:pPr>
      <w:r>
        <w:rPr>
          <w:rFonts w:ascii="Arial" w:cs="Arial" w:eastAsia="Arial" w:hAnsi="Arial"/>
          <w:sz w:val="23"/>
          <w:szCs w:val="23"/>
          <w:b w:val="1"/>
          <w:bCs w:val="1"/>
          <w:color w:val="007BB6"/>
        </w:rPr>
        <w:drawing>
          <wp:anchor simplePos="0" relativeHeight="251657728" behindDoc="1" locked="0" layoutInCell="0" allowOverlap="1">
            <wp:simplePos x="0" y="0"/>
            <wp:positionH relativeFrom="page">
              <wp:posOffset>194310</wp:posOffset>
            </wp:positionH>
            <wp:positionV relativeFrom="page">
              <wp:posOffset>88900</wp:posOffset>
            </wp:positionV>
            <wp:extent cx="71767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770" cy="38100"/>
                    </a:xfrm>
                    <a:prstGeom prst="rect">
                      <a:avLst/>
                    </a:prstGeom>
                    <a:noFill/>
                  </pic:spPr>
                </pic:pic>
              </a:graphicData>
            </a:graphic>
          </wp:anchor>
        </w:drawing>
        <w:t>Vote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68814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1495" cy="41910"/>
                    </a:xfrm>
                    <a:prstGeom prst="rect">
                      <a:avLst/>
                    </a:prstGeom>
                    <a:noFill/>
                  </pic:spPr>
                </pic:pic>
              </a:graphicData>
            </a:graphic>
          </wp:anchor>
        </w:drawing>
      </w:r>
    </w:p>
    <w:p>
      <w:pPr>
        <w:sectPr>
          <w:pgSz w:w="11900" w:h="16838" w:orient="portrait"/>
          <w:cols w:equalWidth="0" w:num="1">
            <w:col w:w="10840"/>
          </w:cols>
          <w:pgMar w:left="520" w:top="258" w:right="5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140"/>
        <w:spacing w:after="0"/>
        <w:rPr>
          <w:sz w:val="20"/>
          <w:szCs w:val="20"/>
          <w:color w:val="auto"/>
        </w:rPr>
      </w:pPr>
      <w:r>
        <w:rPr>
          <w:rFonts w:ascii="Arial" w:cs="Arial" w:eastAsia="Arial" w:hAnsi="Arial"/>
          <w:sz w:val="28"/>
          <w:szCs w:val="28"/>
          <w:b w:val="1"/>
          <w:bCs w:val="1"/>
          <w:color w:val="004877"/>
        </w:rPr>
        <w:t>THIS IS NOT A VOTABLE BALLOT</w:t>
      </w:r>
    </w:p>
    <w:p>
      <w:pPr>
        <w:spacing w:after="0" w:line="242" w:lineRule="exact"/>
        <w:rPr>
          <w:sz w:val="20"/>
          <w:szCs w:val="20"/>
          <w:color w:val="auto"/>
        </w:rPr>
      </w:pPr>
    </w:p>
    <w:p>
      <w:pPr>
        <w:ind w:left="180" w:right="3820"/>
        <w:spacing w:after="0" w:line="256" w:lineRule="auto"/>
        <w:rPr>
          <w:sz w:val="20"/>
          <w:szCs w:val="20"/>
          <w:color w:val="auto"/>
        </w:rPr>
      </w:pPr>
      <w:r>
        <w:rPr>
          <w:rFonts w:ascii="Arial" w:cs="Arial" w:eastAsia="Arial" w:hAnsi="Arial"/>
          <w:sz w:val="18"/>
          <w:szCs w:val="18"/>
          <w:color w:val="004877"/>
        </w:rPr>
        <w:t>This is an overview of the proposals being presented at the upcoming shareholder meeting. Please follow the instructions on the reverse side to vote these important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4877"/>
        </w:rPr>
        <w:t>Voting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4877"/>
        </w:rPr>
        <w:t>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-2685415</wp:posOffset>
            </wp:positionH>
            <wp:positionV relativeFrom="paragraph">
              <wp:posOffset>-1802765</wp:posOffset>
            </wp:positionV>
            <wp:extent cx="3094990" cy="927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94990" cy="92773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004877"/>
        </w:rPr>
        <w:t>Recommends</w:t>
      </w:r>
    </w:p>
    <w:p>
      <w:pPr>
        <w:spacing w:after="0" w:line="111" w:lineRule="exact"/>
        <w:rPr>
          <w:sz w:val="20"/>
          <w:szCs w:val="20"/>
          <w:color w:val="auto"/>
        </w:rPr>
      </w:pPr>
    </w:p>
    <w:p>
      <w:pPr>
        <w:sectPr>
          <w:pgSz w:w="11900" w:h="16838" w:orient="portrait"/>
          <w:cols w:equalWidth="0" w:num="2">
            <w:col w:w="9160" w:space="720"/>
            <w:col w:w="960"/>
          </w:cols>
          <w:pgMar w:left="520" w:top="258" w:right="539" w:bottom="1440" w:gutter="0" w:footer="0" w:header="0"/>
          <w:type w:val="continuous"/>
        </w:sectPr>
      </w:pPr>
    </w:p>
    <w:tbl>
      <w:tblPr>
        <w:tblLayout w:type="fixed"/>
        <w:tblInd w:w="0" w:type="dxa"/>
        <w:tblCellMar>
          <w:top w:w="0" w:type="dxa"/>
          <w:left w:w="0" w:type="dxa"/>
          <w:bottom w:w="0" w:type="dxa"/>
          <w:right w:w="0" w:type="dxa"/>
        </w:tblCellMar>
      </w:tblPr>
      <w:tr>
        <w:trPr>
          <w:trHeight w:val="276"/>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Election of Directors</w:t>
            </w:r>
          </w:p>
        </w:tc>
        <w:tc>
          <w:tcPr>
            <w:tcW w:w="80" w:type="dxa"/>
            <w:vAlign w:val="bottom"/>
            <w:shd w:val="clear" w:color="auto" w:fill="F0EFF7"/>
          </w:tcPr>
          <w:p>
            <w:pPr>
              <w:spacing w:after="0"/>
              <w:rPr>
                <w:sz w:val="24"/>
                <w:szCs w:val="24"/>
                <w:color w:val="auto"/>
              </w:rPr>
            </w:pPr>
          </w:p>
        </w:tc>
        <w:tc>
          <w:tcPr>
            <w:tcW w:w="960" w:type="dxa"/>
            <w:vAlign w:val="bottom"/>
            <w:shd w:val="clear" w:color="auto" w:fill="F0EFF7"/>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0" w:type="dxa"/>
            <w:vAlign w:val="bottom"/>
            <w:shd w:val="clear" w:color="auto" w:fill="F0EFF7"/>
          </w:tcPr>
          <w:p>
            <w:pPr>
              <w:spacing w:after="0"/>
              <w:rPr>
                <w:sz w:val="19"/>
                <w:szCs w:val="19"/>
                <w:color w:val="auto"/>
              </w:rPr>
            </w:pP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b w:val="1"/>
                <w:bCs w:val="1"/>
                <w:color w:val="004877"/>
              </w:rPr>
              <w:t>Nominees:</w:t>
            </w:r>
          </w:p>
        </w:tc>
        <w:tc>
          <w:tcPr>
            <w:tcW w:w="80" w:type="dxa"/>
            <w:vAlign w:val="bottom"/>
            <w:shd w:val="clear" w:color="auto" w:fill="F0EFF7"/>
          </w:tcPr>
          <w:p>
            <w:pPr>
              <w:spacing w:after="0"/>
              <w:rPr>
                <w:sz w:val="19"/>
                <w:szCs w:val="19"/>
                <w:color w:val="auto"/>
              </w:rPr>
            </w:pPr>
          </w:p>
        </w:tc>
        <w:tc>
          <w:tcPr>
            <w:tcW w:w="960" w:type="dxa"/>
            <w:vAlign w:val="bottom"/>
            <w:shd w:val="clear" w:color="auto" w:fill="F0EFF7"/>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1a.</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Strauss Zelnick</w:t>
            </w:r>
          </w:p>
        </w:tc>
        <w:tc>
          <w:tcPr>
            <w:tcW w:w="80" w:type="dxa"/>
            <w:vAlign w:val="bottom"/>
            <w:shd w:val="clear" w:color="auto" w:fill="F0EFF7"/>
          </w:tcPr>
          <w:p>
            <w:pPr>
              <w:spacing w:after="0"/>
              <w:rPr>
                <w:sz w:val="23"/>
                <w:szCs w:val="23"/>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1b.</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Michael Dornemann</w:t>
            </w:r>
          </w:p>
        </w:tc>
        <w:tc>
          <w:tcPr>
            <w:tcW w:w="80" w:type="dxa"/>
            <w:vAlign w:val="bottom"/>
            <w:shd w:val="clear" w:color="auto" w:fill="F0EFF7"/>
          </w:tcPr>
          <w:p>
            <w:pPr>
              <w:spacing w:after="0"/>
              <w:rPr>
                <w:sz w:val="22"/>
                <w:szCs w:val="22"/>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1c.</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J. Moses</w:t>
            </w:r>
          </w:p>
        </w:tc>
        <w:tc>
          <w:tcPr>
            <w:tcW w:w="80" w:type="dxa"/>
            <w:vAlign w:val="bottom"/>
            <w:shd w:val="clear" w:color="auto" w:fill="F0EFF7"/>
          </w:tcPr>
          <w:p>
            <w:pPr>
              <w:spacing w:after="0"/>
              <w:rPr>
                <w:sz w:val="22"/>
                <w:szCs w:val="22"/>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1d.</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Michael Sheresky</w:t>
            </w:r>
          </w:p>
        </w:tc>
        <w:tc>
          <w:tcPr>
            <w:tcW w:w="80" w:type="dxa"/>
            <w:vAlign w:val="bottom"/>
            <w:shd w:val="clear" w:color="auto" w:fill="F0EFF7"/>
          </w:tcPr>
          <w:p>
            <w:pPr>
              <w:spacing w:after="0"/>
              <w:rPr>
                <w:sz w:val="22"/>
                <w:szCs w:val="22"/>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1e.</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LaVerne Srinivasan</w:t>
            </w:r>
          </w:p>
        </w:tc>
        <w:tc>
          <w:tcPr>
            <w:tcW w:w="80" w:type="dxa"/>
            <w:vAlign w:val="bottom"/>
            <w:shd w:val="clear" w:color="auto" w:fill="F0EFF7"/>
          </w:tcPr>
          <w:p>
            <w:pPr>
              <w:spacing w:after="0"/>
              <w:rPr>
                <w:sz w:val="22"/>
                <w:szCs w:val="22"/>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1f.</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Susan Tolson</w:t>
            </w:r>
          </w:p>
        </w:tc>
        <w:tc>
          <w:tcPr>
            <w:tcW w:w="80" w:type="dxa"/>
            <w:vAlign w:val="bottom"/>
            <w:shd w:val="clear" w:color="auto" w:fill="F0EFF7"/>
          </w:tcPr>
          <w:p>
            <w:pPr>
              <w:spacing w:after="0"/>
              <w:rPr>
                <w:sz w:val="22"/>
                <w:szCs w:val="22"/>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1g.</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Paul Viera</w:t>
            </w:r>
          </w:p>
        </w:tc>
        <w:tc>
          <w:tcPr>
            <w:tcW w:w="80" w:type="dxa"/>
            <w:vAlign w:val="bottom"/>
            <w:shd w:val="clear" w:color="auto" w:fill="F0EFF7"/>
          </w:tcPr>
          <w:p>
            <w:pPr>
              <w:spacing w:after="0"/>
              <w:rPr>
                <w:sz w:val="22"/>
                <w:szCs w:val="22"/>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1h.</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rPr>
              <w:t>Roland Hernandez</w:t>
            </w:r>
          </w:p>
        </w:tc>
        <w:tc>
          <w:tcPr>
            <w:tcW w:w="80" w:type="dxa"/>
            <w:vAlign w:val="bottom"/>
            <w:shd w:val="clear" w:color="auto" w:fill="F0EFF7"/>
          </w:tcPr>
          <w:p>
            <w:pPr>
              <w:spacing w:after="0"/>
              <w:rPr>
                <w:sz w:val="22"/>
                <w:szCs w:val="22"/>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67"/>
        </w:trPr>
        <w:tc>
          <w:tcPr>
            <w:tcW w:w="520" w:type="dxa"/>
            <w:vAlign w:val="bottom"/>
            <w:tcBorders>
              <w:bottom w:val="single" w:sz="8" w:color="004877"/>
            </w:tcBorders>
            <w:shd w:val="clear" w:color="auto" w:fill="F0EFF7"/>
          </w:tcPr>
          <w:p>
            <w:pPr>
              <w:spacing w:after="0"/>
              <w:rPr>
                <w:sz w:val="5"/>
                <w:szCs w:val="5"/>
                <w:color w:val="auto"/>
              </w:rPr>
            </w:pPr>
          </w:p>
        </w:tc>
        <w:tc>
          <w:tcPr>
            <w:tcW w:w="9280" w:type="dxa"/>
            <w:vAlign w:val="bottom"/>
            <w:tcBorders>
              <w:bottom w:val="single" w:sz="8" w:color="004877"/>
              <w:right w:val="single" w:sz="8" w:color="004877"/>
            </w:tcBorders>
            <w:shd w:val="clear" w:color="auto" w:fill="F0EFF7"/>
          </w:tcPr>
          <w:p>
            <w:pPr>
              <w:spacing w:after="0"/>
              <w:rPr>
                <w:sz w:val="5"/>
                <w:szCs w:val="5"/>
                <w:color w:val="auto"/>
              </w:rPr>
            </w:pPr>
          </w:p>
        </w:tc>
        <w:tc>
          <w:tcPr>
            <w:tcW w:w="80" w:type="dxa"/>
            <w:vAlign w:val="bottom"/>
            <w:tcBorders>
              <w:bottom w:val="single" w:sz="8" w:color="004877"/>
            </w:tcBorders>
            <w:shd w:val="clear" w:color="auto" w:fill="F0EFF7"/>
          </w:tcPr>
          <w:p>
            <w:pPr>
              <w:spacing w:after="0"/>
              <w:rPr>
                <w:sz w:val="5"/>
                <w:szCs w:val="5"/>
                <w:color w:val="auto"/>
              </w:rPr>
            </w:pPr>
          </w:p>
        </w:tc>
        <w:tc>
          <w:tcPr>
            <w:tcW w:w="960" w:type="dxa"/>
            <w:vAlign w:val="bottom"/>
            <w:tcBorders>
              <w:bottom w:val="single" w:sz="8" w:color="004877"/>
            </w:tcBorders>
            <w:vMerge w:val="continue"/>
            <w:shd w:val="clear" w:color="auto" w:fill="F0EFF7"/>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2.</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w w:val="92"/>
              </w:rPr>
              <w:t>Approval, on a non-binding advisory basis, of the compensation of the Company’s “named executive officers” as disclosed in</w:t>
            </w:r>
          </w:p>
        </w:tc>
        <w:tc>
          <w:tcPr>
            <w:tcW w:w="80" w:type="dxa"/>
            <w:vAlign w:val="bottom"/>
            <w:shd w:val="clear" w:color="auto" w:fill="F0EFF7"/>
          </w:tcPr>
          <w:p>
            <w:pPr>
              <w:spacing w:after="0"/>
              <w:rPr>
                <w:sz w:val="20"/>
                <w:szCs w:val="20"/>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131"/>
        </w:trPr>
        <w:tc>
          <w:tcPr>
            <w:tcW w:w="520" w:type="dxa"/>
            <w:vAlign w:val="bottom"/>
            <w:shd w:val="clear" w:color="auto" w:fill="F0EFF7"/>
          </w:tcPr>
          <w:p>
            <w:pPr>
              <w:spacing w:after="0"/>
              <w:rPr>
                <w:sz w:val="11"/>
                <w:szCs w:val="11"/>
                <w:color w:val="auto"/>
              </w:rPr>
            </w:pPr>
          </w:p>
        </w:tc>
        <w:tc>
          <w:tcPr>
            <w:tcW w:w="9280" w:type="dxa"/>
            <w:vAlign w:val="bottom"/>
            <w:tcBorders>
              <w:right w:val="single" w:sz="8" w:color="004877"/>
            </w:tcBorders>
            <w:vMerge w:val="restart"/>
            <w:shd w:val="clear" w:color="auto" w:fill="F0EFF7"/>
          </w:tcPr>
          <w:p>
            <w:pPr>
              <w:ind w:left="100"/>
              <w:spacing w:after="0"/>
              <w:rPr>
                <w:sz w:val="20"/>
                <w:szCs w:val="20"/>
                <w:color w:val="auto"/>
              </w:rPr>
            </w:pPr>
            <w:r>
              <w:rPr>
                <w:rFonts w:ascii="Arial" w:cs="Arial" w:eastAsia="Arial" w:hAnsi="Arial"/>
                <w:sz w:val="18"/>
                <w:szCs w:val="18"/>
                <w:color w:val="004877"/>
              </w:rPr>
              <w:t>the Proxy Statement.</w:t>
            </w:r>
          </w:p>
        </w:tc>
        <w:tc>
          <w:tcPr>
            <w:tcW w:w="80" w:type="dxa"/>
            <w:vAlign w:val="bottom"/>
            <w:shd w:val="clear" w:color="auto" w:fill="F0EFF7"/>
          </w:tcPr>
          <w:p>
            <w:pPr>
              <w:spacing w:after="0"/>
              <w:rPr>
                <w:sz w:val="11"/>
                <w:szCs w:val="11"/>
                <w:color w:val="auto"/>
              </w:rPr>
            </w:pPr>
          </w:p>
        </w:tc>
        <w:tc>
          <w:tcPr>
            <w:tcW w:w="960" w:type="dxa"/>
            <w:vAlign w:val="bottom"/>
            <w:vMerge w:val="continue"/>
            <w:shd w:val="clear" w:color="auto" w:fill="F0EFF7"/>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20" w:type="dxa"/>
            <w:vAlign w:val="bottom"/>
            <w:tcBorders>
              <w:bottom w:val="single" w:sz="8" w:color="F0EFF7"/>
            </w:tcBorders>
            <w:shd w:val="clear" w:color="auto" w:fill="F0EFF7"/>
          </w:tcPr>
          <w:p>
            <w:pPr>
              <w:spacing w:after="0"/>
              <w:rPr>
                <w:sz w:val="10"/>
                <w:szCs w:val="10"/>
                <w:color w:val="auto"/>
              </w:rPr>
            </w:pPr>
          </w:p>
        </w:tc>
        <w:tc>
          <w:tcPr>
            <w:tcW w:w="9280" w:type="dxa"/>
            <w:vAlign w:val="bottom"/>
            <w:tcBorders>
              <w:bottom w:val="single" w:sz="8" w:color="F0EFF7"/>
              <w:right w:val="single" w:sz="8" w:color="004877"/>
            </w:tcBorders>
            <w:vMerge w:val="continue"/>
            <w:shd w:val="clear" w:color="auto" w:fill="F0EFF7"/>
          </w:tcPr>
          <w:p>
            <w:pPr>
              <w:spacing w:after="0"/>
              <w:rPr>
                <w:sz w:val="10"/>
                <w:szCs w:val="10"/>
                <w:color w:val="auto"/>
              </w:rPr>
            </w:pPr>
          </w:p>
        </w:tc>
        <w:tc>
          <w:tcPr>
            <w:tcW w:w="80" w:type="dxa"/>
            <w:vAlign w:val="bottom"/>
            <w:tcBorders>
              <w:bottom w:val="single" w:sz="8" w:color="F0EFF7"/>
            </w:tcBorders>
            <w:shd w:val="clear" w:color="auto" w:fill="F0EFF7"/>
          </w:tcPr>
          <w:p>
            <w:pPr>
              <w:spacing w:after="0"/>
              <w:rPr>
                <w:sz w:val="10"/>
                <w:szCs w:val="10"/>
                <w:color w:val="auto"/>
              </w:rPr>
            </w:pPr>
          </w:p>
        </w:tc>
        <w:tc>
          <w:tcPr>
            <w:tcW w:w="960" w:type="dxa"/>
            <w:vAlign w:val="bottom"/>
            <w:tcBorders>
              <w:bottom w:val="single" w:sz="8" w:color="F0EFF7"/>
            </w:tcBorders>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520" w:type="dxa"/>
            <w:vAlign w:val="bottom"/>
            <w:tcBorders>
              <w:top w:val="single" w:sz="8" w:color="004877"/>
            </w:tcBorders>
            <w:shd w:val="clear" w:color="auto" w:fill="F0EFF7"/>
          </w:tcPr>
          <w:p>
            <w:pPr>
              <w:ind w:left="180"/>
              <w:spacing w:after="0"/>
              <w:rPr>
                <w:sz w:val="20"/>
                <w:szCs w:val="20"/>
                <w:color w:val="auto"/>
              </w:rPr>
            </w:pPr>
            <w:r>
              <w:rPr>
                <w:rFonts w:ascii="Arial" w:cs="Arial" w:eastAsia="Arial" w:hAnsi="Arial"/>
                <w:sz w:val="18"/>
                <w:szCs w:val="18"/>
                <w:color w:val="004877"/>
              </w:rPr>
              <w:t>3.</w:t>
            </w:r>
          </w:p>
        </w:tc>
        <w:tc>
          <w:tcPr>
            <w:tcW w:w="9280" w:type="dxa"/>
            <w:vAlign w:val="bottom"/>
            <w:tcBorders>
              <w:top w:val="single" w:sz="8" w:color="004877"/>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w w:val="94"/>
              </w:rPr>
              <w:t>Approval of the amendment to the Amended and Restated Take-Two Interactive Software, Inc. 2017 Stock Incentive Plan.</w:t>
            </w:r>
          </w:p>
        </w:tc>
        <w:tc>
          <w:tcPr>
            <w:tcW w:w="80" w:type="dxa"/>
            <w:vAlign w:val="bottom"/>
            <w:tcBorders>
              <w:top w:val="single" w:sz="8" w:color="004877"/>
            </w:tcBorders>
            <w:shd w:val="clear" w:color="auto" w:fill="F0EFF7"/>
          </w:tcPr>
          <w:p>
            <w:pPr>
              <w:spacing w:after="0"/>
              <w:rPr>
                <w:sz w:val="21"/>
                <w:szCs w:val="21"/>
                <w:color w:val="auto"/>
              </w:rPr>
            </w:pPr>
          </w:p>
        </w:tc>
        <w:tc>
          <w:tcPr>
            <w:tcW w:w="960" w:type="dxa"/>
            <w:vAlign w:val="bottom"/>
            <w:tcBorders>
              <w:top w:val="single" w:sz="8" w:color="004877"/>
            </w:tcBorders>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120"/>
        </w:trPr>
        <w:tc>
          <w:tcPr>
            <w:tcW w:w="520" w:type="dxa"/>
            <w:vAlign w:val="bottom"/>
            <w:tcBorders>
              <w:bottom w:val="single" w:sz="8" w:color="004877"/>
            </w:tcBorders>
            <w:shd w:val="clear" w:color="auto" w:fill="F0EFF7"/>
          </w:tcPr>
          <w:p>
            <w:pPr>
              <w:spacing w:after="0"/>
              <w:rPr>
                <w:sz w:val="10"/>
                <w:szCs w:val="10"/>
                <w:color w:val="auto"/>
              </w:rPr>
            </w:pPr>
          </w:p>
        </w:tc>
        <w:tc>
          <w:tcPr>
            <w:tcW w:w="9280" w:type="dxa"/>
            <w:vAlign w:val="bottom"/>
            <w:tcBorders>
              <w:bottom w:val="single" w:sz="8" w:color="004877"/>
              <w:right w:val="single" w:sz="8" w:color="004877"/>
            </w:tcBorders>
            <w:shd w:val="clear" w:color="auto" w:fill="F0EFF7"/>
          </w:tcPr>
          <w:p>
            <w:pPr>
              <w:spacing w:after="0"/>
              <w:rPr>
                <w:sz w:val="10"/>
                <w:szCs w:val="10"/>
                <w:color w:val="auto"/>
              </w:rPr>
            </w:pPr>
          </w:p>
        </w:tc>
        <w:tc>
          <w:tcPr>
            <w:tcW w:w="80" w:type="dxa"/>
            <w:vAlign w:val="bottom"/>
            <w:tcBorders>
              <w:bottom w:val="single" w:sz="8" w:color="004877"/>
            </w:tcBorders>
            <w:shd w:val="clear" w:color="auto" w:fill="F0EFF7"/>
          </w:tcPr>
          <w:p>
            <w:pPr>
              <w:spacing w:after="0"/>
              <w:rPr>
                <w:sz w:val="10"/>
                <w:szCs w:val="10"/>
                <w:color w:val="auto"/>
              </w:rPr>
            </w:pPr>
          </w:p>
        </w:tc>
        <w:tc>
          <w:tcPr>
            <w:tcW w:w="960" w:type="dxa"/>
            <w:vAlign w:val="bottom"/>
            <w:tcBorders>
              <w:bottom w:val="single" w:sz="8" w:color="004877"/>
            </w:tcBorders>
            <w:vMerge w:val="continue"/>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520" w:type="dxa"/>
            <w:vAlign w:val="bottom"/>
            <w:shd w:val="clear" w:color="auto" w:fill="F0EFF7"/>
          </w:tcPr>
          <w:p>
            <w:pPr>
              <w:ind w:left="180"/>
              <w:spacing w:after="0"/>
              <w:rPr>
                <w:sz w:val="20"/>
                <w:szCs w:val="20"/>
                <w:color w:val="auto"/>
              </w:rPr>
            </w:pPr>
            <w:r>
              <w:rPr>
                <w:rFonts w:ascii="Arial" w:cs="Arial" w:eastAsia="Arial" w:hAnsi="Arial"/>
                <w:sz w:val="18"/>
                <w:szCs w:val="18"/>
                <w:color w:val="004877"/>
              </w:rPr>
              <w:t>4.</w:t>
            </w:r>
          </w:p>
        </w:tc>
        <w:tc>
          <w:tcPr>
            <w:tcW w:w="9280" w:type="dxa"/>
            <w:vAlign w:val="bottom"/>
            <w:tcBorders>
              <w:right w:val="single" w:sz="8" w:color="004877"/>
            </w:tcBorders>
            <w:shd w:val="clear" w:color="auto" w:fill="F0EFF7"/>
          </w:tcPr>
          <w:p>
            <w:pPr>
              <w:ind w:left="100"/>
              <w:spacing w:after="0"/>
              <w:rPr>
                <w:sz w:val="20"/>
                <w:szCs w:val="20"/>
                <w:color w:val="auto"/>
              </w:rPr>
            </w:pPr>
            <w:r>
              <w:rPr>
                <w:rFonts w:ascii="Arial" w:cs="Arial" w:eastAsia="Arial" w:hAnsi="Arial"/>
                <w:sz w:val="18"/>
                <w:szCs w:val="18"/>
                <w:color w:val="004877"/>
                <w:w w:val="92"/>
              </w:rPr>
              <w:t>Ratification of the appointment of Ernst &amp; Young LLP as our independent registered public accounting firm for the fiscal year</w:t>
            </w:r>
          </w:p>
        </w:tc>
        <w:tc>
          <w:tcPr>
            <w:tcW w:w="80" w:type="dxa"/>
            <w:vAlign w:val="bottom"/>
            <w:shd w:val="clear" w:color="auto" w:fill="F0EFF7"/>
          </w:tcPr>
          <w:p>
            <w:pPr>
              <w:spacing w:after="0"/>
              <w:rPr>
                <w:sz w:val="20"/>
                <w:szCs w:val="20"/>
                <w:color w:val="auto"/>
              </w:rPr>
            </w:pPr>
          </w:p>
        </w:tc>
        <w:tc>
          <w:tcPr>
            <w:tcW w:w="960" w:type="dxa"/>
            <w:vAlign w:val="bottom"/>
            <w:vMerge w:val="restart"/>
            <w:shd w:val="clear" w:color="auto" w:fill="F0EFF7"/>
          </w:tcPr>
          <w:p>
            <w:pPr>
              <w:ind w:left="340"/>
              <w:spacing w:after="0"/>
              <w:rPr>
                <w:sz w:val="20"/>
                <w:szCs w:val="20"/>
                <w:color w:val="auto"/>
              </w:rPr>
            </w:pPr>
            <w:r>
              <w:rPr>
                <w:rFonts w:ascii="Arial" w:cs="Arial" w:eastAsia="Arial" w:hAnsi="Arial"/>
                <w:sz w:val="18"/>
                <w:szCs w:val="18"/>
                <w:b w:val="1"/>
                <w:bCs w:val="1"/>
                <w:color w:val="004877"/>
              </w:rPr>
              <w:t>For</w:t>
            </w:r>
          </w:p>
        </w:tc>
        <w:tc>
          <w:tcPr>
            <w:tcW w:w="0" w:type="dxa"/>
            <w:vAlign w:val="bottom"/>
          </w:tcPr>
          <w:p>
            <w:pPr>
              <w:spacing w:after="0"/>
              <w:rPr>
                <w:sz w:val="1"/>
                <w:szCs w:val="1"/>
                <w:color w:val="auto"/>
              </w:rPr>
            </w:pPr>
          </w:p>
        </w:tc>
      </w:tr>
      <w:tr>
        <w:trPr>
          <w:trHeight w:val="131"/>
        </w:trPr>
        <w:tc>
          <w:tcPr>
            <w:tcW w:w="520" w:type="dxa"/>
            <w:vAlign w:val="bottom"/>
            <w:shd w:val="clear" w:color="auto" w:fill="F0EFF7"/>
          </w:tcPr>
          <w:p>
            <w:pPr>
              <w:spacing w:after="0"/>
              <w:rPr>
                <w:sz w:val="11"/>
                <w:szCs w:val="11"/>
                <w:color w:val="auto"/>
              </w:rPr>
            </w:pPr>
          </w:p>
        </w:tc>
        <w:tc>
          <w:tcPr>
            <w:tcW w:w="9280" w:type="dxa"/>
            <w:vAlign w:val="bottom"/>
            <w:tcBorders>
              <w:right w:val="single" w:sz="8" w:color="004877"/>
            </w:tcBorders>
            <w:vMerge w:val="restart"/>
            <w:shd w:val="clear" w:color="auto" w:fill="F0EFF7"/>
          </w:tcPr>
          <w:p>
            <w:pPr>
              <w:ind w:left="100"/>
              <w:spacing w:after="0"/>
              <w:rPr>
                <w:sz w:val="20"/>
                <w:szCs w:val="20"/>
                <w:color w:val="auto"/>
              </w:rPr>
            </w:pPr>
            <w:r>
              <w:rPr>
                <w:rFonts w:ascii="Arial" w:cs="Arial" w:eastAsia="Arial" w:hAnsi="Arial"/>
                <w:sz w:val="18"/>
                <w:szCs w:val="18"/>
                <w:color w:val="004877"/>
              </w:rPr>
              <w:t>ending March 31, 2022.</w:t>
            </w:r>
          </w:p>
        </w:tc>
        <w:tc>
          <w:tcPr>
            <w:tcW w:w="80" w:type="dxa"/>
            <w:vAlign w:val="bottom"/>
            <w:shd w:val="clear" w:color="auto" w:fill="F0EFF7"/>
          </w:tcPr>
          <w:p>
            <w:pPr>
              <w:spacing w:after="0"/>
              <w:rPr>
                <w:sz w:val="11"/>
                <w:szCs w:val="11"/>
                <w:color w:val="auto"/>
              </w:rPr>
            </w:pPr>
          </w:p>
        </w:tc>
        <w:tc>
          <w:tcPr>
            <w:tcW w:w="960" w:type="dxa"/>
            <w:vAlign w:val="bottom"/>
            <w:vMerge w:val="continue"/>
            <w:shd w:val="clear" w:color="auto" w:fill="F0EFF7"/>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520" w:type="dxa"/>
            <w:vAlign w:val="bottom"/>
            <w:tcBorders>
              <w:bottom w:val="single" w:sz="8" w:color="F0EFF7"/>
            </w:tcBorders>
            <w:shd w:val="clear" w:color="auto" w:fill="F0EFF7"/>
          </w:tcPr>
          <w:p>
            <w:pPr>
              <w:spacing w:after="0"/>
              <w:rPr>
                <w:sz w:val="10"/>
                <w:szCs w:val="10"/>
                <w:color w:val="auto"/>
              </w:rPr>
            </w:pPr>
          </w:p>
        </w:tc>
        <w:tc>
          <w:tcPr>
            <w:tcW w:w="9280" w:type="dxa"/>
            <w:vAlign w:val="bottom"/>
            <w:tcBorders>
              <w:bottom w:val="single" w:sz="8" w:color="F0EFF7"/>
              <w:right w:val="single" w:sz="8" w:color="004877"/>
            </w:tcBorders>
            <w:vMerge w:val="continue"/>
            <w:shd w:val="clear" w:color="auto" w:fill="F0EFF7"/>
          </w:tcPr>
          <w:p>
            <w:pPr>
              <w:spacing w:after="0"/>
              <w:rPr>
                <w:sz w:val="10"/>
                <w:szCs w:val="10"/>
                <w:color w:val="auto"/>
              </w:rPr>
            </w:pPr>
          </w:p>
        </w:tc>
        <w:tc>
          <w:tcPr>
            <w:tcW w:w="80" w:type="dxa"/>
            <w:vAlign w:val="bottom"/>
            <w:tcBorders>
              <w:bottom w:val="single" w:sz="8" w:color="F0EFF7"/>
            </w:tcBorders>
            <w:shd w:val="clear" w:color="auto" w:fill="F0EFF7"/>
          </w:tcPr>
          <w:p>
            <w:pPr>
              <w:spacing w:after="0"/>
              <w:rPr>
                <w:sz w:val="10"/>
                <w:szCs w:val="10"/>
                <w:color w:val="auto"/>
              </w:rPr>
            </w:pPr>
          </w:p>
        </w:tc>
        <w:tc>
          <w:tcPr>
            <w:tcW w:w="960" w:type="dxa"/>
            <w:vAlign w:val="bottom"/>
            <w:tcBorders>
              <w:bottom w:val="single" w:sz="8" w:color="F0EFF7"/>
            </w:tcBorders>
            <w:shd w:val="clear" w:color="auto" w:fill="F0EFF7"/>
          </w:tcPr>
          <w:p>
            <w:pPr>
              <w:spacing w:after="0"/>
              <w:rPr>
                <w:sz w:val="10"/>
                <w:szCs w:val="10"/>
                <w:color w:val="auto"/>
              </w:rPr>
            </w:pPr>
          </w:p>
        </w:tc>
        <w:tc>
          <w:tcPr>
            <w:tcW w:w="0" w:type="dxa"/>
            <w:vAlign w:val="bottom"/>
          </w:tcPr>
          <w:p>
            <w:pPr>
              <w:spacing w:after="0"/>
              <w:rPr>
                <w:sz w:val="1"/>
                <w:szCs w:val="1"/>
                <w:color w:val="auto"/>
              </w:rPr>
            </w:pPr>
          </w:p>
        </w:tc>
      </w:tr>
      <w:tr>
        <w:trPr>
          <w:trHeight w:val="277"/>
        </w:trPr>
        <w:tc>
          <w:tcPr>
            <w:tcW w:w="9800" w:type="dxa"/>
            <w:vAlign w:val="bottom"/>
            <w:tcBorders>
              <w:top w:val="single" w:sz="8" w:color="004877"/>
              <w:bottom w:val="single" w:sz="8" w:color="F0EFF7"/>
              <w:right w:val="single" w:sz="8" w:color="F0EFF7"/>
            </w:tcBorders>
            <w:gridSpan w:val="2"/>
            <w:shd w:val="clear" w:color="auto" w:fill="F0EFF7"/>
          </w:tcPr>
          <w:p>
            <w:pPr>
              <w:ind w:left="100"/>
              <w:spacing w:after="0"/>
              <w:rPr>
                <w:sz w:val="20"/>
                <w:szCs w:val="20"/>
                <w:color w:val="auto"/>
              </w:rPr>
            </w:pPr>
            <w:r>
              <w:rPr>
                <w:rFonts w:ascii="Arial" w:cs="Arial" w:eastAsia="Arial" w:hAnsi="Arial"/>
                <w:sz w:val="18"/>
                <w:szCs w:val="18"/>
                <w:b w:val="1"/>
                <w:bCs w:val="1"/>
                <w:color w:val="004877"/>
              </w:rPr>
              <w:t xml:space="preserve">NOTE: </w:t>
            </w:r>
            <w:r>
              <w:rPr>
                <w:rFonts w:ascii="Arial" w:cs="Arial" w:eastAsia="Arial" w:hAnsi="Arial"/>
                <w:sz w:val="18"/>
                <w:szCs w:val="18"/>
                <w:color w:val="004877"/>
              </w:rPr>
              <w:t>Such other business as may properly come before the meeting or any adjournment thereof.</w:t>
            </w:r>
          </w:p>
        </w:tc>
        <w:tc>
          <w:tcPr>
            <w:tcW w:w="80" w:type="dxa"/>
            <w:vAlign w:val="bottom"/>
            <w:tcBorders>
              <w:top w:val="single" w:sz="8" w:color="004877"/>
              <w:bottom w:val="single" w:sz="8" w:color="F0EFF7"/>
            </w:tcBorders>
            <w:shd w:val="clear" w:color="auto" w:fill="F0EFF7"/>
          </w:tcPr>
          <w:p>
            <w:pPr>
              <w:spacing w:after="0"/>
              <w:rPr>
                <w:sz w:val="23"/>
                <w:szCs w:val="23"/>
                <w:color w:val="auto"/>
              </w:rPr>
            </w:pPr>
          </w:p>
        </w:tc>
        <w:tc>
          <w:tcPr>
            <w:tcW w:w="960" w:type="dxa"/>
            <w:vAlign w:val="bottom"/>
            <w:tcBorders>
              <w:top w:val="single" w:sz="8" w:color="004877"/>
              <w:bottom w:val="single" w:sz="8" w:color="F0EFF7"/>
            </w:tcBorders>
            <w:shd w:val="clear" w:color="auto" w:fill="F0EFF7"/>
          </w:tcPr>
          <w:p>
            <w:pPr>
              <w:spacing w:after="0"/>
              <w:rPr>
                <w:sz w:val="23"/>
                <w:szCs w:val="23"/>
                <w:color w:val="auto"/>
              </w:rPr>
            </w:pPr>
          </w:p>
        </w:tc>
        <w:tc>
          <w:tcPr>
            <w:tcW w:w="0" w:type="dxa"/>
            <w:vAlign w:val="bottom"/>
          </w:tcPr>
          <w:p>
            <w:pPr>
              <w:spacing w:after="0"/>
              <w:rPr>
                <w:sz w:val="1"/>
                <w:szCs w:val="1"/>
                <w:color w:val="auto"/>
              </w:rPr>
            </w:pPr>
          </w:p>
        </w:tc>
      </w:tr>
      <w:tr>
        <w:trPr>
          <w:trHeight w:val="3805"/>
        </w:trPr>
        <w:tc>
          <w:tcPr>
            <w:tcW w:w="520" w:type="dxa"/>
            <w:vAlign w:val="bottom"/>
            <w:tcBorders>
              <w:top w:val="single" w:sz="8" w:color="004877"/>
            </w:tcBorders>
            <w:shd w:val="clear" w:color="auto" w:fill="F0EFF7"/>
          </w:tcPr>
          <w:p>
            <w:pPr>
              <w:spacing w:after="0"/>
              <w:rPr>
                <w:sz w:val="24"/>
                <w:szCs w:val="24"/>
                <w:color w:val="auto"/>
              </w:rPr>
            </w:pPr>
          </w:p>
        </w:tc>
        <w:tc>
          <w:tcPr>
            <w:tcW w:w="9280" w:type="dxa"/>
            <w:vAlign w:val="bottom"/>
            <w:tcBorders>
              <w:top w:val="single" w:sz="8" w:color="004877"/>
              <w:right w:val="single" w:sz="8" w:color="F0EFF7"/>
            </w:tcBorders>
            <w:shd w:val="clear" w:color="auto" w:fill="F0EFF7"/>
          </w:tcPr>
          <w:p>
            <w:pPr>
              <w:spacing w:after="0"/>
              <w:rPr>
                <w:sz w:val="24"/>
                <w:szCs w:val="24"/>
                <w:color w:val="auto"/>
              </w:rPr>
            </w:pPr>
          </w:p>
        </w:tc>
        <w:tc>
          <w:tcPr>
            <w:tcW w:w="80" w:type="dxa"/>
            <w:vAlign w:val="bottom"/>
            <w:tcBorders>
              <w:top w:val="single" w:sz="8" w:color="004877"/>
            </w:tcBorders>
            <w:shd w:val="clear" w:color="auto" w:fill="F0EFF7"/>
          </w:tcPr>
          <w:p>
            <w:pPr>
              <w:spacing w:after="0"/>
              <w:rPr>
                <w:sz w:val="24"/>
                <w:szCs w:val="24"/>
                <w:color w:val="auto"/>
              </w:rPr>
            </w:pPr>
          </w:p>
        </w:tc>
        <w:tc>
          <w:tcPr>
            <w:tcW w:w="960" w:type="dxa"/>
            <w:vAlign w:val="bottom"/>
            <w:tcBorders>
              <w:top w:val="single" w:sz="8" w:color="004877"/>
            </w:tcBorders>
            <w:shd w:val="clear" w:color="auto" w:fill="F0EFF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6277610</wp:posOffset>
            </wp:positionH>
            <wp:positionV relativeFrom="paragraph">
              <wp:posOffset>-5245100</wp:posOffset>
            </wp:positionV>
            <wp:extent cx="151765" cy="1771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-5025390</wp:posOffset>
            </wp:positionV>
            <wp:extent cx="151765" cy="1771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-4806315</wp:posOffset>
            </wp:positionV>
            <wp:extent cx="151765" cy="177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-4587240</wp:posOffset>
            </wp:positionV>
            <wp:extent cx="151765" cy="1771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-4367530</wp:posOffset>
            </wp:positionV>
            <wp:extent cx="151765" cy="177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-4148455</wp:posOffset>
            </wp:positionV>
            <wp:extent cx="151765" cy="1771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-3929380</wp:posOffset>
            </wp:positionV>
            <wp:extent cx="151765" cy="177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-3710305</wp:posOffset>
            </wp:positionV>
            <wp:extent cx="151765" cy="1771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-3465195</wp:posOffset>
            </wp:positionV>
            <wp:extent cx="151765" cy="177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-3145155</wp:posOffset>
            </wp:positionV>
            <wp:extent cx="151765" cy="1771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1765" cy="177165"/>
                    </a:xfrm>
                    <a:prstGeom prst="rect">
                      <a:avLst/>
                    </a:prstGeom>
                    <a:noFill/>
                  </pic:spPr>
                </pic:pic>
              </a:graphicData>
            </a:graphic>
          </wp:anchor>
        </w:drawing>
        <w:drawing>
          <wp:anchor simplePos="0" relativeHeight="251657728" behindDoc="1" locked="0" layoutInCell="0" allowOverlap="1">
            <wp:simplePos x="0" y="0"/>
            <wp:positionH relativeFrom="column">
              <wp:posOffset>6277610</wp:posOffset>
            </wp:positionH>
            <wp:positionV relativeFrom="paragraph">
              <wp:posOffset>-2900680</wp:posOffset>
            </wp:positionV>
            <wp:extent cx="151765" cy="1771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 cy="177165"/>
                    </a:xfrm>
                    <a:prstGeom prst="rect">
                      <a:avLst/>
                    </a:prstGeom>
                    <a:noFill/>
                  </pic:spPr>
                </pic:pic>
              </a:graphicData>
            </a:graphic>
          </wp:anchor>
        </w:drawing>
      </w:r>
    </w:p>
    <w:p>
      <w:pPr>
        <w:sectPr>
          <w:pgSz w:w="11900" w:h="16838" w:orient="portrait"/>
          <w:cols w:equalWidth="0" w:num="1">
            <w:col w:w="10840"/>
          </w:cols>
          <w:pgMar w:left="520" w:top="258" w:right="5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D57919-P59608</w:t>
      </w:r>
    </w:p>
    <w:sectPr>
      <w:pgSz w:w="11900" w:h="16838" w:orient="portrait"/>
      <w:cols w:equalWidth="0" w:num="1">
        <w:col w:w="10840"/>
      </w:cols>
      <w:pgMar w:left="520" w:top="258"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2021-07-30T16:03:49Z</dcterms:created>
  <dcterms:modified xsi:type="dcterms:W3CDTF">2021-07-30T16:03:49Z</dcterms:modified>
</cp:coreProperties>
</file>