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TAKE-TWO INTERACTIVE SOFTWARE, INC.</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536-2842</w:t>
      </w: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TTWO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On April 10, 2023, Take-Two Interactive Software, Inc. (the “Company”) entered into an underwriting agreement (the “Underwriting Agreement”), by and among the Company, J.P. Morgan Securities LLC and Wells Fargo Securities, LLC, as representatives of the several underwriters named in Schedule 1 thereto, in connection with the underwritten public offering of $1.0 billion aggregate principal amount of its senior notes, consisting of $500 million principal amount of its 5.000% Senior Notes due 2026 (the “2026 Notes”) and $500 million principal amount of its 4.950% Senior Notes due 2028 (together with the 2026 Notes, the “Notes”). A copy of the Underwriting Agreement is attached hereto as Exhibit 1.1 and incorporated by reference herein. The Notes are being offered pursuant to an effective registration statement on Form S-3 (Registration Statement No. 333-264153) filed with the Securities and Exchange Commission (the “SEC”), as supplemented by the preliminary prospectus supplement filed with the SEC on April 10, 2023.</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On April 10, 2023 the Company issued a press release announcing the pricing of its offering of the Notes. A copy of the press release is attached hereto as Exhibit 99.1 and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17" w:lineRule="exact"/>
        <w:rPr>
          <w:sz w:val="20"/>
          <w:szCs w:val="20"/>
          <w:color w:val="auto"/>
        </w:rPr>
      </w:pPr>
    </w:p>
    <w:p>
      <w:pPr>
        <w:ind w:right="20" w:firstLine="440"/>
        <w:spacing w:after="0" w:line="245" w:lineRule="auto"/>
        <w:rPr>
          <w:sz w:val="20"/>
          <w:szCs w:val="20"/>
          <w:color w:val="auto"/>
        </w:rPr>
      </w:pPr>
      <w:r>
        <w:rPr>
          <w:rFonts w:ascii="Times New Roman" w:cs="Times New Roman" w:eastAsia="Times New Roman" w:hAnsi="Times New Roman"/>
          <w:sz w:val="18"/>
          <w:szCs w:val="18"/>
          <w:color w:val="auto"/>
        </w:rPr>
        <w:t xml:space="preserve">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our combination with Zynga;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both consumer demand and the discretionary spending patterns of our customers as the situation with the pandemic continues to evolve; the risks of conducting business internationally;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Times New Roman" w:cs="Times New Roman" w:eastAsia="Times New Roman" w:hAnsi="Times New Roman"/>
          <w:sz w:val="18"/>
          <w:szCs w:val="18"/>
          <w:i w:val="1"/>
          <w:iCs w:val="1"/>
          <w:color w:val="auto"/>
        </w:rPr>
        <w:t xml:space="preserve">NBA 2K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X|S; the timely release and significant market acceptance of our games; the ability to maintain acceptable pricing levels on our games; and risks associated with international operations.</w:t>
      </w:r>
    </w:p>
    <w:p>
      <w:pPr>
        <w:spacing w:after="0" w:line="19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3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80" w:type="dxa"/>
            <w:vAlign w:val="bottom"/>
            <w:vMerge w:val="restart"/>
          </w:tcPr>
          <w:p>
            <w:pPr>
              <w:spacing w:after="0"/>
              <w:rPr>
                <w:sz w:val="24"/>
                <w:szCs w:val="24"/>
                <w:color w:val="auto"/>
              </w:rPr>
            </w:pPr>
          </w:p>
        </w:tc>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62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4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as of April 10, 2023, by and among the Company, J.P. Morgan Securities LLC and Wells Fargo</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Securities, LLC, as representatives of the several underwriters named in Schedule 1 thereto.</w:t>
            </w:r>
          </w:p>
        </w:tc>
        <w:tc>
          <w:tcPr>
            <w:tcW w:w="0" w:type="dxa"/>
            <w:vAlign w:val="bottom"/>
          </w:tcPr>
          <w:p>
            <w:pPr>
              <w:spacing w:after="0"/>
              <w:rPr>
                <w:sz w:val="1"/>
                <w:szCs w:val="1"/>
                <w:color w:val="auto"/>
              </w:rPr>
            </w:pPr>
          </w:p>
        </w:tc>
      </w:tr>
      <w:tr>
        <w:trPr>
          <w:trHeight w:val="304"/>
        </w:trPr>
        <w:tc>
          <w:tcPr>
            <w:tcW w:w="6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95"/>
              </w:rPr>
              <w:t>99.1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April 10, 2023.</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44" w:hanging="1244"/>
        <w:spacing w:after="0"/>
        <w:tabs>
          <w:tab w:leader="none" w:pos="1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7"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424"/>
          </w:cols>
          <w:pgMar w:left="436" w:top="293" w:right="10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Breitman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Breitman</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Americas &amp; Corporate</w:t>
            </w: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2023</w:t>
            </w:r>
          </w:p>
        </w:tc>
        <w:tc>
          <w:tcPr>
            <w:tcW w:w="4860" w:type="dxa"/>
            <w:vAlign w:val="bottom"/>
          </w:tcPr>
          <w:p>
            <w:pPr>
              <w:spacing w:after="0"/>
              <w:rPr>
                <w:sz w:val="24"/>
                <w:szCs w:val="24"/>
                <w:color w:val="auto"/>
              </w:rPr>
            </w:pPr>
          </w:p>
        </w:tc>
      </w:tr>
      <w:tr>
        <w:trPr>
          <w:trHeight w:val="365"/>
        </w:trPr>
        <w:tc>
          <w:tcPr>
            <w:tcW w:w="61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- 4 -</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$500,000,000 5.000% Senior Notes due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$500,000,000 4.950% Senior Notes due 2028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07"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April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196" w:lineRule="auto"/>
        <w:rPr>
          <w:sz w:val="20"/>
          <w:szCs w:val="20"/>
          <w:color w:val="auto"/>
        </w:rPr>
      </w:pPr>
      <w:r>
        <w:rPr>
          <w:rFonts w:ascii="Times New Roman" w:cs="Times New Roman" w:eastAsia="Times New Roman" w:hAnsi="Times New Roman"/>
          <w:sz w:val="18"/>
          <w:szCs w:val="18"/>
          <w:color w:val="auto"/>
        </w:rPr>
        <w:t>550 South Tryon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380" w:firstLine="440"/>
        <w:spacing w:after="0" w:line="276" w:lineRule="auto"/>
        <w:rPr>
          <w:sz w:val="20"/>
          <w:szCs w:val="20"/>
          <w:color w:val="auto"/>
        </w:rPr>
      </w:pPr>
      <w:r>
        <w:rPr>
          <w:rFonts w:ascii="Times New Roman" w:cs="Times New Roman" w:eastAsia="Times New Roman" w:hAnsi="Times New Roman"/>
          <w:sz w:val="17"/>
          <w:szCs w:val="17"/>
          <w:color w:val="auto"/>
        </w:rPr>
        <w:t>Take-Two Interactive Software,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to issue and sell to the several Underwriters listed in Schedule 1 hereto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for whom you are acting as representatives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$500,000,000 principal amount of its</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5.000% Senior Notes due 2026 (the “</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and $500,000,000 principal amount of its 4.950%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and, together with the 2026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will be issued pursuant to an Indenture dated as of April 14, 2022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The Bank of New York Mellon,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amended by the Fifth Supplemental Indenture and the Sixth Supplemental Indenture, in each case to be dated as of the Closing Date (as defined below) (collectively, the “</w:t>
      </w:r>
      <w:r>
        <w:rPr>
          <w:rFonts w:ascii="Times New Roman" w:cs="Times New Roman" w:eastAsia="Times New Roman" w:hAnsi="Times New Roman"/>
          <w:sz w:val="18"/>
          <w:szCs w:val="18"/>
          <w:u w:val="single" w:color="auto"/>
          <w:color w:val="auto"/>
        </w:rPr>
        <w:t>Supplemental Indentures</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of the offering of the Securities, to repay in full its unsecured 364-Day Term Loan Credit Agreement, which has a principal balance of $350.0 million as of December 31, 2022 and matures on June 21, 2023, and the remainder for general corporate purposes, including the repurchase or retirement of its other outstanding indebtedness.</w:t>
      </w:r>
    </w:p>
    <w:p>
      <w:pPr>
        <w:sectPr>
          <w:pgSz w:w="11900" w:h="16838" w:orient="portrait"/>
          <w:cols w:equalWidth="0" w:num="1">
            <w:col w:w="11020"/>
          </w:cols>
          <w:pgMar w:left="440" w:top="117"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117" w:lineRule="exact"/>
        <w:rPr>
          <w:sz w:val="20"/>
          <w:szCs w:val="20"/>
          <w:color w:val="auto"/>
        </w:rPr>
      </w:pPr>
    </w:p>
    <w:p>
      <w:pPr>
        <w:ind w:firstLine="436"/>
        <w:spacing w:after="0" w:line="25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 registration statement on Form S-3 (File No. 333-264153), including a prospectus, relating to the Securities. Such registration statement, as amended at the time it became effective, including the information, if any, deemed pursuant to Rule 430A, 430B or 430C under the Securities Act to be part of the registration statement at the time of its effectiveness (“</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as used herein, the term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any prospectus filed with the Commission pursuant to Rule 424(a) under the Securities Act and the prospectus included in the Registration Statement at the time of its effectiveness that omits Rule 430 Information, and the term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 the form first used (or made available upon request of purchasers pursuant to Rule 173 under the Securities Act) in connection with confirmation of sales of the Securities. Any reference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9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At or prior to 3:35 p.m., New York City time, on April 10, 2023, the time when sales of the Securities were first made (the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the Company had prepared the following information (collectively,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a Preliminary Prospectus dated April 10, 2023, and each “</w:t>
      </w:r>
      <w:r>
        <w:rPr>
          <w:rFonts w:ascii="Times New Roman" w:cs="Times New Roman" w:eastAsia="Times New Roman" w:hAnsi="Times New Roman"/>
          <w:sz w:val="18"/>
          <w:szCs w:val="18"/>
          <w:u w:val="single" w:color="auto"/>
          <w:color w:val="auto"/>
        </w:rPr>
        <w:t>free-writing prospectus</w:t>
      </w:r>
      <w:r>
        <w:rPr>
          <w:rFonts w:ascii="Times New Roman" w:cs="Times New Roman" w:eastAsia="Times New Roman" w:hAnsi="Times New Roman"/>
          <w:sz w:val="18"/>
          <w:szCs w:val="18"/>
          <w:color w:val="auto"/>
        </w:rPr>
        <w:t>” (as defined pursuant to Rule 405 under the Securities Act) listed on Annex A hereto.</w:t>
      </w:r>
    </w:p>
    <w:p>
      <w:pPr>
        <w:spacing w:after="0" w:line="176"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the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(y) 99.545% of the principal amount of the 2026 Notes and (z) 99.320% of the principal amount of the 2028 Notes, respectively, plus, in each case, accrued interest, if any, from April 14, 2023 to the Closing Date (as defined below). The Company will not be obligated to deliver any of the Securities except upon payment for all the Securities to be purchased as provided herein.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right="260" w:firstLine="436"/>
        <w:spacing w:after="0" w:line="261"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179"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Securities will be made at the offices of Latham &amp; Watkins LLP at 10:00 A.M., New York City time, on April 14, 2023,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account of the Underwriters, of one or more global notes representing each of the 2026 Notes, and the 2028 Notes (collectively, the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with any transfer taxes payable in connection with the sale of the Securities duly paid by the Company. The Global Notes will be made available for inspection by the Representatives not later than 1:00 P.M., New York City time, on the business day prior to the Closing Date.</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as the case may be, and shall not be on behalf of the Company, as the case may be, or any other person.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Underwriters that:</w:t>
      </w:r>
    </w:p>
    <w:p>
      <w:pPr>
        <w:spacing w:after="0" w:line="115" w:lineRule="exact"/>
        <w:rPr>
          <w:sz w:val="20"/>
          <w:szCs w:val="20"/>
          <w:color w:val="auto"/>
        </w:rPr>
      </w:pPr>
    </w:p>
    <w:p>
      <w:pPr>
        <w:ind w:right="300" w:firstLine="436"/>
        <w:spacing w:after="0" w:line="267"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or on behalf of such Underwriter through the Representatives expressly for use in any Preliminary Prospectus.</w:t>
      </w:r>
    </w:p>
    <w:p>
      <w:pPr>
        <w:spacing w:after="0" w:line="174" w:lineRule="exact"/>
        <w:rPr>
          <w:sz w:val="20"/>
          <w:szCs w:val="20"/>
          <w:color w:val="auto"/>
        </w:rPr>
      </w:pPr>
    </w:p>
    <w:p>
      <w:pPr>
        <w:ind w:right="60" w:firstLine="436"/>
        <w:spacing w:after="0" w:line="257"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The Time of Sale Information, at the Time of Sale did not, and at the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or on behalf of such Underwriter through the Representatives expressly for use in the Preliminary Prospectus, the Time of Sale Information or the Prospectus.</w:t>
      </w:r>
    </w:p>
    <w:p>
      <w:pPr>
        <w:spacing w:after="0" w:line="182"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prepared, made, used, authorized, approved or referred to and will not prepare, make, use, authorize, approve or refer to any “</w:t>
      </w:r>
      <w:r>
        <w:rPr>
          <w:rFonts w:ascii="Times New Roman" w:cs="Times New Roman" w:eastAsia="Times New Roman" w:hAnsi="Times New Roman"/>
          <w:sz w:val="18"/>
          <w:szCs w:val="18"/>
          <w:u w:val="single" w:color="auto"/>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at the Time of Sale, did not, and at the Closing Date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or on behalf of such Underwriter through the Representatives expressly for use in any Issuer Free Writing Prospectus.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8" w:name="page9"/>
    <w:bookmarkEnd w:id="8"/>
    <w:p>
      <w:pPr>
        <w:ind w:right="20" w:firstLine="436"/>
        <w:spacing w:after="0" w:line="25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or on behalf of such Underwriter through the Representatives expressly for use in the Registration Statement and the Prospectus and any amendment or supplement thereto, it being understood and agreed that the only such information furnished by or on behalf of any Underwriter consists of the information described as such in Section 7(b) hereof.</w:t>
      </w:r>
    </w:p>
    <w:p>
      <w:pPr>
        <w:spacing w:after="0" w:line="193"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Incorporated Documents. </w:t>
      </w:r>
      <w:r>
        <w:rPr>
          <w:rFonts w:ascii="Times New Roman" w:cs="Times New Roman" w:eastAsia="Times New Roman" w:hAnsi="Times New Roman"/>
          <w:sz w:val="18"/>
          <w:szCs w:val="18"/>
          <w:color w:val="auto"/>
        </w:rPr>
        <w:t>The documents incorporated by reference in each of the Registration Statement, the Prospectus and the Time of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when they became effective or were filed with the Commission, as the case may be, conformed in all material respects to the requirements of the Exchange Act;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(i) The financial statements of the Company and its consolidated subsidiaries and the related notes thereto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each of the Registration Statement, the Time of Sale Information and the Prospectus comply in all material respects with the applicable requirements of the Securities Act and the Exchange Act, as applicable, and present fairly the financial position of the Company and its consolidated subsidiaries in all material respects as of the dates indicated and the results of their operations and the changes in their cash flows for the periods specified; (ii) the financial statements of Zynga Inc., a Delaware corporation (“</w:t>
      </w:r>
      <w:r>
        <w:rPr>
          <w:rFonts w:ascii="Times New Roman" w:cs="Times New Roman" w:eastAsia="Times New Roman" w:hAnsi="Times New Roman"/>
          <w:sz w:val="18"/>
          <w:szCs w:val="18"/>
          <w:u w:val="single" w:color="auto"/>
          <w:color w:val="auto"/>
        </w:rPr>
        <w:t>Zynga</w:t>
      </w:r>
      <w:r>
        <w:rPr>
          <w:rFonts w:ascii="Times New Roman" w:cs="Times New Roman" w:eastAsia="Times New Roman" w:hAnsi="Times New Roman"/>
          <w:sz w:val="18"/>
          <w:szCs w:val="18"/>
          <w:color w:val="auto"/>
        </w:rPr>
        <w:t>”), and its consolidated subsidiaries and the related notes thereto included or incorporated by reference in each of the Registration Statement, the Time of Sale Information and the Prospectus comply in all material respects with the applicable requirements of the Securities Act and the Exchange Act, as applicable, and present fairly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financial position of Zynga and its consolidated subsidiaries in all material respects as of the dates indicated and the results of their operations and the changes in their cash flows for the periods specified; (iii) such financial statements, in each case, have been prepared in conformity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applied on a consistent basis throughout the periods covered thereby, and the supporting schedules included or incorporated by reference in each of the Registration Statement, the Prospectus and the Time of Sale Information present fairly, in all material respects, the information required to be stated therein; (iv) the other financial information included or incorporated by reference in each of the Registration Statement, the Time of Sale Information and the Prospectus has been derived from the accounting records of the Company and its consolidated subsidiaries or Zynga and its consolidated subsidiaries, as applicable, and presents fairly the information shown thereby in all material respects; and (v) the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financial information and the related notes thereto included or incorporated by reference in each of the Registration Statement, the Time of Sale Information and the Prospectus have been prepared in accordance with the applicable requirements of the Securities Act and the Exchange Act, as applicable, and the assumptions underlying such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financial information are reasonable and are set forth in each of the Registration Statement, the Time of Sale Information and the Prospectus.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spacing w:after="0" w:line="185" w:lineRule="exact"/>
        <w:rPr>
          <w:sz w:val="20"/>
          <w:szCs w:val="20"/>
          <w:color w:val="auto"/>
        </w:rPr>
      </w:pPr>
    </w:p>
    <w:p>
      <w:pPr>
        <w:ind w:right="140" w:firstLine="436"/>
        <w:spacing w:after="0" w:line="253"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Registration Statement, the Time of Sale Information and the Prospectus, (i) there has not been any change in the capital stock or long-term debt of the Company or any of its Significant Subsidiaries (as defined below),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or results of operations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spacing w:after="0" w:line="191" w:lineRule="exact"/>
        <w:rPr>
          <w:rFonts w:ascii="Times New Roman" w:cs="Times New Roman" w:eastAsia="Times New Roman" w:hAnsi="Times New Roman"/>
          <w:sz w:val="18"/>
          <w:szCs w:val="18"/>
          <w:color w:val="auto"/>
        </w:rPr>
      </w:pPr>
    </w:p>
    <w:p>
      <w:pPr>
        <w:ind w:right="60" w:firstLine="436"/>
        <w:spacing w:after="0" w:line="267"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“significant subsidiaries”, as such term is defined in Rule 1-02 of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S-X under the Exchange Act (each a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have been duly organized and are validly existing and in good standing (to the extent the concept of good standing is applicable in the relevant jurisdiction) under the laws of their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management, financial position or results of operations of the Company and its subsidiaries taken as a whole, or on the performance by the Company of its obligations under this Agreement and the Securities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The Company does not own or control, directly or indirectly, any corporation, association or other entity other than Zynga and the subsidiaries listed in Exhibit 21 to the Company’s Form 10-K for the year ended March 31, 2022 and Exhibit 21 to Zynga’s Form 10-K for the year ended December 31, 2021, except for entities that have been omitted pursuant to Item 601(b)(21) of Regulation S-K. The subsidiaries listed in Schedule 2 to this Agreement are the only Significant Subsidiaries of the Company.</w:t>
      </w:r>
    </w:p>
    <w:p>
      <w:pPr>
        <w:spacing w:after="0" w:line="186" w:lineRule="exact"/>
        <w:rPr>
          <w:sz w:val="20"/>
          <w:szCs w:val="20"/>
          <w:color w:val="auto"/>
        </w:rPr>
      </w:pPr>
    </w:p>
    <w:p>
      <w:pPr>
        <w:ind w:firstLine="436"/>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the authorized capitalization as set forth in each of the Registration Statement,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“Capitalization”; and all the outstanding shares of capital stock or other equity interests of each Significant Subsidiary of the Company have been duly and validly authorized and issued, are fully paid and non-assessable (except, in the case of any foreign subsidiary, for directors’ qualifying shares and except as otherwise described in each of the Registration Statement, the Time of Sale Information and the Prospectus) and are owned directly or indirectly by the Company, free and clear of any lien, charge, encumbrance, security interest, restriction on voting or transfer or any other claim of any third party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right="20" w:firstLine="436"/>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necessary corporate power and authority to execute and deliver this Agreement, the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to perform its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spacing w:after="0" w:line="179"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Indenture. </w:t>
      </w:r>
      <w:r>
        <w:rPr>
          <w:rFonts w:ascii="Times New Roman" w:cs="Times New Roman" w:eastAsia="Times New Roman" w:hAnsi="Times New Roman"/>
          <w:sz w:val="18"/>
          <w:szCs w:val="18"/>
          <w:color w:val="auto"/>
        </w:rPr>
        <w:t>The Base Indenture has been duly authorized, executed and delivered by the Company and constitutes a valid and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agreement of the Company enforceable against the Company in accordance with its terms, and the Supplemental Indentures have been duly authorized, and on the Closing Date, will be duly executed and delivered by the Company and, when duly executed and delivered in accordance with its terms by each of the parties thereto, will constitute a valid and legally binding agreement of the Company enforceable against the Company in accordance with their terms, except as enforceability may be limited by applicable bankruptcy, insolvency or similar laws affecting the enforcement of creditors’ rights generally or by equitable principles relating to enforceability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and on the Closing Date the Indenture will conform in all material respects to the requirements of the Trust Indenture Act.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left="-20" w:right="200" w:firstLine="436"/>
        <w:spacing w:after="0" w:line="26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w:t>
      </w:r>
      <w:r>
        <w:rPr>
          <w:rFonts w:ascii="Times New Roman" w:cs="Times New Roman" w:eastAsia="Times New Roman" w:hAnsi="Times New Roman"/>
          <w:sz w:val="18"/>
          <w:szCs w:val="18"/>
          <w:color w:val="auto"/>
        </w:rPr>
        <w:t>. The Securities have been duly authorized by the Company and, when duly executed, authenticated, issued and delivered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spacing w:after="0" w:line="179"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20" w:right="60" w:firstLine="436"/>
        <w:spacing w:after="0" w:line="284"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the Transaction Documents</w:t>
      </w:r>
      <w:r>
        <w:rPr>
          <w:rFonts w:ascii="Times New Roman" w:cs="Times New Roman" w:eastAsia="Times New Roman" w:hAnsi="Times New Roman"/>
          <w:sz w:val="18"/>
          <w:szCs w:val="18"/>
          <w:color w:val="auto"/>
        </w:rPr>
        <w:t>. Each Transaction Document conforms in all material respects to the description thereof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Registration Statement, the Time of Sale Information and the Prospectus.</w:t>
      </w:r>
    </w:p>
    <w:p>
      <w:pPr>
        <w:spacing w:after="0" w:line="158"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None of the Company or any of its Significant Subsidiaries is (i) in violation of its charter or by-laws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Significant Subsidiaries is a party or by which the Company or any of its Significant Subsidiaries is bound or to which any property or asset of the Company or any of its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each of the Transaction Documents,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Significant Subsidiaries pursuant to, any indenture, mortgage, deed of trust, loan agreement or other agreement or instrument to which the Company or any of its Significant Subsidiaries is a party or by which the Company or any of its Significant Subsidiaries is bound or to which any property, right or asset of the Company or any of its Significant Subsidiaries is subject, (ii) result in any violation of the provisions of the charter or by-laws or similar organizational documents of the Company or any of its Significant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68" w:right="459" w:bottom="1440" w:gutter="0" w:footer="0" w:header="0"/>
        </w:sectPr>
      </w:pPr>
    </w:p>
    <w:bookmarkStart w:id="12" w:name="page13"/>
    <w:bookmarkEnd w:id="12"/>
    <w:p>
      <w:pPr>
        <w:ind w:left="4" w:firstLine="436"/>
        <w:spacing w:after="0" w:line="257" w:lineRule="auto"/>
        <w:tabs>
          <w:tab w:leader="none" w:pos="6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each of the Transaction Documents, the issuance and sale of the Securities and compliance by the Company with the terms thereof and the consummation of the transactions contemplated by the Transaction Documents, except for (i) the registration of the Securities under the Securities Act, (ii) the qualification of the Indenture under the Trust Indenture Act and (iii) such consents, approvals, authorizations, orders and registrations or qualifications as may be required under applicable state securities laws in connection with the purchase and distribution of the Securities by the Underwriters.</w:t>
      </w:r>
    </w:p>
    <w:p>
      <w:pPr>
        <w:spacing w:after="0" w:line="182"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66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Legal Proceedings. </w:t>
      </w:r>
      <w:r>
        <w:rPr>
          <w:rFonts w:ascii="Times New Roman" w:cs="Times New Roman" w:eastAsia="Times New Roman" w:hAnsi="Times New Roman"/>
          <w:sz w:val="17"/>
          <w:szCs w:val="17"/>
          <w:color w:val="auto"/>
        </w:rPr>
        <w:t>Except as described in each of the Registration Statement, the Time of Sale Information and the Prospectus, there are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governmental or regulatory investigations, actions, demands, claims, suits, arbitrations, inquiries or proceedings (“</w:t>
      </w:r>
      <w:r>
        <w:rPr>
          <w:rFonts w:ascii="Times New Roman" w:cs="Times New Roman" w:eastAsia="Times New Roman" w:hAnsi="Times New Roman"/>
          <w:sz w:val="17"/>
          <w:szCs w:val="17"/>
          <w:u w:val="single" w:color="auto"/>
          <w:color w:val="auto"/>
        </w:rPr>
        <w:t>Actions</w:t>
      </w:r>
      <w:r>
        <w:rPr>
          <w:rFonts w:ascii="Times New Roman" w:cs="Times New Roman" w:eastAsia="Times New Roman" w:hAnsi="Times New Roman"/>
          <w:sz w:val="17"/>
          <w:szCs w:val="17"/>
          <w:color w:val="auto"/>
        </w:rPr>
        <w:t>”) pending to which the Company or any of its subsidiaries is a party or to which any property of the Company or any of its subsidiaries is the subject that, individually or in the aggregate, if determined adversely to the Company or any of its subsidiaries, could reasonably be expected to have a Material Adverse Effect; no such Actions are, to the knowledge of the Company, threatened or contemplated by any governmental or regulatory authority or threatened by others; and</w:t>
      </w:r>
    </w:p>
    <w:p>
      <w:pPr>
        <w:ind w:left="4" w:right="20" w:hanging="4"/>
        <w:spacing w:after="0" w:line="253"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current or pending Actions that are required under the Securities Act to be described in the Registration Statement or the Prospectus that are not so described in the Registration Statement, the Time of Sale Information and the Prospectus and (ii) there are no statutes, regulations or contracts or other documents that are required under the Securities Act to be filed as exhibits to the Registration Statement or described in the Registration Statement and the Prospectus that are not so filed as exhibits to the Registration Statement or described in the Registration Statement, the Time of Sale Information and the Prospectus.</w:t>
      </w:r>
    </w:p>
    <w:p>
      <w:pPr>
        <w:spacing w:after="0" w:line="184"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Ernst &amp; Young LLP, who have certified certain financial statements of the Company and its subsidiaries and Zynga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subsidiaries, as applicable, is an independent registered public accounting firm with respect to each of the Company and its consolidated subsidiaries, within the applicable rules and regulations adopted by the Commission and the Public Company Accounting Oversight Board (United States) and as required by the Securities Act.</w:t>
      </w:r>
    </w:p>
    <w:p>
      <w:pPr>
        <w:spacing w:after="0" w:line="179"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6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would not reasonably be expected to have a Material Adverse Effect, (i) the Company and its subsidiaries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used in the conduct of their respective businesses as currently conducted; (ii) the Company and its subsidiaries’ conduct of their respective businesses does not infringe, misappropriate or otherwise violate any Intellectual Property of any person; (iii) neither the Company nor its subsidiaries have received any written notice of any claim relating to Intellectual Property; and (iv) to the knowledge of the Company, the Intellectual Property of the Company and its subsidiaries is not being infringed, misappropriated or otherwise violated by any person.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8" w:right="459" w:bottom="1440" w:gutter="0" w:footer="0" w:header="0"/>
        </w:sectPr>
      </w:pPr>
    </w:p>
    <w:bookmarkStart w:id="13" w:name="page14"/>
    <w:bookmarkEnd w:id="13"/>
    <w:p>
      <w:pPr>
        <w:ind w:left="4" w:firstLine="436"/>
        <w:spacing w:after="0" w:line="261"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 Company Act. </w:t>
      </w:r>
      <w:r>
        <w:rPr>
          <w:rFonts w:ascii="Times New Roman" w:cs="Times New Roman" w:eastAsia="Times New Roman" w:hAnsi="Times New Roman"/>
          <w:sz w:val="18"/>
          <w:szCs w:val="18"/>
          <w:color w:val="auto"/>
        </w:rPr>
        <w:t>The Company is not, and after giving effect to the offering and sale of the Securities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as would not reasonably be expected to have a Material Adverse Effect, the Company and its subsidiaries have paid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and foreign taxes and filed all tax returns required to be paid or filed through the date hereof; and except as otherwise disclosed in each of the Registration Statement, the Time of Sale Information and the Prospectus, there is no tax deficiency that has been, or could reasonably be expected to be, asserted against the Company or any of its subsidiaries or any of their respective properties or assets.</w:t>
      </w:r>
    </w:p>
    <w:p>
      <w:pPr>
        <w:spacing w:after="0" w:line="179" w:lineRule="exact"/>
        <w:rPr>
          <w:rFonts w:ascii="Times New Roman" w:cs="Times New Roman" w:eastAsia="Times New Roman" w:hAnsi="Times New Roman"/>
          <w:sz w:val="18"/>
          <w:szCs w:val="18"/>
          <w:color w:val="auto"/>
        </w:rPr>
      </w:pPr>
    </w:p>
    <w:p>
      <w:pPr>
        <w:ind w:left="4" w:firstLine="436"/>
        <w:spacing w:after="0" w:line="255" w:lineRule="auto"/>
        <w:tabs>
          <w:tab w:leader="none" w:pos="73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Significant Subsidiaries possess all licenses, sub-licenses, certificates, permits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individually or in the aggregate, have a Material Adverse Effect; and except as described in each of the Registration Statement, the Time of Sale Information and the Prospectus, neither the Company nor any of its Significant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84" w:lineRule="exact"/>
        <w:rPr>
          <w:rFonts w:ascii="Times New Roman" w:cs="Times New Roman" w:eastAsia="Times New Roman" w:hAnsi="Times New Roman"/>
          <w:sz w:val="18"/>
          <w:szCs w:val="18"/>
          <w:color w:val="auto"/>
        </w:rPr>
      </w:pPr>
    </w:p>
    <w:p>
      <w:pPr>
        <w:ind w:left="4" w:right="200" w:firstLine="436"/>
        <w:spacing w:after="0" w:line="268" w:lineRule="auto"/>
        <w:tabs>
          <w:tab w:leader="none" w:pos="69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Environmental Matters</w:t>
      </w:r>
      <w:r>
        <w:rPr>
          <w:rFonts w:ascii="Times New Roman" w:cs="Times New Roman" w:eastAsia="Times New Roman" w:hAnsi="Times New Roman"/>
          <w:sz w:val="17"/>
          <w:szCs w:val="17"/>
          <w:color w:val="auto"/>
        </w:rPr>
        <w:t>. (i) The Company and its subsidiaries (x) are in compliance with all, and have not violated any,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of or relating to the Company or its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8" w:right="459" w:bottom="1440" w:gutter="0" w:footer="0" w:header="0"/>
        </w:sectPr>
      </w:pPr>
    </w:p>
    <w:bookmarkStart w:id="14" w:name="page15"/>
    <w:bookmarkEnd w:id="14"/>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except in the case of each of (i) and (ii) above, for any such matter as would not, individually or in the aggregate, reasonably be expected to have a Material Adverse Effect; and (iii) except as described in each of the Time of Sale Information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w:t>
      </w:r>
    </w:p>
    <w:p>
      <w:pPr>
        <w:spacing w:after="0" w:line="3" w:lineRule="exact"/>
        <w:rPr>
          <w:sz w:val="20"/>
          <w:szCs w:val="20"/>
          <w:color w:val="auto"/>
        </w:rPr>
      </w:pPr>
    </w:p>
    <w:p>
      <w:pPr>
        <w:ind w:left="4" w:right="160" w:hanging="4"/>
        <w:spacing w:after="0" w:line="253"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neither the Company nor its subsidiaries anticipates material capital expenditures relating to any Environmental Laws.</w:t>
      </w:r>
    </w:p>
    <w:p>
      <w:pPr>
        <w:spacing w:after="0" w:line="186" w:lineRule="exact"/>
        <w:rPr>
          <w:rFonts w:ascii="Times New Roman" w:cs="Times New Roman" w:eastAsia="Times New Roman" w:hAnsi="Times New Roman"/>
          <w:sz w:val="18"/>
          <w:szCs w:val="18"/>
          <w:color w:val="auto"/>
        </w:rPr>
      </w:pPr>
    </w:p>
    <w:p>
      <w:pPr>
        <w:ind w:left="4" w:right="220" w:firstLine="436"/>
        <w:spacing w:after="0" w:line="256"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The Company and its subsidiaries maintain systems of “internal control over financial reporting”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each of the Registration Statement, the Time of Sale Information and the Prospectus, there are no material weaknesses or significant deficiencies in the Company’s internal controls.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5" w:name="page16"/>
    <w:bookmarkEnd w:id="15"/>
    <w:p>
      <w:pPr>
        <w:ind w:left="4" w:right="20" w:firstLine="436"/>
        <w:spacing w:after="0" w:line="269" w:lineRule="auto"/>
        <w:tabs>
          <w:tab w:leader="none" w:pos="76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Unlawful Payments. </w:t>
      </w:r>
      <w:r>
        <w:rPr>
          <w:rFonts w:ascii="Times New Roman" w:cs="Times New Roman" w:eastAsia="Times New Roman" w:hAnsi="Times New Roman"/>
          <w:sz w:val="17"/>
          <w:szCs w:val="17"/>
          <w:color w:val="auto"/>
        </w:rPr>
        <w:t>Neither the Company nor any of its subsidiaries, nor any director, officer or employee of the Company or any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nor, to the knowledge of the Company,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3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reasonably designed to promote and ensure compliance with all applicable anti-bribery and anti-corruption laws.</w:t>
      </w:r>
    </w:p>
    <w:p>
      <w:pPr>
        <w:spacing w:after="0" w:line="186"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2" w:lineRule="exact"/>
        <w:rPr>
          <w:rFonts w:ascii="Times New Roman" w:cs="Times New Roman" w:eastAsia="Times New Roman" w:hAnsi="Times New Roman"/>
          <w:sz w:val="18"/>
          <w:szCs w:val="18"/>
          <w:color w:val="auto"/>
        </w:rPr>
      </w:pPr>
    </w:p>
    <w:p>
      <w:pPr>
        <w:ind w:left="4" w:right="40" w:firstLine="436"/>
        <w:spacing w:after="0" w:line="271" w:lineRule="auto"/>
        <w:tabs>
          <w:tab w:leader="none" w:pos="76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Conflicts with Sanctions Laws. </w:t>
      </w:r>
      <w:r>
        <w:rPr>
          <w:rFonts w:ascii="Times New Roman" w:cs="Times New Roman" w:eastAsia="Times New Roman" w:hAnsi="Times New Roman"/>
          <w:sz w:val="17"/>
          <w:szCs w:val="17"/>
          <w:color w:val="auto"/>
        </w:rPr>
        <w:t>Neither the Company nor any of its subsidiaries, directors, officers or employees, nor, to the knowledge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or the U.S. Department of State and including, without limitation, the designation as a “specially designated national” or “blocked person”), the United Nations Security Council (“</w:t>
      </w:r>
      <w:r>
        <w:rPr>
          <w:rFonts w:ascii="Times New Roman" w:cs="Times New Roman" w:eastAsia="Times New Roman" w:hAnsi="Times New Roman"/>
          <w:sz w:val="17"/>
          <w:szCs w:val="17"/>
          <w:u w:val="single" w:color="auto"/>
          <w:color w:val="auto"/>
        </w:rPr>
        <w:t>UNSC</w:t>
      </w:r>
      <w:r>
        <w:rPr>
          <w:rFonts w:ascii="Times New Roman" w:cs="Times New Roman" w:eastAsia="Times New Roman" w:hAnsi="Times New Roman"/>
          <w:sz w:val="17"/>
          <w:szCs w:val="17"/>
          <w:color w:val="auto"/>
        </w:rPr>
        <w:t>”), the European Union, His Majesty’s Treasury (“</w:t>
      </w:r>
      <w:r>
        <w:rPr>
          <w:rFonts w:ascii="Times New Roman" w:cs="Times New Roman" w:eastAsia="Times New Roman" w:hAnsi="Times New Roman"/>
          <w:sz w:val="17"/>
          <w:szCs w:val="17"/>
          <w:u w:val="single" w:color="auto"/>
          <w:color w:val="auto"/>
        </w:rPr>
        <w:t>HMT</w:t>
      </w:r>
      <w:r>
        <w:rPr>
          <w:rFonts w:ascii="Times New Roman" w:cs="Times New Roman" w:eastAsia="Times New Roman" w:hAnsi="Times New Roman"/>
          <w:sz w:val="17"/>
          <w:szCs w:val="17"/>
          <w:color w:val="auto"/>
        </w:rPr>
        <w:t>”), or other relevant sanctions authority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nor is the Company or any of its subsidiaries located, organized or resident in a country or territory that is the subject or target of Sanctions, including, without limitation, the Crimea, Zaporizhzhia and Kherson Regions of Ukraine, the so-called Donetsk People’s Republic, the so-called Luhansk People’s Republic, Cuba, Iran, North Korea and Syria (each, a “</w:t>
      </w:r>
      <w:r>
        <w:rPr>
          <w:rFonts w:ascii="Times New Roman" w:cs="Times New Roman" w:eastAsia="Times New Roman" w:hAnsi="Times New Roman"/>
          <w:sz w:val="17"/>
          <w:szCs w:val="17"/>
          <w:u w:val="single" w:color="auto"/>
          <w:color w:val="auto"/>
        </w:rPr>
        <w:t>Sanctioned Country</w:t>
      </w:r>
      <w:r>
        <w:rPr>
          <w:rFonts w:ascii="Times New Roman" w:cs="Times New Roman" w:eastAsia="Times New Roman" w:hAnsi="Times New Roman"/>
          <w:sz w:val="17"/>
          <w:szCs w:val="17"/>
          <w:color w:val="auto"/>
        </w:rPr>
        <w:t>”); and the Company will not directly or indirectly use the proceeds of the offering of the Securities hereunder, or lend, contribute or otherwise make available such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8" w:right="459" w:bottom="1440" w:gutter="0" w:footer="0" w:header="0"/>
        </w:sectPr>
      </w:pPr>
    </w:p>
    <w:bookmarkStart w:id="16" w:name="page17"/>
    <w:bookmarkEnd w:id="16"/>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are not now knowingly engaged in any dealings or transactions with any person that at the time of the dealing or transaction is or was the subject or the target of Sanctions or with any Sanctioned Country.</w:t>
      </w:r>
    </w:p>
    <w:p>
      <w:pPr>
        <w:spacing w:after="0" w:line="185" w:lineRule="exact"/>
        <w:rPr>
          <w:sz w:val="20"/>
          <w:szCs w:val="20"/>
          <w:color w:val="auto"/>
        </w:rPr>
      </w:pPr>
    </w:p>
    <w:p>
      <w:pPr>
        <w:ind w:firstLine="436"/>
        <w:spacing w:after="0" w:line="253"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 Data Protection</w:t>
      </w:r>
      <w:r>
        <w:rPr>
          <w:rFonts w:ascii="Times New Roman" w:cs="Times New Roman" w:eastAsia="Times New Roman" w:hAnsi="Times New Roman"/>
          <w:sz w:val="18"/>
          <w:szCs w:val="18"/>
          <w:color w:val="auto"/>
        </w:rPr>
        <w:t>. The Company and its subsidiaries’ information technology assets and equipment, computers,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used in connection with their businesses, and, except as described in each of the Registration Statement, the Time of Sale Information and the Prospectus,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7" w:lineRule="exact"/>
        <w:rPr>
          <w:rFonts w:ascii="Times New Roman" w:cs="Times New Roman" w:eastAsia="Times New Roman" w:hAnsi="Times New Roman"/>
          <w:sz w:val="18"/>
          <w:szCs w:val="18"/>
          <w:color w:val="auto"/>
        </w:rPr>
      </w:pPr>
    </w:p>
    <w:p>
      <w:pPr>
        <w:ind w:right="200" w:firstLine="436"/>
        <w:spacing w:after="0" w:line="261"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in all material respects with any provision of the Sarbanes-Oxley Act of 2002, as amended,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right="220" w:firstLine="436"/>
        <w:spacing w:after="0" w:line="284" w:lineRule="auto"/>
        <w:tabs>
          <w:tab w:leader="none" w:pos="7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The Company is not an ineligible issuer and is a well-known seasoned issuer, in each case, as defined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in each case at the times specified in the Securities Act in connection with the offering of the Securities.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left="-40" w:firstLine="436"/>
        <w:spacing w:after="0" w:line="254" w:lineRule="auto"/>
        <w:tabs>
          <w:tab w:leader="none" w:pos="6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430A, 430B or 430C under the Securities Act, will file any Issuer Free Writing Prospectus (including the Pricing Term Sheet referred to in Annex C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second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8" w:lineRule="exact"/>
        <w:rPr>
          <w:rFonts w:ascii="Times New Roman" w:cs="Times New Roman" w:eastAsia="Times New Roman" w:hAnsi="Times New Roman"/>
          <w:sz w:val="18"/>
          <w:szCs w:val="18"/>
          <w:color w:val="auto"/>
        </w:rPr>
      </w:pPr>
    </w:p>
    <w:p>
      <w:pPr>
        <w:ind w:left="-40" w:firstLine="436"/>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upon written request (i) to the Representatives, two conformed copies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as originally filed and each amendment thereto, in each case including all exhibits and consents filed therewith; and (ii) to each Underwriter (A) a conformed copy of the Registration Statement as originally filed and each amendment thereto, (without exhibits and consents thereto)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84" w:lineRule="exact"/>
        <w:rPr>
          <w:rFonts w:ascii="Times New Roman" w:cs="Times New Roman" w:eastAsia="Times New Roman" w:hAnsi="Times New Roman"/>
          <w:sz w:val="18"/>
          <w:szCs w:val="18"/>
          <w:color w:val="auto"/>
        </w:rPr>
      </w:pPr>
    </w:p>
    <w:p>
      <w:pPr>
        <w:ind w:left="-40" w:right="40" w:firstLine="436"/>
        <w:spacing w:after="0" w:line="277" w:lineRule="auto"/>
        <w:tabs>
          <w:tab w:leader="none" w:pos="64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Amendments or Supplements; Issuer Free Writing Prospectuses. </w:t>
      </w:r>
      <w:r>
        <w:rPr>
          <w:rFonts w:ascii="Times New Roman" w:cs="Times New Roman" w:eastAsia="Times New Roman" w:hAnsi="Times New Roman"/>
          <w:sz w:val="17"/>
          <w:szCs w:val="17"/>
          <w:color w:val="auto"/>
        </w:rPr>
        <w:t>Before making, preparing, using, authorizing, approving, referring to or filing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67" w:lineRule="exact"/>
        <w:rPr>
          <w:rFonts w:ascii="Times New Roman" w:cs="Times New Roman" w:eastAsia="Times New Roman" w:hAnsi="Times New Roman"/>
          <w:sz w:val="17"/>
          <w:szCs w:val="17"/>
          <w:color w:val="auto"/>
        </w:rPr>
      </w:pPr>
    </w:p>
    <w:p>
      <w:pPr>
        <w:ind w:left="-40" w:right="280" w:firstLine="436"/>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(i) when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Registration Statement has been filed or becomes effective; (ii) when any supplement to the Prospectus or any Issuer Free Writing Prospectus or any amendment to the Prospectus or any Issuer Free Writing Prospectus has been filed; (iii) of any request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80" w:top="270" w:right="479" w:bottom="1440" w:gutter="0" w:footer="0" w:header="0"/>
        </w:sectPr>
      </w:pPr>
    </w:p>
    <w:bookmarkStart w:id="18" w:name="page19"/>
    <w:bookmarkEnd w:id="1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 of the occurrence of any event or development within the Prospectus Delivery Period as a result of which the Prospectus, any of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use its reasonable best efforts to obtain as soon as possible the withdrawal thereof.</w:t>
      </w:r>
    </w:p>
    <w:p>
      <w:pPr>
        <w:spacing w:after="0" w:line="194" w:lineRule="exact"/>
        <w:rPr>
          <w:sz w:val="20"/>
          <w:szCs w:val="20"/>
          <w:color w:val="auto"/>
        </w:rPr>
      </w:pPr>
    </w:p>
    <w:p>
      <w:pPr>
        <w:ind w:right="120" w:firstLine="436"/>
        <w:spacing w:after="0" w:line="254"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to amend or supplement the Time of Sale Information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ind w:left="-20" w:firstLine="436"/>
        <w:spacing w:after="0" w:line="254" w:lineRule="auto"/>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Ongoing Compliance</w:t>
      </w:r>
      <w:r>
        <w:rPr>
          <w:rFonts w:ascii="Times New Roman" w:cs="Times New Roman" w:eastAsia="Times New Roman" w:hAnsi="Times New Roman"/>
          <w:sz w:val="18"/>
          <w:szCs w:val="18"/>
          <w:color w:val="auto"/>
        </w:rPr>
        <w:t>. If during the Prospectus Delivery Period (i) any event shall occur or condition shall exist as a result of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8"/>
          <w:szCs w:val="18"/>
          <w:color w:val="auto"/>
        </w:rPr>
      </w:pPr>
    </w:p>
    <w:p>
      <w:pPr>
        <w:ind w:left="-20" w:right="80" w:firstLine="436"/>
        <w:spacing w:after="0" w:line="277" w:lineRule="auto"/>
        <w:tabs>
          <w:tab w:leader="none" w:pos="67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Blue Sky Compliance. </w:t>
      </w:r>
      <w:r>
        <w:rPr>
          <w:rFonts w:ascii="Times New Roman" w:cs="Times New Roman" w:eastAsia="Times New Roman" w:hAnsi="Times New Roman"/>
          <w:sz w:val="17"/>
          <w:szCs w:val="17"/>
          <w:color w:val="auto"/>
        </w:rPr>
        <w:t>The Company will reasonably cooperate with the Representatives and counsel for the Underwriters to qualify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67" w:lineRule="exact"/>
        <w:rPr>
          <w:rFonts w:ascii="Times New Roman" w:cs="Times New Roman" w:eastAsia="Times New Roman" w:hAnsi="Times New Roman"/>
          <w:sz w:val="17"/>
          <w:szCs w:val="17"/>
          <w:color w:val="auto"/>
        </w:rPr>
      </w:pPr>
    </w:p>
    <w:p>
      <w:pPr>
        <w:ind w:left="-20" w:right="140" w:firstLine="436"/>
        <w:spacing w:after="0" w:line="261" w:lineRule="auto"/>
        <w:tabs>
          <w:tab w:leader="none" w:pos="6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including by filing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79" w:lineRule="exact"/>
        <w:rPr>
          <w:rFonts w:ascii="Times New Roman" w:cs="Times New Roman" w:eastAsia="Times New Roman" w:hAnsi="Times New Roman"/>
          <w:sz w:val="18"/>
          <w:szCs w:val="18"/>
          <w:color w:val="auto"/>
        </w:rPr>
      </w:pPr>
    </w:p>
    <w:p>
      <w:pPr>
        <w:jc w:val="both"/>
        <w:ind w:left="-20" w:right="60" w:firstLine="436"/>
        <w:spacing w:after="0" w:line="267"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During the period from the date hereof through and including the Closing Date, the Company will not, without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Representatives, offer, sell, contract to sell or otherwise dispose of any debt securities issued or guaranteed by the Company and having a tenor of more than one year.</w:t>
      </w:r>
    </w:p>
    <w:p>
      <w:pPr>
        <w:spacing w:after="0" w:line="173" w:lineRule="exact"/>
        <w:rPr>
          <w:rFonts w:ascii="Times New Roman" w:cs="Times New Roman" w:eastAsia="Times New Roman" w:hAnsi="Times New Roman"/>
          <w:sz w:val="18"/>
          <w:szCs w:val="18"/>
          <w:color w:val="auto"/>
        </w:rPr>
      </w:pPr>
    </w:p>
    <w:p>
      <w:pPr>
        <w:ind w:left="-20" w:right="200" w:firstLine="436"/>
        <w:spacing w:after="0" w:line="28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Securities as described in each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assist the Underwriters in arranging for the Securities to be eligible for clearance and settlement through DTC.</w:t>
      </w:r>
    </w:p>
    <w:p>
      <w:pPr>
        <w:spacing w:after="0" w:line="225" w:lineRule="exact"/>
        <w:rPr>
          <w:rFonts w:ascii="Times New Roman" w:cs="Times New Roman" w:eastAsia="Times New Roman" w:hAnsi="Times New Roman"/>
          <w:sz w:val="18"/>
          <w:szCs w:val="18"/>
          <w:color w:val="auto"/>
        </w:rPr>
      </w:pPr>
    </w:p>
    <w:p>
      <w:pPr>
        <w:ind w:left="-20" w:right="360" w:firstLine="436"/>
        <w:spacing w:after="0" w:line="28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Securities.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68" w:right="459" w:bottom="1440" w:gutter="0" w:footer="0" w:header="0"/>
        </w:sectPr>
      </w:pPr>
    </w:p>
    <w:bookmarkStart w:id="20" w:name="page21"/>
    <w:bookmarkEnd w:id="20"/>
    <w:p>
      <w:pPr>
        <w:ind w:right="260" w:firstLine="436"/>
        <w:spacing w:after="0" w:line="284" w:lineRule="auto"/>
        <w:tabs>
          <w:tab w:leader="none" w:pos="7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sz w:val="20"/>
          <w:szCs w:val="20"/>
          <w:color w:val="auto"/>
        </w:rPr>
      </w:pPr>
    </w:p>
    <w:p>
      <w:pPr>
        <w:ind w:right="20" w:firstLine="436"/>
        <w:spacing w:after="0" w:line="254"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 Notwithstanding the foregoing, the Underwriters may use the Pricing Term Sheet referred to in Annex C hereto without the consent of the Company.</w:t>
      </w:r>
    </w:p>
    <w:p>
      <w:pPr>
        <w:spacing w:after="0" w:line="19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2" w:lineRule="exact"/>
        <w:rPr>
          <w:sz w:val="20"/>
          <w:szCs w:val="20"/>
          <w:color w:val="auto"/>
        </w:rPr>
      </w:pPr>
    </w:p>
    <w:p>
      <w:pPr>
        <w:ind w:right="180" w:firstLine="436"/>
        <w:spacing w:after="0" w:line="282"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Securities on the Closing Date as provided herein is subject to the performance by the Company of its covenants and other obligations hereunder and to the following additional conditions:</w:t>
      </w:r>
    </w:p>
    <w:p>
      <w:pPr>
        <w:spacing w:after="0" w:line="52" w:lineRule="exact"/>
        <w:rPr>
          <w:sz w:val="20"/>
          <w:szCs w:val="20"/>
          <w:color w:val="auto"/>
        </w:rPr>
      </w:pPr>
    </w:p>
    <w:p>
      <w:pPr>
        <w:ind w:firstLine="436"/>
        <w:spacing w:after="0" w:line="257"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to the Company’s knowledge,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82" w:lineRule="exact"/>
        <w:rPr>
          <w:rFonts w:ascii="Times New Roman" w:cs="Times New Roman" w:eastAsia="Times New Roman" w:hAnsi="Times New Roman"/>
          <w:sz w:val="18"/>
          <w:szCs w:val="18"/>
          <w:color w:val="auto"/>
        </w:rPr>
      </w:pPr>
    </w:p>
    <w:p>
      <w:pPr>
        <w:ind w:right="340" w:firstLine="436"/>
        <w:spacing w:after="0" w:line="267"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Closing Date; and the statements of the Company and its officers made in any certificates delivered pursuant to this Agreement shall be true and correct on and as of the Closing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21" w:name="page22"/>
    <w:bookmarkEnd w:id="21"/>
    <w:p>
      <w:pPr>
        <w:ind w:left="4" w:firstLine="436"/>
        <w:spacing w:after="0" w:line="258"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the Securities or any other debt securities or preferred stock issued or guaranteed by the Company or any of its subsidiaries by any “nationally recognized statistical rating organization”, as such term is defined under Section 3(a)(62) under the Exchange Act and</w:t>
      </w:r>
    </w:p>
    <w:p>
      <w:pPr>
        <w:ind w:left="4" w:right="180" w:hanging="4"/>
        <w:spacing w:after="0" w:line="255"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183"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3(g)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each of the Time of Sale Information (excluding any amendment or supplement thereto) and the Prospectus (excluding any amendment or supplement thereto), the effect of which in the judgment of the Representatives (after consultation with the Company, if reasonably practicable) makes it impracticable or inadvisable to proceed with the offering, sale or delivery of the Securities on the terms and in the manner contemplated by this Agreement, the Time of Sale Information and the Prospectus.</w:t>
      </w:r>
    </w:p>
    <w:p>
      <w:pPr>
        <w:spacing w:after="0" w:line="183" w:lineRule="exact"/>
        <w:rPr>
          <w:rFonts w:ascii="Times New Roman" w:cs="Times New Roman" w:eastAsia="Times New Roman" w:hAnsi="Times New Roman"/>
          <w:sz w:val="18"/>
          <w:szCs w:val="18"/>
          <w:color w:val="auto"/>
        </w:rPr>
      </w:pPr>
    </w:p>
    <w:p>
      <w:pPr>
        <w:ind w:left="4" w:right="120" w:firstLine="436"/>
        <w:spacing w:after="0" w:line="257"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on and as of the Closing Date a certificate of an executive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who has specific knowledge of the Company’s financial matters and is satisfactory to the Representatives (i) confirming that such officer has carefully reviewed the Registration Statement, the Time of Sale Information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and (c) above.</w:t>
      </w:r>
    </w:p>
    <w:p>
      <w:pPr>
        <w:spacing w:after="0" w:line="182" w:lineRule="exact"/>
        <w:rPr>
          <w:rFonts w:ascii="Times New Roman" w:cs="Times New Roman" w:eastAsia="Times New Roman" w:hAnsi="Times New Roman"/>
          <w:sz w:val="18"/>
          <w:szCs w:val="18"/>
          <w:color w:val="auto"/>
        </w:rPr>
      </w:pPr>
    </w:p>
    <w:p>
      <w:pPr>
        <w:jc w:val="both"/>
        <w:ind w:left="4" w:right="580" w:firstLine="436"/>
        <w:spacing w:after="0" w:line="315" w:lineRule="auto"/>
        <w:tabs>
          <w:tab w:leader="none" w:pos="66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Chief Financial Officer’s Certificates</w:t>
      </w:r>
      <w:r>
        <w:rPr>
          <w:rFonts w:ascii="Times New Roman" w:cs="Times New Roman" w:eastAsia="Times New Roman" w:hAnsi="Times New Roman"/>
          <w:sz w:val="17"/>
          <w:szCs w:val="17"/>
          <w:color w:val="auto"/>
        </w:rPr>
        <w:t>. On the date of this Agreement and on the Closing Date, the Company shall have furnished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a certificate of the Chief Financial Officer of the Company in form and substance reasonably satisfactory to the Representatives.</w:t>
      </w:r>
    </w:p>
    <w:p>
      <w:pPr>
        <w:spacing w:after="0" w:line="134" w:lineRule="exact"/>
        <w:rPr>
          <w:rFonts w:ascii="Times New Roman" w:cs="Times New Roman" w:eastAsia="Times New Roman" w:hAnsi="Times New Roman"/>
          <w:sz w:val="17"/>
          <w:szCs w:val="17"/>
          <w:color w:val="auto"/>
        </w:rPr>
      </w:pPr>
    </w:p>
    <w:p>
      <w:pPr>
        <w:ind w:left="4" w:firstLine="436"/>
        <w:spacing w:after="0" w:line="256"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Ernst &amp; Young LLP shall have furnished to the Representatives,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request of the Company, as applicable,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with respect to each of the Company and its subsidiaries and Zynga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letters delivered on the Closing Date shall use a “cut-off” date no more than three business days prior to the Closing Date.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8" w:right="459" w:bottom="1440" w:gutter="0" w:footer="0" w:header="0"/>
        </w:sectPr>
      </w:pPr>
    </w:p>
    <w:bookmarkStart w:id="22" w:name="page23"/>
    <w:bookmarkEnd w:id="22"/>
    <w:p>
      <w:pPr>
        <w:ind w:firstLine="436"/>
        <w:spacing w:after="0" w:line="267"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Company. </w:t>
      </w:r>
      <w:r>
        <w:rPr>
          <w:rFonts w:ascii="Times New Roman" w:cs="Times New Roman" w:eastAsia="Times New Roman" w:hAnsi="Times New Roman"/>
          <w:sz w:val="18"/>
          <w:szCs w:val="18"/>
          <w:color w:val="auto"/>
        </w:rPr>
        <w:t>Willkie Farr &amp; Gallagher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in each case relating to the Company, dated the Closing Date and addressed to the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ind w:right="20" w:firstLine="436"/>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ind w:right="120" w:firstLine="436"/>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179"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Significant Subsidiaries that are organized in the United States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Securities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ind w:right="60" w:firstLine="436"/>
        <w:spacing w:after="0" w:line="267" w:lineRule="auto"/>
        <w:tabs>
          <w:tab w:leader="none" w:pos="7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Supplemental Indentures and Securities</w:t>
      </w:r>
      <w:r>
        <w:rPr>
          <w:rFonts w:ascii="Times New Roman" w:cs="Times New Roman" w:eastAsia="Times New Roman" w:hAnsi="Times New Roman"/>
          <w:sz w:val="18"/>
          <w:szCs w:val="18"/>
          <w:color w:val="auto"/>
        </w:rPr>
        <w:t>. The Supplemental Indentures shall have been duly executed and delivered by a duly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the Company and the Trustee, and the Securities shall have been duly executed and delivered by a duly authorized officer of the Company and duly authenticated by the Trustee.</w:t>
      </w:r>
    </w:p>
    <w:p>
      <w:pPr>
        <w:spacing w:after="0" w:line="173" w:lineRule="exact"/>
        <w:rPr>
          <w:rFonts w:ascii="Times New Roman" w:cs="Times New Roman" w:eastAsia="Times New Roman" w:hAnsi="Times New Roman"/>
          <w:sz w:val="18"/>
          <w:szCs w:val="18"/>
          <w:color w:val="auto"/>
        </w:rPr>
      </w:pPr>
    </w:p>
    <w:p>
      <w:pPr>
        <w:ind w:right="140" w:firstLine="436"/>
        <w:spacing w:after="0" w:line="284"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Representatives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Representatives may reasonably request.</w:t>
      </w:r>
    </w:p>
    <w:p>
      <w:pPr>
        <w:spacing w:after="0" w:line="16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8" w:right="439" w:bottom="1440" w:gutter="0" w:footer="0" w:header="0"/>
        </w:sectPr>
      </w:pPr>
    </w:p>
    <w:bookmarkStart w:id="23" w:name="page24"/>
    <w:bookmarkEnd w:id="23"/>
    <w:p>
      <w:pPr>
        <w:ind w:left="620" w:hanging="184"/>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436"/>
        <w:spacing w:after="0" w:line="253"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required to be stated therein or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or on behalf of such Underwriter through the Representatives expressly for use therein.</w:t>
      </w:r>
    </w:p>
    <w:p>
      <w:pPr>
        <w:spacing w:after="0" w:line="18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or on behalf of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third paragraph, the seventh paragraph and the third and fourth sentences in the eighth paragraph under the heading “Underwriting”.</w:t>
      </w:r>
    </w:p>
    <w:p>
      <w:pPr>
        <w:spacing w:after="0" w:line="188" w:lineRule="exact"/>
        <w:rPr>
          <w:rFonts w:ascii="Times New Roman" w:cs="Times New Roman" w:eastAsia="Times New Roman" w:hAnsi="Times New Roman"/>
          <w:sz w:val="18"/>
          <w:szCs w:val="18"/>
          <w:color w:val="auto"/>
        </w:rPr>
      </w:pPr>
    </w:p>
    <w:p>
      <w:pPr>
        <w:ind w:right="20" w:firstLine="436"/>
        <w:spacing w:after="0" w:line="255"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u w:val="single" w:color="auto"/>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Indemnifying Person shall retain counsel reasonably satisfactory to the Indemnified Person (who shall not, without the consent of the Indemnified Person, be counsel to the Indemnifying Person) to represent such Indemnified Person and any others entitled to indemnification pursuant to this Section 7 that the Indemnifying Person may designate in such proceeding and shall pay the fees and expenses of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and its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firstLine="436"/>
        <w:spacing w:after="0" w:line="253"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Contribution. </w:t>
      </w:r>
      <w:r>
        <w:rPr>
          <w:rFonts w:ascii="Times New Roman" w:cs="Times New Roman" w:eastAsia="Times New Roman" w:hAnsi="Times New Roman"/>
          <w:sz w:val="18"/>
          <w:szCs w:val="18"/>
          <w:color w:val="auto"/>
        </w:rPr>
        <w:t>If the indemnification provided for in paragraph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rFonts w:ascii="Times New Roman" w:cs="Times New Roman" w:eastAsia="Times New Roman" w:hAnsi="Times New Roman"/>
          <w:sz w:val="18"/>
          <w:szCs w:val="18"/>
          <w:color w:val="auto"/>
        </w:rPr>
      </w:pPr>
    </w:p>
    <w:p>
      <w:pPr>
        <w:ind w:right="100" w:firstLine="436"/>
        <w:spacing w:after="0" w:line="253"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right="420" w:firstLine="436"/>
        <w:spacing w:after="0" w:line="284"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26" w:name="page27"/>
    <w:bookmarkEnd w:id="26"/>
    <w:p>
      <w:pPr>
        <w:ind w:left="600" w:hanging="184"/>
        <w:spacing w:after="0"/>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New York Stock Exchange or The Nasdaq Global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9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3"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includes, for all purposes of this Agreement unless the context otherwise requires, any person not listed in Schedule 1 hereto that, pursuant to this Section 10, purchases Securities that a defaulting Underwriter agreed but failed to purchase.</w:t>
      </w:r>
    </w:p>
    <w:p>
      <w:pPr>
        <w:spacing w:after="0" w:line="191"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70" w:right="459" w:bottom="1440" w:gutter="0" w:footer="0" w:header="0"/>
        </w:sectPr>
      </w:pPr>
    </w:p>
    <w:bookmarkStart w:id="27" w:name="page28"/>
    <w:bookmarkEnd w:id="27"/>
    <w:p>
      <w:pPr>
        <w:ind w:firstLine="436"/>
        <w:spacing w:after="0" w:line="256"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87"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700" w:hanging="264"/>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firstLine="436"/>
        <w:spacing w:after="0" w:line="253"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transactions contemplated by this Agreement are consummated or this Agreement is terminated, the Company agrees to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amounts to be paid by the Company for such counsel shall not exceed $5,000);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and the approval of the Securities for book-entry transfer by DTC; and (ix) all expenses incurred by the Company in connection with any “road show” presentation to potential investors.</w:t>
      </w:r>
    </w:p>
    <w:p>
      <w:pPr>
        <w:spacing w:after="0" w:line="187"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Securities for delivery to the Underwriters or (iii) the Underwriters decline to purchase the Securities for any reason permitted under this Agreement, the Company agrees to reimburse the Underwriters for all accountable out-of-pocket costs and expenses (including the reasonable and documented fees and expenses of their counsel) reasonably and actually incurred by the Underwriters in connection with this Agreement and the offering contemplated 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left="-20" w:right="240" w:firstLine="436"/>
        <w:spacing w:after="0" w:line="258" w:lineRule="auto"/>
        <w:tabs>
          <w:tab w:leader="none" w:pos="6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left="-20" w:right="180" w:firstLine="436"/>
        <w:spacing w:after="0" w:line="266" w:lineRule="auto"/>
        <w:tabs>
          <w:tab w:leader="none" w:pos="6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405 under the Securities Act; (b)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are permitted or required to be closed in New York City; and (c)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ind w:left="-20" w:firstLine="436"/>
        <w:spacing w:after="0" w:line="261" w:lineRule="auto"/>
        <w:tabs>
          <w:tab w:leader="none" w:pos="6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right="1020" w:firstLine="436"/>
        <w:spacing w:after="0" w:line="284"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Representatives. </w:t>
      </w:r>
      <w:r>
        <w:rPr>
          <w:rFonts w:ascii="Times New Roman" w:cs="Times New Roman" w:eastAsia="Times New Roman" w:hAnsi="Times New Roman"/>
          <w:sz w:val="18"/>
          <w:szCs w:val="18"/>
          <w:color w:val="auto"/>
        </w:rPr>
        <w:t>Any action by the Underwriters hereunder may be taken by the Representatives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and any such action taken by the Representatives shall be binding upon the Underwriters.</w:t>
      </w:r>
    </w:p>
    <w:p>
      <w:pPr>
        <w:spacing w:after="0" w:line="158" w:lineRule="exact"/>
        <w:rPr>
          <w:rFonts w:ascii="Times New Roman" w:cs="Times New Roman" w:eastAsia="Times New Roman" w:hAnsi="Times New Roman"/>
          <w:sz w:val="18"/>
          <w:szCs w:val="18"/>
          <w:color w:val="auto"/>
        </w:rPr>
      </w:pPr>
    </w:p>
    <w:p>
      <w:pPr>
        <w:ind w:left="-20" w:right="120" w:firstLine="436"/>
        <w:spacing w:after="0" w:line="258"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c/o J.P. Morgan Securities LLC, 383 Madison Avenue, New York, New York 10179 (fax: 212-834-6081); Attention: Investment Grade Syndicate Desk and c/o Wells Fargo Securities, LLC, 550 South Tryon Street, 5th Floor, Charlotte, North Carolina 28202 (email: tmgcapitalmarkets@wellsfargo.com); Attention: Transaction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70" w:right="459" w:bottom="1440" w:gutter="0" w:footer="0" w:header="0"/>
        </w:sectPr>
      </w:pPr>
    </w:p>
    <w:bookmarkStart w:id="29" w:name="page30"/>
    <w:bookmarkEnd w:id="29"/>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Notices to the Company shall be given to it at Take-Two Interactive Software, Inc., 110 West 44th Street, New York, New York 10036; Attention: Chief Legal Officer, with a copy to Willkie Farr &amp; Gallagher LLP, 787 Seventh Avenue, New York, New York 10019, Attention: Adam M. Turteltaub and Sean Ewen.</w:t>
      </w:r>
    </w:p>
    <w:p>
      <w:pPr>
        <w:spacing w:after="0" w:line="174" w:lineRule="exact"/>
        <w:rPr>
          <w:sz w:val="20"/>
          <w:szCs w:val="20"/>
          <w:color w:val="auto"/>
        </w:rPr>
      </w:pPr>
    </w:p>
    <w:p>
      <w:pPr>
        <w:ind w:right="300" w:firstLine="436"/>
        <w:spacing w:after="0" w:line="284"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83" w:lineRule="exact"/>
        <w:rPr>
          <w:rFonts w:ascii="Times New Roman" w:cs="Times New Roman" w:eastAsia="Times New Roman" w:hAnsi="Times New Roman"/>
          <w:sz w:val="18"/>
          <w:szCs w:val="18"/>
          <w:color w:val="auto"/>
        </w:rPr>
      </w:pPr>
    </w:p>
    <w:p>
      <w:pPr>
        <w:ind w:right="280" w:firstLine="436"/>
        <w:spacing w:after="0" w:line="284"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Section 16(f):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Entity” means any of the following:</w:t>
      </w:r>
    </w:p>
    <w:p>
      <w:pPr>
        <w:spacing w:after="0" w:line="117" w:lineRule="exact"/>
        <w:rPr>
          <w:sz w:val="20"/>
          <w:szCs w:val="20"/>
          <w:color w:val="auto"/>
        </w:rPr>
      </w:pPr>
    </w:p>
    <w:p>
      <w:pPr>
        <w:ind w:left="1660" w:hanging="352"/>
        <w:spacing w:after="0"/>
        <w:tabs>
          <w:tab w:leader="none" w:pos="1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700" w:hanging="392"/>
        <w:spacing w:after="0"/>
        <w:tabs>
          <w:tab w:leader="none" w:pos="1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760" w:hanging="452"/>
        <w:spacing w:after="0"/>
        <w:tabs>
          <w:tab w:leader="none" w:pos="1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1300"/>
        <w:spacing w:after="0" w:line="312" w:lineRule="auto"/>
        <w:rPr>
          <w:sz w:val="20"/>
          <w:szCs w:val="20"/>
          <w:color w:val="auto"/>
        </w:rPr>
      </w:pPr>
      <w:r>
        <w:rPr>
          <w:rFonts w:ascii="Times New Roman" w:cs="Times New Roman" w:eastAsia="Times New Roman" w:hAnsi="Times New Roman"/>
          <w:sz w:val="17"/>
          <w:szCs w:val="17"/>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38" w:lineRule="exact"/>
        <w:rPr>
          <w:sz w:val="20"/>
          <w:szCs w:val="20"/>
          <w:color w:val="auto"/>
        </w:rPr>
      </w:pPr>
    </w:p>
    <w:p>
      <w:pPr>
        <w:ind w:left="-120" w:right="220" w:firstLine="436"/>
        <w:spacing w:after="0" w:line="258"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120" w:right="500" w:firstLine="436"/>
        <w:spacing w:after="0" w:line="284"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120" w:right="20" w:firstLine="436"/>
        <w:spacing w:after="0" w:line="284" w:lineRule="auto"/>
        <w:tabs>
          <w:tab w:leader="none" w:pos="6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60"/>
          </w:cols>
          <w:pgMar w:left="560" w:top="270" w:right="579" w:bottom="1440" w:gutter="0" w:footer="0" w:header="0"/>
        </w:sectPr>
      </w:pPr>
    </w:p>
    <w:bookmarkStart w:id="31" w:name="page32"/>
    <w:bookmarkEnd w:id="3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SVP &amp; GC Americas</w:t>
      </w:r>
    </w:p>
    <w:p>
      <w:pPr>
        <w:spacing w:after="0" w:line="1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660"/>
          </w:cols>
          <w:pgMar w:left="440" w:top="270" w:right="7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1"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1</w:t>
            </w:r>
          </w:p>
        </w:tc>
      </w:tr>
      <w:tr>
        <w:trPr>
          <w:trHeight w:val="405"/>
        </w:trPr>
        <w:tc>
          <w:tcPr>
            <w:tcW w:w="8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142"/>
        </w:trPr>
        <w:tc>
          <w:tcPr>
            <w:tcW w:w="8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2026 Notes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2028 Notes</w:t>
            </w:r>
          </w:p>
        </w:tc>
        <w:tc>
          <w:tcPr>
            <w:tcW w:w="80" w:type="dxa"/>
            <w:vAlign w:val="bottom"/>
          </w:tcPr>
          <w:p>
            <w:pPr>
              <w:spacing w:after="0"/>
              <w:rPr>
                <w:sz w:val="12"/>
                <w:szCs w:val="12"/>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175,000,000.00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125,000,000.00</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82,500,000.00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82,500,000.00</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82,500,000.00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82,500,000.00</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35,000,000.00</w:t>
            </w:r>
          </w:p>
        </w:tc>
      </w:tr>
      <w:tr>
        <w:trPr>
          <w:trHeight w:val="232"/>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500,000,000.00</w:t>
            </w:r>
          </w:p>
        </w:tc>
        <w:tc>
          <w:tcPr>
            <w:tcW w:w="80" w:type="dxa"/>
            <w:vAlign w:val="bottom"/>
          </w:tcPr>
          <w:p>
            <w:pPr>
              <w:spacing w:after="0"/>
              <w:rPr>
                <w:sz w:val="20"/>
                <w:szCs w:val="20"/>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1020"/>
          </w:cols>
          <w:pgMar w:left="440" w:top="270"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Significant Subsidiaries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2KSports,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Firaxis Games,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Entertainment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International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Asia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DMA Design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Peak Oyun Yazılım ve Pazarlama Anonim Şirketi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Giant Games Oy</w:t>
      </w:r>
    </w:p>
    <w:p>
      <w:pPr>
        <w:sectPr>
          <w:pgSz w:w="11900" w:h="16838" w:orient="portrait"/>
          <w:cols w:equalWidth="0" w:num="1">
            <w:col w:w="11020"/>
          </w:cols>
          <w:pgMar w:left="440" w:top="270"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135"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Term Sheet, dated April 10, 2023.</w:t>
      </w:r>
    </w:p>
    <w:p>
      <w:pPr>
        <w:sectPr>
          <w:pgSz w:w="11900" w:h="16838" w:orient="portrait"/>
          <w:cols w:equalWidth="0" w:num="1">
            <w:col w:w="10019"/>
          </w:cols>
          <w:pgMar w:left="440" w:top="270"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Pricing Term Sheet</w:t>
      </w:r>
    </w:p>
    <w:p>
      <w:pPr>
        <w:spacing w:after="0" w:line="1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10020"/>
          </w:cols>
          <w:pgMar w:left="1440" w:top="270"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333-264153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173990</wp:posOffset>
            </wp:positionV>
            <wp:extent cx="1405890" cy="127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0589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$500,000,000 5.000% Senior Notes due 2026</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$500,000,000 4.950% Senior Notes due 2028</w:t>
      </w:r>
    </w:p>
    <w:p>
      <w:pPr>
        <w:spacing w:after="0" w:line="20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Pricing Supplement dated April 10, 2023 (this “Pricing Term Sheet”) to the Preliminary Prospectus Supplement dated April 10, 2023 (the “Preliminary Prospectus Supplement”) of Take-Two Interactive Software, Inc. (the “Issuer”).</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Pricing Term Sheet is qualified in its entirety by reference to the Preliminary Prospectus Supplement. The information in this Pricing Term Sheet supplements the Preliminary Prospectus Supplement and supersedes the information in the Preliminary Prospectus Supplement to the extent it is inconsistent with the information in the Preliminary Prospectus Supplement. Capitalized terms used in this Pricing Term Sheet but not defined have the meanings given them in the Preliminary Prospectus Supplement.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Terms applicable to all the Notes</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5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0" w:type="dxa"/>
            <w:vAlign w:val="bottom"/>
            <w:vMerge w:val="continue"/>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Take-Two Interactive Software, Inc.</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14, 2023 (T+4)</w:t>
            </w:r>
          </w:p>
        </w:tc>
        <w:tc>
          <w:tcPr>
            <w:tcW w:w="0" w:type="dxa"/>
            <w:vAlign w:val="bottom"/>
          </w:tcPr>
          <w:p>
            <w:pPr>
              <w:spacing w:after="0"/>
              <w:rPr>
                <w:sz w:val="1"/>
                <w:szCs w:val="1"/>
                <w:color w:val="auto"/>
              </w:rPr>
            </w:pPr>
          </w:p>
        </w:tc>
      </w:tr>
      <w:tr>
        <w:trPr>
          <w:trHeight w:val="306"/>
        </w:trPr>
        <w:tc>
          <w:tcPr>
            <w:tcW w:w="320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the fourth business</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 following the date of pricing of the notes (this settlement cycle being referred to as “T+4”). Under Rule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15c6-1 of the Securities and Exchange Act of 1934, as amended (the “Exchange Act”), trades in the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secondary market generally are required to settle in two business days, unless the parties to any such trade</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expressly agree otherwise.</w:t>
            </w:r>
          </w:p>
        </w:tc>
        <w:tc>
          <w:tcPr>
            <w:tcW w:w="0" w:type="dxa"/>
            <w:vAlign w:val="bottom"/>
          </w:tcPr>
          <w:p>
            <w:pPr>
              <w:spacing w:after="0"/>
              <w:rPr>
                <w:sz w:val="1"/>
                <w:szCs w:val="1"/>
                <w:color w:val="auto"/>
              </w:rPr>
            </w:pPr>
          </w:p>
        </w:tc>
      </w:tr>
      <w:tr>
        <w:trPr>
          <w:trHeight w:val="306"/>
        </w:trPr>
        <w:tc>
          <w:tcPr>
            <w:tcW w:w="320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Accordingly, purchasers who wish to trade the notes on any date prior to two business days before delivery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will be required, by virtue of the fact that the notes initially will settle in T+4, to specify alternate settlement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arrangements at the time of any such trade to prevent a failed settlement and should consult their own</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advisers.</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Denomination:</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20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320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34"/>
        </w:trPr>
        <w:tc>
          <w:tcPr>
            <w:tcW w:w="320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83"/>
        </w:trPr>
        <w:tc>
          <w:tcPr>
            <w:tcW w:w="3200" w:type="dxa"/>
            <w:vAlign w:val="bottom"/>
          </w:tcPr>
          <w:p>
            <w:pPr>
              <w:spacing w:after="0"/>
              <w:rPr>
                <w:sz w:val="24"/>
                <w:szCs w:val="24"/>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Terms applicable to the 2026 Notes</w:t>
            </w:r>
          </w:p>
        </w:tc>
        <w:tc>
          <w:tcPr>
            <w:tcW w:w="5000" w:type="dxa"/>
            <w:vAlign w:val="bottom"/>
          </w:tcPr>
          <w:p>
            <w:pPr>
              <w:spacing w:after="0"/>
              <w:rPr>
                <w:sz w:val="24"/>
                <w:szCs w:val="24"/>
                <w:color w:val="auto"/>
              </w:rPr>
            </w:pPr>
          </w:p>
        </w:tc>
      </w:tr>
      <w:tr>
        <w:trPr>
          <w:trHeight w:val="34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5.000% Senior Notes due 2026</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$500,000,000</w:t>
            </w:r>
          </w:p>
        </w:tc>
        <w:tc>
          <w:tcPr>
            <w:tcW w:w="500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28, 2026</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5.000%</w:t>
            </w:r>
          </w:p>
        </w:tc>
        <w:tc>
          <w:tcPr>
            <w:tcW w:w="500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99.945%</w:t>
            </w:r>
          </w:p>
        </w:tc>
        <w:tc>
          <w:tcPr>
            <w:tcW w:w="500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28 and September 28, commencing on September 28, 2023</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5.021%</w:t>
            </w:r>
          </w:p>
        </w:tc>
        <w:tc>
          <w:tcPr>
            <w:tcW w:w="500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+125 bps</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UST 4.625% due March 15, 2026</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and Yield:</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102-11 and 3.771%</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 Provisions:</w:t>
            </w:r>
          </w:p>
        </w:tc>
        <w:tc>
          <w:tcPr>
            <w:tcW w:w="26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324"/>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Make-Whole Call:</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Prior to March 28, 2026, at the Treasury Rate plus 20 basis points, plus accrued and unpaid interest, if any.</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874054AJ8</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US874054AJ85</w:t>
            </w:r>
          </w:p>
        </w:tc>
      </w:tr>
      <w:tr>
        <w:trPr>
          <w:trHeight w:val="283"/>
        </w:trPr>
        <w:tc>
          <w:tcPr>
            <w:tcW w:w="3200" w:type="dxa"/>
            <w:vAlign w:val="bottom"/>
          </w:tcPr>
          <w:p>
            <w:pPr>
              <w:spacing w:after="0"/>
              <w:rPr>
                <w:sz w:val="24"/>
                <w:szCs w:val="24"/>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Terms applicable to the 2028 Notes</w:t>
            </w:r>
          </w:p>
        </w:tc>
        <w:tc>
          <w:tcPr>
            <w:tcW w:w="5000" w:type="dxa"/>
            <w:vAlign w:val="bottom"/>
          </w:tcPr>
          <w:p>
            <w:pPr>
              <w:spacing w:after="0"/>
              <w:rPr>
                <w:sz w:val="24"/>
                <w:szCs w:val="24"/>
                <w:color w:val="auto"/>
              </w:rPr>
            </w:pPr>
          </w:p>
        </w:tc>
      </w:tr>
      <w:tr>
        <w:trPr>
          <w:trHeight w:val="345"/>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4.950% Senior Notes due 2028</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$500,000,000</w:t>
            </w:r>
          </w:p>
        </w:tc>
        <w:tc>
          <w:tcPr>
            <w:tcW w:w="500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28, 2028</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4.950%</w:t>
            </w:r>
          </w:p>
        </w:tc>
        <w:tc>
          <w:tcPr>
            <w:tcW w:w="5000" w:type="dxa"/>
            <w:vAlign w:val="bottom"/>
          </w:tcPr>
          <w:p>
            <w:pPr>
              <w:spacing w:after="0"/>
              <w:rPr>
                <w:sz w:val="24"/>
                <w:szCs w:val="24"/>
                <w:color w:val="auto"/>
              </w:rPr>
            </w:pPr>
          </w:p>
        </w:tc>
      </w:tr>
    </w:tbl>
    <w:p>
      <w:pPr>
        <w:sectPr>
          <w:pgSz w:w="11900" w:h="16838" w:orient="portrait"/>
          <w:cols w:equalWidth="0" w:num="1">
            <w:col w:w="10880"/>
          </w:cols>
          <w:pgMar w:left="440" w:top="374" w:right="5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Issue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2480" w:space="720"/>
            <w:col w:w="7800"/>
          </w:cols>
          <w:pgMar w:left="440" w:top="266"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28 and September 28, commencing on September 28, 2023</w:t>
      </w:r>
    </w:p>
    <w:p>
      <w:pPr>
        <w:spacing w:after="0" w:line="124"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4.969%</w:t>
      </w:r>
    </w:p>
    <w:p>
      <w:pPr>
        <w:spacing w:after="0" w:line="113"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+145 bps</w:t>
      </w:r>
    </w:p>
    <w:p>
      <w:pPr>
        <w:spacing w:after="0" w:line="125"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UST 3.625% due March 31, 2028</w:t>
      </w:r>
    </w:p>
    <w:p>
      <w:pPr>
        <w:spacing w:after="0" w:line="125"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100-15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xml:space="preserve"> and 3.519%</w:t>
      </w:r>
    </w:p>
    <w:p>
      <w:pPr>
        <w:spacing w:after="0" w:line="113" w:lineRule="exact"/>
        <w:rPr>
          <w:sz w:val="20"/>
          <w:szCs w:val="20"/>
          <w:color w:val="auto"/>
        </w:rPr>
      </w:pPr>
    </w:p>
    <w:p>
      <w:pPr>
        <w:sectPr>
          <w:pgSz w:w="11900" w:h="16838" w:orient="portrait"/>
          <w:cols w:equalWidth="0" w:num="2">
            <w:col w:w="2920" w:space="28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Redemption Provisions:</w:t>
      </w:r>
    </w:p>
    <w:p>
      <w:pPr>
        <w:sectPr>
          <w:pgSz w:w="11900" w:h="16838" w:orient="portrait"/>
          <w:cols w:equalWidth="0" w:num="1">
            <w:col w:w="11000"/>
          </w:cols>
          <w:pgMar w:left="440" w:top="266" w:right="459" w:bottom="1440" w:gutter="0" w:footer="0" w:header="0"/>
          <w:type w:val="continuous"/>
        </w:sectPr>
      </w:pP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Make-Whole Call: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to February 28, 2028, at the Treasury Rate plus 25 basis points, plus accrued and unpaid interest, if any.</w:t>
      </w:r>
    </w:p>
    <w:p>
      <w:pPr>
        <w:spacing w:after="0" w:line="50"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Par Call:</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On or after February 28, 2028, at 100% of the principal amount, plus accrued and unpaid interest thereon to, but not including, the redemption date.</w:t>
      </w:r>
    </w:p>
    <w:p>
      <w:pPr>
        <w:spacing w:after="0" w:line="50"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874054AK5</w:t>
      </w:r>
    </w:p>
    <w:p>
      <w:pPr>
        <w:spacing w:after="0" w:line="124"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US874054AK58</w:t>
      </w:r>
    </w:p>
    <w:p>
      <w:pPr>
        <w:spacing w:after="0" w:line="200"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line="3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or emailing, as applicable, J.P. Morgan Securities LLC collect at 1-212-834-4533 or Wells Fargo Securities, LLC at 1-800-645-3751.</w:t>
      </w:r>
    </w:p>
    <w:p>
      <w:pPr>
        <w:spacing w:after="0" w:line="18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email or another communication system.</w:t>
      </w:r>
    </w:p>
    <w:p>
      <w:pPr>
        <w:sectPr>
          <w:pgSz w:w="11900" w:h="16838" w:orient="portrait"/>
          <w:cols w:equalWidth="0" w:num="1">
            <w:col w:w="11000"/>
          </w:cols>
          <w:pgMar w:left="440" w:top="266" w:right="459"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39825" cy="1140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3982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1100" w:type="dxa"/>
            <w:vAlign w:val="bottom"/>
          </w:tcPr>
          <w:p>
            <w:pPr>
              <w:spacing w:after="0"/>
              <w:rPr>
                <w:sz w:val="20"/>
                <w:szCs w:val="20"/>
                <w:color w:val="auto"/>
              </w:rPr>
            </w:pPr>
          </w:p>
        </w:tc>
        <w:tc>
          <w:tcPr>
            <w:tcW w:w="33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98"/>
              </w:rPr>
              <w:t>FOR IMMEDIATE RELEASE</w:t>
            </w:r>
          </w:p>
        </w:tc>
      </w:tr>
      <w:tr>
        <w:trPr>
          <w:trHeight w:val="30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4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(Corporate Press)</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Shevins</w:t>
            </w:r>
          </w:p>
        </w:tc>
        <w:tc>
          <w:tcPr>
            <w:tcW w:w="44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Alan Lewis</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44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 &amp; Corporate Communications</w:t>
            </w:r>
          </w:p>
        </w:tc>
        <w:tc>
          <w:tcPr>
            <w:tcW w:w="44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Corporate Communications &amp; Public Affairs</w:t>
            </w:r>
          </w:p>
        </w:tc>
      </w:tr>
      <w:tr>
        <w:trPr>
          <w:trHeight w:val="22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tc>
        <w:tc>
          <w:tcPr>
            <w:tcW w:w="442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(646) 536-3005</w:t>
            </w:r>
          </w:p>
        </w:tc>
        <w:tc>
          <w:tcPr>
            <w:tcW w:w="2240" w:type="dxa"/>
            <w:vAlign w:val="bottom"/>
          </w:tcPr>
          <w:p>
            <w:pPr>
              <w:spacing w:after="0"/>
              <w:rPr>
                <w:sz w:val="18"/>
                <w:szCs w:val="18"/>
                <w:color w:val="auto"/>
              </w:rPr>
            </w:pPr>
          </w:p>
        </w:tc>
        <w:tc>
          <w:tcPr>
            <w:tcW w:w="33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(646) 536-2983</w:t>
            </w:r>
          </w:p>
        </w:tc>
        <w:tc>
          <w:tcPr>
            <w:tcW w:w="1120" w:type="dxa"/>
            <w:vAlign w:val="bottom"/>
          </w:tcPr>
          <w:p>
            <w:pPr>
              <w:spacing w:after="0"/>
              <w:rPr>
                <w:sz w:val="18"/>
                <w:szCs w:val="18"/>
                <w:color w:val="auto"/>
              </w:rPr>
            </w:pPr>
          </w:p>
        </w:tc>
      </w:tr>
      <w:tr>
        <w:trPr>
          <w:trHeight w:val="194"/>
        </w:trPr>
        <w:tc>
          <w:tcPr>
            <w:tcW w:w="2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nicole.shevins@take2games.com</w:t>
            </w:r>
          </w:p>
        </w:tc>
        <w:tc>
          <w:tcPr>
            <w:tcW w:w="2240" w:type="dxa"/>
            <w:vAlign w:val="bottom"/>
          </w:tcPr>
          <w:p>
            <w:pPr>
              <w:spacing w:after="0"/>
              <w:rPr>
                <w:sz w:val="16"/>
                <w:szCs w:val="16"/>
                <w:color w:val="auto"/>
              </w:rPr>
            </w:pPr>
          </w:p>
        </w:tc>
        <w:tc>
          <w:tcPr>
            <w:tcW w:w="4420" w:type="dxa"/>
            <w:vAlign w:val="bottom"/>
            <w:gridSpan w:val="3"/>
          </w:tcPr>
          <w:p>
            <w:pPr>
              <w:ind w:left="1100"/>
              <w:spacing w:after="0" w:line="194" w:lineRule="exact"/>
              <w:rPr>
                <w:sz w:val="20"/>
                <w:szCs w:val="20"/>
                <w:color w:val="auto"/>
              </w:rPr>
            </w:pPr>
            <w:r>
              <w:rPr>
                <w:rFonts w:ascii="Times New Roman" w:cs="Times New Roman" w:eastAsia="Times New Roman" w:hAnsi="Times New Roman"/>
                <w:sz w:val="18"/>
                <w:szCs w:val="18"/>
                <w:color w:val="auto"/>
              </w:rPr>
              <w:t>Alan.Lewis@take2games.com</w:t>
            </w:r>
          </w:p>
        </w:tc>
      </w:tr>
      <w:tr>
        <w:trPr>
          <w:trHeight w:val="20"/>
        </w:trPr>
        <w:tc>
          <w:tcPr>
            <w:tcW w:w="24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Pricing of $1.0 Billion Senior Notes Offering</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New York, NY – April 10,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—Take-Two Interactive Software, Inc. (NASDAQ: TTWO) (the “Company”) announced today that it has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in an underwritten public offering $1.0 billion aggregate principal amount of its Senior Notes, consisting of $500 million of its 5.000% Senior Notes due 2026 and $500 million of its 4.950% Senior Notes due 2028.</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to repay in full its outstanding term loan, which has a principal balance of $350.0 million as of December 31, 2022 and matures on June 21, 2023, and the remainder for general corporate purposes, including the repurchase or retirement of the Company’s other outstanding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is expected to occur on April 14, 2023, subject to satisfaction of customary closing conditions.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J.P. Morgan Securities LLC, Wells Fargo Securities, LLC, BNP Paribas Securities Corp. and BofA Securities, Inc. are acting as joint book-running managers for the offering. The offering is being made only by means of a prospectus supplement and the accompanying prospectus, which is filed as part of an effective shelf registration statement filed by the Company with the Securities and Exchange Commission (“SEC”) on April 6, 2022. You may obtain copies of these documents without charge from the SEC’s website at www.sec.gov. Alternatively, you may request these documents by contacting J.P. Morgan Securities LLC at 383 Madison Avenue, New York, NY 10179, Attention: Investment Grade Syndicate Desk – 3rd Floor. Telephone: (212) 834-4533 or Wells Fargo Securities, LLC, Attention: WFS Customer Service, 608 2nd Avenue South, Suite 1000, Minneapolis, Minnesota 55402, by email at wfscustomerservice@wellsfargo.com or by calling 1-800-645-3751.</w:t>
      </w:r>
    </w:p>
    <w:p>
      <w:pPr>
        <w:sectPr>
          <w:pgSz w:w="11900" w:h="16838" w:orient="portrait"/>
          <w:cols w:equalWidth="0" w:num="1">
            <w:col w:w="11020"/>
          </w:cols>
          <w:pgMar w:left="440" w:top="117" w:right="439" w:bottom="1440" w:gutter="0" w:footer="0" w:header="0"/>
        </w:sectPr>
      </w:pPr>
    </w:p>
    <w:bookmarkStart w:id="41" w:name="page42"/>
    <w:bookmarkEnd w:id="4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announcement does not constitute an offer to sell or the solicitation of an offer to buy the Senior Notes or any other securities, nor will there be any sale of Senior Notes or any other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Take-Two Interactive Software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Headquartered in New York City, Take-Two Interactive Software, Inc. is a leading developer, publisher, and marketer of interactive entertainment for consumers around the globe. The Company develops and publishes products principally through Rockstar Games, 2K, Private Division, and Zynga. Our products are designed for console systems, personal computers, and Mobile, including smartphones and tablets, and are delivered through physical retail, digital download, online platforms, and cloud streaming services. The Company’s common stock is publicly traded on NASDAQ under the symbol TTWO.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our combination with Zynga;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both consumer demand and the discretionary spending patterns of our customers as the situation with the pandemic continues to evolve; the risks of conducting business internationally;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 Series X|S; the timely release and significant market acceptance of our games; the ability to maintain acceptable pricing levels on our games; and risks associated with international operations. 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04"/>
    </w:lvl>
    <w:lvl w:ilvl="1">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2"/>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2"/>
    </w:lvl>
  </w:abstractNum>
  <w:abstractNum w:abstractNumId="8">
    <w:nsid w:val="189A769B"/>
    <w:multiLevelType w:val="hybridMultilevel"/>
    <w:lvl w:ilvl="0">
      <w:lvlJc w:val="left"/>
      <w:lvlText w:val="(%1)"/>
      <w:numFmt w:val="lowerLetter"/>
      <w:start w:val="4"/>
    </w:lvl>
  </w:abstractNum>
  <w:abstractNum w:abstractNumId="9">
    <w:nsid w:val="54E49EB4"/>
    <w:multiLevelType w:val="hybridMultilevel"/>
    <w:lvl w:ilvl="0">
      <w:lvlJc w:val="left"/>
      <w:lvlText w:val="(%1)"/>
      <w:numFmt w:val="lowerLetter"/>
      <w:start w:val="7"/>
    </w:lvl>
  </w:abstractNum>
  <w:abstractNum w:abstractNumId="10">
    <w:nsid w:val="71F32454"/>
    <w:multiLevelType w:val="hybridMultilevel"/>
    <w:lvl w:ilvl="0">
      <w:lvlJc w:val="left"/>
      <w:lvlText w:val="(%1)"/>
      <w:numFmt w:val="lowerLetter"/>
      <w:start w:val="9"/>
    </w:lvl>
  </w:abstractNum>
  <w:abstractNum w:abstractNumId="11">
    <w:nsid w:val="2CA88611"/>
    <w:multiLevelType w:val="hybridMultilevel"/>
    <w:lvl w:ilvl="0">
      <w:lvlJc w:val="left"/>
      <w:lvlText w:val="(%1)"/>
      <w:numFmt w:val="lowerLetter"/>
      <w:start w:val="12"/>
    </w:lvl>
  </w:abstractNum>
  <w:abstractNum w:abstractNumId="12">
    <w:nsid w:val="836C40E"/>
    <w:multiLevelType w:val="hybridMultilevel"/>
    <w:lvl w:ilvl="0">
      <w:lvlJc w:val="left"/>
      <w:lvlText w:val="%1"/>
      <w:numFmt w:val="lowerLetter"/>
      <w:start w:val="1"/>
    </w:lvl>
    <w:lvl w:ilvl="1">
      <w:lvlJc w:val="left"/>
      <w:lvlText w:val="(%2)"/>
      <w:numFmt w:val="lowerLetter"/>
      <w:start w:val="17"/>
    </w:lvl>
  </w:abstractNum>
  <w:abstractNum w:abstractNumId="13">
    <w:nsid w:val="2901D82"/>
    <w:multiLevelType w:val="hybridMultilevel"/>
    <w:lvl w:ilvl="0">
      <w:lvlJc w:val="left"/>
      <w:lvlText w:val="(%1)"/>
      <w:numFmt w:val="lowerLetter"/>
      <w:start w:val="9"/>
    </w:lvl>
    <w:lvl w:ilvl="1">
      <w:lvlJc w:val="left"/>
      <w:lvlText w:val="(%2)"/>
      <w:numFmt w:val="lowerLetter"/>
      <w:start w:val="19"/>
    </w:lvl>
  </w:abstractNum>
  <w:abstractNum w:abstractNumId="14">
    <w:nsid w:val="3A95F874"/>
    <w:multiLevelType w:val="hybridMultilevel"/>
    <w:lvl w:ilvl="0">
      <w:lvlJc w:val="left"/>
      <w:lvlText w:val="%1"/>
      <w:numFmt w:val="lowerLetter"/>
      <w:start w:val="1"/>
    </w:lvl>
    <w:lvl w:ilvl="1">
      <w:lvlJc w:val="left"/>
      <w:lvlText w:val="(%2)"/>
      <w:numFmt w:val="lowerLetter"/>
      <w:start w:val="21"/>
    </w:lvl>
  </w:abstractNum>
  <w:abstractNum w:abstractNumId="15">
    <w:nsid w:val="8138641"/>
    <w:multiLevelType w:val="hybridMultilevel"/>
    <w:lvl w:ilvl="0">
      <w:lvlJc w:val="left"/>
      <w:lvlText w:val="(%1)"/>
      <w:numFmt w:val="lowerLetter"/>
      <w:start w:val="35"/>
    </w:lvl>
    <w:lvl w:ilvl="1">
      <w:lvlJc w:val="left"/>
      <w:lvlText w:val="%2"/>
      <w:numFmt w:val="lowerLetter"/>
      <w:start w:val="1"/>
    </w:lvl>
  </w:abstractNum>
  <w:abstractNum w:abstractNumId="16">
    <w:nsid w:val="1E7FF521"/>
    <w:multiLevelType w:val="hybridMultilevel"/>
    <w:lvl w:ilvl="0">
      <w:lvlJc w:val="left"/>
      <w:lvlText w:val="(%1)"/>
      <w:numFmt w:val="lowerLetter"/>
      <w:start w:val="25"/>
    </w:lvl>
    <w:lvl w:ilvl="1">
      <w:lvlJc w:val="left"/>
      <w:lvlText w:val="(%2)"/>
      <w:numFmt w:val="lowerLetter"/>
      <w:start w:val="25"/>
    </w:lvl>
  </w:abstractNum>
  <w:abstractNum w:abstractNumId="17">
    <w:nsid w:val="7C3DBD3D"/>
    <w:multiLevelType w:val="hybridMultilevel"/>
    <w:lvl w:ilvl="0">
      <w:lvlJc w:val="left"/>
      <w:lvlText w:val="%1"/>
      <w:numFmt w:val="lowerLetter"/>
      <w:start w:val="1"/>
    </w:lvl>
    <w:lvl w:ilvl="1">
      <w:lvlJc w:val="left"/>
      <w:lvlText w:val="(%2)"/>
      <w:numFmt w:val="lowerLetter"/>
      <w:start w:val="27"/>
    </w:lvl>
  </w:abstractNum>
  <w:abstractNum w:abstractNumId="18">
    <w:nsid w:val="737B8DDC"/>
    <w:multiLevelType w:val="hybridMultilevel"/>
    <w:lvl w:ilvl="0">
      <w:lvlJc w:val="left"/>
      <w:lvlText w:val="(%1)"/>
      <w:numFmt w:val="lowerLetter"/>
      <w:start w:val="61"/>
    </w:lvl>
    <w:lvl w:ilvl="1">
      <w:lvlJc w:val="left"/>
      <w:lvlText w:val="(%2)"/>
      <w:numFmt w:val="lowerLetter"/>
      <w:start w:val="28"/>
    </w:lvl>
  </w:abstractNum>
  <w:abstractNum w:abstractNumId="19">
    <w:nsid w:val="6CEAF087"/>
    <w:multiLevelType w:val="hybridMultilevel"/>
    <w:lvl w:ilvl="0">
      <w:lvlJc w:val="left"/>
      <w:lvlText w:val="(%1)"/>
      <w:numFmt w:val="lowerLetter"/>
      <w:start w:val="30"/>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5"/>
    </w:lvl>
  </w:abstractNum>
  <w:abstractNum w:abstractNumId="22">
    <w:nsid w:val="3006C83E"/>
    <w:multiLevelType w:val="hybridMultilevel"/>
    <w:lvl w:ilvl="0">
      <w:lvlJc w:val="left"/>
      <w:lvlText w:val="(%1)"/>
      <w:numFmt w:val="lowerLetter"/>
      <w:start w:val="6"/>
    </w:lvl>
  </w:abstractNum>
  <w:abstractNum w:abstractNumId="23">
    <w:nsid w:val="614FD4A1"/>
    <w:multiLevelType w:val="hybridMultilevel"/>
    <w:lvl w:ilvl="0">
      <w:lvlJc w:val="left"/>
      <w:lvlText w:val="(%1)"/>
      <w:numFmt w:val="lowerLetter"/>
      <w:start w:val="13"/>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decimal"/>
      <w:start w:val="6"/>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lvl w:ilvl="1">
      <w:lvlJc w:val="left"/>
      <w:lvlText w:val="(%2)"/>
      <w:numFmt w:val="lowerLetter"/>
      <w:start w:val="3"/>
    </w:lvl>
  </w:abstractNum>
  <w:abstractNum w:abstractNumId="28">
    <w:nsid w:val="3804823E"/>
    <w:multiLevelType w:val="hybridMultilevel"/>
    <w:lvl w:ilvl="0">
      <w:lvlJc w:val="left"/>
      <w:lvlText w:val="(%1)"/>
      <w:numFmt w:val="lowerLetter"/>
      <w:start w:val="35"/>
    </w:lvl>
    <w:lvl w:ilvl="1">
      <w:lvlJc w:val="left"/>
      <w:lvlText w:val="(%2)"/>
      <w:numFmt w:val="lowerLetter"/>
      <w:start w:val="4"/>
    </w:lvl>
  </w:abstractNum>
  <w:abstractNum w:abstractNumId="29">
    <w:nsid w:val="77465F01"/>
    <w:multiLevelType w:val="hybridMultilevel"/>
    <w:lvl w:ilvl="0">
      <w:lvlJc w:val="left"/>
      <w:lvlText w:val="(%1)"/>
      <w:numFmt w:val="lowerLetter"/>
      <w:start w:val="8"/>
    </w:lvl>
  </w:abstractNum>
  <w:abstractNum w:abstractNumId="30">
    <w:nsid w:val="7724C67E"/>
    <w:multiLevelType w:val="hybridMultilevel"/>
    <w:lvl w:ilvl="0">
      <w:lvlJc w:val="left"/>
      <w:lvlText w:val="%1."/>
      <w:numFmt w:val="decimal"/>
      <w:start w:val="7"/>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4"/>
    </w:lvl>
  </w:abstractNum>
  <w:abstractNum w:abstractNumId="33">
    <w:nsid w:val="5E884ADC"/>
    <w:multiLevelType w:val="hybridMultilevel"/>
    <w:lvl w:ilvl="0">
      <w:lvlJc w:val="left"/>
      <w:lvlText w:val="%1."/>
      <w:numFmt w:val="decimal"/>
      <w:start w:val="8"/>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decimal"/>
      <w:start w:val="1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2"/>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3"/>
    </w:lvl>
    <w:lvl w:ilvl="1">
      <w:lvlJc w:val="left"/>
      <w:lvlText w:val="(%2)"/>
      <w:numFmt w:val="lowerRoman"/>
      <w:start w:val="1"/>
    </w:lvl>
  </w:abstractNum>
  <w:abstractNum w:abstractNumId="41">
    <w:nsid w:val="2A487CB0"/>
    <w:multiLevelType w:val="hybridMultilevel"/>
    <w:lvl w:ilvl="0">
      <w:lvlJc w:val="left"/>
      <w:lvlText w:val="(%1)"/>
      <w:numFmt w:val="lowerRoman"/>
      <w:start w:val="1"/>
    </w:lvl>
  </w:abstractNum>
  <w:abstractNum w:abstractNumId="42">
    <w:nsid w:val="1D4ED43B"/>
    <w:multiLevelType w:val="hybridMultilevel"/>
    <w:lvl w:ilvl="0">
      <w:lvlJc w:val="left"/>
      <w:lvlText w:val="(%1)"/>
      <w:numFmt w:val="lowerLetter"/>
      <w:start w:val="7"/>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2023-04-11T15:53:47Z</dcterms:created>
  <dcterms:modified xsi:type="dcterms:W3CDTF">2023-04-11T15:53:47Z</dcterms:modified>
</cp:coreProperties>
</file>