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2022</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2"/>
          <w:szCs w:val="42"/>
          <w:b w:val="1"/>
          <w:bCs w:val="1"/>
          <w:color w:val="auto"/>
        </w:rPr>
        <w:t>TAKE-TWO INTERACTIVE SOFTWARE, INC.</w:t>
      </w:r>
    </w:p>
    <w:p>
      <w:pPr>
        <w:spacing w:after="0" w:line="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Take-Two Interactive Software, Inc.</w:t>
      </w:r>
    </w:p>
    <w:p>
      <w:pPr>
        <w:spacing w:after="0" w:line="43" w:lineRule="exact"/>
        <w:rPr>
          <w:sz w:val="24"/>
          <w:szCs w:val="24"/>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110 West 44</w:t>
        <w:tab/>
        <w:t>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(646) 536-2842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0960"/>
          </w:cols>
          <w:pgMar w:left="440" w:top="225" w:right="49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TAKE-TWO INTERACTIVE SOFTWARE, INC. 2017 STOCK INCENTIVE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Daniel Emerson,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Legal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110 West 44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(646) 536-3001</w:t>
      </w:r>
    </w:p>
    <w:p>
      <w:pPr>
        <w:ind w:left="430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w:t>
      </w:r>
    </w:p>
    <w:p>
      <w:pPr>
        <w:spacing w:after="0" w:line="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Adam M. Turteltaub,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787 Seventh Avenue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May 23, 2022, pursuant to the Agreement and Plan of Merger (the “Merger Agreement”), dated January 9, 2022, by and among Take-Two Interactive Software, Inc. (the “Company” or “Registrant”), Zebra MS I, Inc., a Delaware corporation and a direct wholly-owned subsidiary of the Company, Zebra MS II, Inc., a Delaware corporation and a direct wholly-owned subsidiary of the Company, and Zynga Inc., a Delaware corporation (“Zynga”), the Company acquired Zynga through a series of mergers (the “Combination”).</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registers an additional 15,368,500 shares of the Registrant’s common stock, par value $0.01 per share (“Common Stock”), issuable under the Amended and Restated Take-Two Interactive Software, Inc. 2017 Stock Incentive Plan (the “Plan”), in accordance with, and subject to the terms and conditions of, an exception under Rule 5635(c)(3) of the NASDAQ Market Rules and Regulations (“Rule 5635(c)(3)”), which additional shares of Common Stock represent the sum of the (i) remaining number of shares of common stock of Zynga that were available for issuance under the Zynga Inc. 2011 Equity Incentive Plan, as amended and restated (the “2011 Plan”), immediately prior to the Combination, as appropriately adjusted to reflect the Combination by multiplying such relevant number of shares available for issuance under the 2011 Plan by the Equity Award Exchange Ratio (as defined in the Merger Agreement), and (ii) number of stock options and restricted stock units granted under the 2011 Plan and the Zynga Inc. 2007 Equity Incentive Plan, as amended, that were assumed by the Company as “Substitute Awards” under the Plan in accordance with the terms of the Merger Agreement, as appropriately adjusted to reflect the Combination by multiplying the relevant number of shares underlying such assumed stock options and restricted stock units by the Equity Award Exchange Ratio, and with the exercise price of each assumed option determined by dividing the exercise price per share of the Zynga option by the Equity Award Exchange Ratio.</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an exception under Rule 5635(c)(3), shares that are available for grant under a pre-existing shareholder approved plan of an issuer that is acquired in an acquisition or merger, may be used (after appropriate adjustment of the number of shares to reflect the transaction) by the listed acquiring company for certain post-transaction grants, either under the pre-existing plan or another plan, provided that (i) the plan met the requirements of Rule 5635(c) prior to such transaction, (ii) the time during which those shares are available for grants is not extended beyond the period when they would have been available under the pre-existing plan, absent the transaction, and (iii) such awards are not granted to individuals who were employed by the granting company or its subsidiaries at the time the merger or acquisition was consummated.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Registration Statement on Form S-8 (Registration No. 333-220895) filed by the Registrant on October 11, 2017 (the “First Registration Statement”), the Registrant previously registered an aggregate of 5,200,000 shares of Common Stock under the Plan (as adjusted to reflect all stock splits and stock dividends to date). Pursuant to the Registration Statement on Form S-8 (Registration No. 333-248629) filed by the Registrant on September 4, 2020 (the “Second Registration Statement”), the Registrant previously registered an aggregate of 50,743 additional shares of Common Stock under the Plan (as adjusted to reflect all stock splits and stock dividends to date). Pursuant to the Registration Statement on Form S-8 (Registration No. 333-249904) filed by Registrant on November 6, 2020 (the “Third Registration Statement”), the Registrant previously registered an aggregate of 2,000,000 additional shares of Common Stock under the Plan (as adjusted to reflect all stock splits and stock dividends to date). Pursuant to the Registration Statement on Form S-8 (Registration No. 333-260773) filed by Registrant on November 4, 2021 (the “Fourth Registration Statement,” and together with the First Registration Statement, the Second Registration Statement, and the Third Registration Statement, collectively, the “Prior Registration Statements”), the Registrant previously registered an aggregate of 4,300,000 additional shares of Common Stock under the Plan (as adjusted to reflect all stock splits and stock dividends to date). The additional shares of Common Stock being registered by this Registration Statement are of the same class as those securities registered on the Prior Registration Statement. The contents of the Prior Registration Statement, together with all exhibits filed therewith or incorporated therein by reference to the extent not otherwise amended or superseded by the contents hereof or otherwise, are incorporated herein by reference in accordance with General Instruction E to Form S-8.</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have been or will be sent or given to participating employees as specified in Rule 428(b)(1) of the Securities Act of 1933, as amended (the “Securities Act”), in accordance with the rules and regulations of the United States Securities and Exchange Commission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Company, are incorporated by reference into this Registration Statement:</w:t>
      </w:r>
    </w:p>
    <w:p>
      <w:pPr>
        <w:spacing w:after="0" w:line="131" w:lineRule="exact"/>
        <w:rPr>
          <w:sz w:val="20"/>
          <w:szCs w:val="20"/>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2022, filed on May 17, 2022, pursuant to the Securities Exchange Act of 1934, as amended (the “Exchange Act”);</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Company’s Current Reports on Form 8-K, filed on </w:t>
        </w:r>
        <w:r>
          <w:rPr>
            <w:rFonts w:ascii="Times New Roman" w:cs="Times New Roman" w:eastAsia="Times New Roman" w:hAnsi="Times New Roman"/>
            <w:sz w:val="18"/>
            <w:szCs w:val="18"/>
            <w:u w:val="single" w:color="auto"/>
            <w:color w:val="0000EE"/>
          </w:rPr>
          <w:t>April 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19, 2022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May 26, 2022</w:t>
        </w:r>
      </w:hyperlink>
      <w:hyperlink r:id="rId19">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jc w:val="both"/>
        <w:ind w:left="960" w:right="4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which is contained in the Company’s Registration Statement on </w:t>
      </w:r>
      <w:hyperlink r:id="rId2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March 26, 2008, as updated by </w:t>
      </w:r>
      <w:hyperlink r:id="rId2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2020, including any subsequent amendment or any report filed with the Commission for the purpose of updating such description.</w:t>
      </w:r>
    </w:p>
    <w:p>
      <w:pPr>
        <w:spacing w:after="0" w:line="176" w:lineRule="exact"/>
        <w:rPr>
          <w:rFonts w:ascii="Times New Roman" w:cs="Times New Roman" w:eastAsia="Times New Roman" w:hAnsi="Times New Roman"/>
          <w:sz w:val="18"/>
          <w:szCs w:val="18"/>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all documents filed by the Company with the Commission pursuant to Sections 13(a), 13(c), 14, and 15(d) of the Exchange Act subsequent to the date of this Registration Statement and prior to the filing of a post-effective amendment to this Registration Statement which indicates that all of the securities offered hereby have been sold or which deregisters all securities then remaining unsold shall be deemed to be incorporated by reference into this Registration Statement and to be a part hereof from the date of the filing of such documents with the Commission; provided, however, that documents or portions thereof which are “furnished” and not “filed” in accordance with the rules of the Commission shall not be deemed incorporated by reference into this Registration Statement unless the Registrant expressly provides to the contrary that such document is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to constitute a part of this Registration Statement except as so modified or superseded.</w:t>
      </w:r>
    </w:p>
    <w:p>
      <w:pPr>
        <w:spacing w:after="0" w:line="324"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Index to Exhibits and are incorporated herein by reference.</w:t>
      </w:r>
    </w:p>
    <w:p>
      <w:pPr>
        <w:sectPr>
          <w:pgSz w:w="11900" w:h="16838" w:orient="portrait"/>
          <w:cols w:equalWidth="0" w:num="1">
            <w:col w:w="11000"/>
          </w:cols>
          <w:pgMar w:left="440" w:top="266"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664"/>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spacing w:after="0"/>
              <w:rPr>
                <w:sz w:val="22"/>
                <w:szCs w:val="22"/>
                <w:color w:val="auto"/>
              </w:rPr>
            </w:pPr>
          </w:p>
        </w:tc>
        <w:tc>
          <w:tcPr>
            <w:tcW w:w="568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0000EE"/>
              </w:rPr>
              <w:t>Opinion of Willkie Farr &amp; Gallagher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23.1</w:t>
            </w:r>
          </w:p>
        </w:tc>
        <w:tc>
          <w:tcPr>
            <w:tcW w:w="460" w:type="dxa"/>
            <w:vAlign w:val="bottom"/>
          </w:tcPr>
          <w:p>
            <w:pPr>
              <w:spacing w:after="0"/>
              <w:rPr>
                <w:sz w:val="24"/>
                <w:szCs w:val="24"/>
                <w:color w:val="auto"/>
              </w:rPr>
            </w:pPr>
          </w:p>
        </w:tc>
        <w:tc>
          <w:tcPr>
            <w:tcW w:w="5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Willkie Farr &amp; Gallagher LLP (included in Exhibit 5.1 hereto)</w:t>
            </w:r>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23.2</w:t>
            </w:r>
          </w:p>
        </w:tc>
        <w:tc>
          <w:tcPr>
            <w:tcW w:w="4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firm of Take-Two Interactive Software, Inc.)</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23.3</w:t>
            </w:r>
          </w:p>
        </w:tc>
        <w:tc>
          <w:tcPr>
            <w:tcW w:w="4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firm of Zynga Inc.)</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24.1</w:t>
            </w:r>
          </w:p>
        </w:tc>
        <w:tc>
          <w:tcPr>
            <w:tcW w:w="4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Registration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Statement)</w:t>
            </w:r>
          </w:p>
        </w:tc>
        <w:tc>
          <w:tcPr>
            <w:tcW w:w="4280" w:type="dxa"/>
            <w:vAlign w:val="bottom"/>
            <w:tcBorders>
              <w:top w:val="single" w:sz="8" w:color="0000EE"/>
            </w:tcBorders>
            <w:gridSpan w:val="6"/>
          </w:tcPr>
          <w:p>
            <w:pPr>
              <w:spacing w:after="0"/>
              <w:rPr>
                <w:sz w:val="17"/>
                <w:szCs w:val="17"/>
                <w:color w:val="auto"/>
              </w:rPr>
            </w:pPr>
          </w:p>
        </w:tc>
        <w:tc>
          <w:tcPr>
            <w:tcW w:w="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99.1</w:t>
            </w:r>
          </w:p>
        </w:tc>
        <w:tc>
          <w:tcPr>
            <w:tcW w:w="460" w:type="dxa"/>
            <w:vAlign w:val="bottom"/>
          </w:tcPr>
          <w:p>
            <w:pPr>
              <w:spacing w:after="0"/>
              <w:rPr>
                <w:sz w:val="24"/>
                <w:szCs w:val="24"/>
                <w:color w:val="auto"/>
              </w:rPr>
            </w:pPr>
          </w:p>
        </w:tc>
        <w:tc>
          <w:tcPr>
            <w:tcW w:w="5680" w:type="dxa"/>
            <w:vAlign w:val="bottom"/>
            <w:gridSpan w:val="11"/>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Take-Two Interactive Software, Inc. 2017 Stock</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Incentive Plan</w:t>
              </w:r>
            </w:hyperlink>
          </w:p>
        </w:tc>
        <w:tc>
          <w:tcPr>
            <w:tcW w:w="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5"/>
              </w:rPr>
              <w:t>99.2</w:t>
            </w:r>
          </w:p>
        </w:tc>
        <w:tc>
          <w:tcPr>
            <w:tcW w:w="460" w:type="dxa"/>
            <w:vAlign w:val="bottom"/>
          </w:tcPr>
          <w:p>
            <w:pPr>
              <w:spacing w:after="0"/>
              <w:rPr>
                <w:sz w:val="24"/>
                <w:szCs w:val="24"/>
                <w:color w:val="auto"/>
              </w:rPr>
            </w:pPr>
          </w:p>
        </w:tc>
        <w:tc>
          <w:tcPr>
            <w:tcW w:w="5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Amendment to the Amended and Restated Take-Two Interactive Software,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 2017 Stock Incentive Plan</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924" w:hanging="924"/>
        <w:spacing w:after="0"/>
        <w:tabs>
          <w:tab w:leader="none" w:pos="9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5"/>
              </w:rPr>
              <w:t>Annex</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04"/>
        </w:trPr>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24"/>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540"/>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540"/>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540"/>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540"/>
        </w:trPr>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DEF 14A</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B</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July 27, 2021</w:t>
            </w:r>
          </w:p>
        </w:tc>
        <w:tc>
          <w:tcPr>
            <w:tcW w:w="740" w:type="dxa"/>
            <w:vAlign w:val="bottom"/>
          </w:tcPr>
          <w:p>
            <w:pPr>
              <w:spacing w:after="0"/>
              <w:rPr>
                <w:sz w:val="24"/>
                <w:szCs w:val="24"/>
                <w:color w:val="auto"/>
              </w:rPr>
            </w:pPr>
          </w:p>
        </w:tc>
      </w:tr>
      <w:tr>
        <w:trPr>
          <w:trHeight w:val="540"/>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24"/>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bl>
    <w:p>
      <w:pPr>
        <w:sectPr>
          <w:pgSz w:w="11900" w:h="16838" w:orient="portrait"/>
          <w:cols w:equalWidth="0" w:num="2">
            <w:col w:w="6604" w:space="280"/>
            <w:col w:w="4080"/>
          </w:cols>
          <w:pgMar w:left="436" w:top="26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the requirements for filing on Form S-8 and has duly caused this Registration Statement to be signed on its behalf by the undersigned, thereunto duly authorized, in the City of New York, State of New York, on the 3rd day of June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Strauss Zelnick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Take-Two Interactive Software, Inc., hereby severally constitute and appoint Karl Slatoff, Daniel Emerson, and Matthew Breitman or any of them individually, our true and lawful attorneys-in-fact with full power of substitution, to sign for us and in our names in the capacities indicated below the Registration Statement and any and all pre-effective and post-effective amendments to the Registration Statement and generally to do all such things in our name and behalf in our capacities as officers and directors to enable the Registrant to comply with the provisions of the Securities Act, and all requirements of the Commission, hereby ratifying and confirming our signatures as they may be signed by our said attorneys-in-fact to said Registration Statement and any and all amendments thereto.</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Strauss Zelnick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Strauss Zelnick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Lainie Goldstein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Lainie Goldstein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Dornemann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Dornemann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Roland Hernandez</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Roland Hernandez</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Moses</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 Moses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Sheresky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Sheresky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LaVerne Srinivasan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LaVerne Srinivasan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Tolson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Susan Tolson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Viera</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8"/>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Paul Viera</w:t>
            </w:r>
          </w:p>
        </w:tc>
        <w:tc>
          <w:tcPr>
            <w:tcW w:w="3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Siminoff</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8"/>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Ellen Siminoff</w:t>
            </w:r>
          </w:p>
        </w:tc>
        <w:tc>
          <w:tcPr>
            <w:tcW w:w="31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“Bing” Gordon</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8"/>
              </w:rPr>
              <w:t>June 3,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William “Bing” Gordon</w:t>
            </w:r>
          </w:p>
        </w:tc>
        <w:tc>
          <w:tcPr>
            <w:tcW w:w="310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ectPr>
          <w:pgSz w:w="11900" w:h="16838" w:orient="portrait"/>
          <w:cols w:equalWidth="0" w:num="1">
            <w:col w:w="10600"/>
          </w:cols>
          <w:pgMar w:left="440" w:top="270" w:right="8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WILLKIE FARR &amp; GALLAGHER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West 44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34" w:lineRule="exact"/>
        <w:rPr>
          <w:sz w:val="20"/>
          <w:szCs w:val="20"/>
          <w:color w:val="auto"/>
        </w:rPr>
      </w:pPr>
    </w:p>
    <w:p>
      <w:pPr>
        <w:jc w:val="both"/>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Take-Two Interactive Software, Inc.</w:t>
      </w:r>
    </w:p>
    <w:p>
      <w:pPr>
        <w:spacing w:after="0" w:line="27" w:lineRule="exact"/>
        <w:rPr>
          <w:sz w:val="20"/>
          <w:szCs w:val="20"/>
          <w:color w:val="auto"/>
        </w:rPr>
      </w:pPr>
    </w:p>
    <w:p>
      <w:pPr>
        <w:jc w:val="right"/>
        <w:ind w:right="7980"/>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acted as counsel to Take-Two Interactive Software, Inc., a Delaware corporation (the “Company”), with respect to the Company’s Registration Statement on Form S-8 (the “Registration Statement”) to be filed by the Company with the Securities and Exchange Commission on or about the date hereof. The Registration Statement relates to the registration under the Securities Act of 1933, as amended (the “Act”), by the Company of an additional 15,368,500 shares of Common Stock, par value $0.01 per share (the “Common Stock”), which may be issued under the Company’s Amended and Restated 2017 Stock Incentive Plan (the “Plan”).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examined, among other things, originals and/or copies (certified or otherwise identified to our satisfaction) of such documents, papers, statutes, and authorities as we have deemed necessary to form a basis for the opinion hereinafter expressed. In our examination, we have assumed the genuineness of all signatures and the conformity to original documents of all copies submitted to us. As to various questions of fact material to our opinion, we have relied on statements and certificates of officers and representatives of the Company.</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when the Registration Statement becomes effective under the Act, the Common Stock to be issued by the Company under the Plan, when duly issued and delivered pursuant to the terms of the Plan, will be legally issued, fully paid, and non-assessable.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opinion is limited to the General Corporation Law of the State of Delaware, and we express no opinion with respect to the laws of any other jurisdiction or any other laws of the State of Delaware.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Take-Two Interactive Software, Inc. 2017 Stock Incentive Plan of our reports dated May 16, 2022, with respect to the consolidated financial statements of Take-Two Interactive Software, Inc. and the effectiveness of internal control over financial reporting of Take-Two Interactive Software, Inc. included in its Annual Report (Form 10-K) for the year ended March 31, 2022,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Take-Two Interactive Software, Inc. 2017 Stock Incentive Plan of Take-Two Interactive Software, Inc. of our reports dated February 25, 2022, with respect to the consolidated financial statements of Zynga Inc. and the effectiveness of internal control over financial reporting of Zynga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STOCK INCENTIVE PLAN</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Amended and Restated Take-Two Interactive Software, Inc. 2017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effective as of the 23rd day of May 2022.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Take-Two Interactive Software,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maintains the Plan;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18(a) of the Plan, the Plan may be amended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at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the terms of that certain Agreement and Plan of Merger, dated as of January 9, 2022 (as amended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Zebra MS I, Inc., a Delaware corporation and a directly wholly owned subsidiary of the Company, Zebra MS II, Inc., a Delaware corporation and a direct wholly owned subsidiary of the Company, and Zynga Inc., a Delaware corporation (“</w:t>
      </w:r>
      <w:r>
        <w:rPr>
          <w:rFonts w:ascii="Times New Roman" w:cs="Times New Roman" w:eastAsia="Times New Roman" w:hAnsi="Times New Roman"/>
          <w:sz w:val="18"/>
          <w:szCs w:val="18"/>
          <w:u w:val="single" w:color="auto"/>
          <w:color w:val="auto"/>
        </w:rPr>
        <w:t>Zynga</w:t>
      </w:r>
      <w:r>
        <w:rPr>
          <w:rFonts w:ascii="Times New Roman" w:cs="Times New Roman" w:eastAsia="Times New Roman" w:hAnsi="Times New Roman"/>
          <w:sz w:val="18"/>
          <w:szCs w:val="18"/>
          <w:color w:val="auto"/>
        </w:rPr>
        <w:t>”), the Company acquired Zynga through a series of mergers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and subject to the terms and conditions of, an exception under Rule 5635(c)(3) and IM-5635-1 of the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Rules and Regulations (“</w:t>
      </w:r>
      <w:r>
        <w:rPr>
          <w:rFonts w:ascii="Times New Roman" w:cs="Times New Roman" w:eastAsia="Times New Roman" w:hAnsi="Times New Roman"/>
          <w:sz w:val="18"/>
          <w:szCs w:val="18"/>
          <w:u w:val="single" w:color="auto"/>
          <w:color w:val="auto"/>
        </w:rPr>
        <w:t>Rule 5635(c)(3)</w:t>
      </w:r>
      <w:r>
        <w:rPr>
          <w:rFonts w:ascii="Times New Roman" w:cs="Times New Roman" w:eastAsia="Times New Roman" w:hAnsi="Times New Roman"/>
          <w:sz w:val="18"/>
          <w:szCs w:val="18"/>
          <w:color w:val="auto"/>
        </w:rPr>
        <w:t>”), the remaining number of shares of common stock of Zynga that were available for issuance as of immediately prior to the Transaction under the Amended and Restated Zynga Inc. 2011 Equity Incentive Plan, as amended (the “</w:t>
      </w:r>
      <w:r>
        <w:rPr>
          <w:rFonts w:ascii="Times New Roman" w:cs="Times New Roman" w:eastAsia="Times New Roman" w:hAnsi="Times New Roman"/>
          <w:sz w:val="18"/>
          <w:szCs w:val="18"/>
          <w:u w:val="single" w:color="auto"/>
          <w:color w:val="auto"/>
        </w:rPr>
        <w:t>Zynga Plan</w:t>
      </w:r>
      <w:r>
        <w:rPr>
          <w:rFonts w:ascii="Times New Roman" w:cs="Times New Roman" w:eastAsia="Times New Roman" w:hAnsi="Times New Roman"/>
          <w:sz w:val="18"/>
          <w:szCs w:val="18"/>
          <w:color w:val="auto"/>
        </w:rPr>
        <w:t>”), a pre-existing shareholder approved plan of Zynga, shall be available for use (after appropriate adjustment of the number of shares to reflect the Transaction) by the Company from and after the Closing (as defined in the Merger Agreement) for Awards (as defined in the Plan) made under the Plan, provided that (i) the period during which such shares are available for Awards will not be extended beyond the period during which they would have been available under the Zynga Plan, absent the Transaction and (ii) such Awards may not be granted to individuals who were employed by the Company or its subsidiaries at the time the Transaction was consummated;</w:t>
      </w:r>
    </w:p>
    <w:p>
      <w:pPr>
        <w:spacing w:after="0" w:line="18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accordance with, and subject to the terms and conditions of Rule 5635(c)(3) and the terms of the Merger Agreement,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and restricted stock units, including those subject to performance vesting conditions, granted under the Zynga Plan shall be assumed by the Company as Substitute Awards (as defined under the Plan) and be governed by the terms and conditions of the Plan (after appropriate adjustment of the number of shares to reflect the Transaction) effective as of the Closing (the “</w:t>
      </w:r>
      <w:r>
        <w:rPr>
          <w:rFonts w:ascii="Times New Roman" w:cs="Times New Roman" w:eastAsia="Times New Roman" w:hAnsi="Times New Roman"/>
          <w:sz w:val="18"/>
          <w:szCs w:val="18"/>
          <w:u w:val="single" w:color="auto"/>
          <w:color w:val="auto"/>
        </w:rPr>
        <w:t>Assumed Awards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authorized the adoption of an amendment to the Plan increasing the number of shares of Stock (as defined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Awards by the remaining number of shares of common stock under the Zynga Plan as of immediately prior to the Transaction and approving the assumption of the Assumed Awards as Substitute Awards under the Plan; and</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now desires to amend the Plan to increase the maximum number of shares of Stock available for Awards by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Stock representing the</w:t>
      </w:r>
    </w:p>
    <w:p>
      <w:pPr>
        <w:sectPr>
          <w:pgSz w:w="11900" w:h="16838" w:orient="portrait"/>
          <w:cols w:equalWidth="0" w:num="1">
            <w:col w:w="11020"/>
          </w:cols>
          <w:pgMar w:left="440" w:top="117" w:right="439" w:bottom="1440" w:gutter="0" w:footer="0" w:header="0"/>
        </w:sectPr>
      </w:pPr>
    </w:p>
    <w:bookmarkStart w:id="10" w:name="page11"/>
    <w:bookmarkEnd w:id="1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of Zynga common stock (x) underlying the Assumed Awards, as adjusted to reflect the Transaction, and (y) that were available for grant under the Zynga Plan as of immediately prior to the Transaction, as adjusted to reflect the Transaction; provided, that (i) the period during which such shares are available for Awards will not be extended beyond the period during which the shares would have been available under the Zynga Plan, absent the Transaction, and (ii) such Awards may not be granted to individuals who were employed by the Company or its subsidiaries at the time the Transaction was consummated.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subject to the occurrence of the Closing, the Plan is hereby amended as follows:</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Plan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Section 4(a) of the Plan is hereby amended to add the following to the end thereof:</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addition, and subject to Section 11 hereof, effective as of May 23, 2022, an additional 15,368,500 shares of</w:t>
      </w:r>
    </w:p>
    <w:p>
      <w:pPr>
        <w:spacing w:after="0" w:line="27" w:lineRule="exact"/>
        <w:rPr>
          <w:sz w:val="20"/>
          <w:szCs w:val="20"/>
          <w:color w:val="auto"/>
        </w:rPr>
      </w:pPr>
    </w:p>
    <w:p>
      <w:pPr>
        <w:ind w:left="1980"/>
        <w:spacing w:after="0" w:line="253" w:lineRule="auto"/>
        <w:rPr>
          <w:sz w:val="20"/>
          <w:szCs w:val="20"/>
          <w:color w:val="auto"/>
        </w:rPr>
      </w:pP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i w:val="1"/>
          <w:iCs w:val="1"/>
          <w:color w:val="auto"/>
        </w:rPr>
        <w:t>Zynga Share Reserve</w:t>
      </w:r>
      <w:r>
        <w:rPr>
          <w:rFonts w:ascii="Times New Roman" w:cs="Times New Roman" w:eastAsia="Times New Roman" w:hAnsi="Times New Roman"/>
          <w:sz w:val="18"/>
          <w:szCs w:val="18"/>
          <w:color w:val="auto"/>
        </w:rPr>
        <w:t>’) may be issued pursuant to Awards to Eligible Persons other than any such Eligible Person who was employed or retained by the Company or its Affiliates (other than Zynga Inc. and its subsidiaries as of May 23, 2022) on May 23, 2022 (the ‘</w:t>
      </w:r>
      <w:r>
        <w:rPr>
          <w:rFonts w:ascii="Times New Roman" w:cs="Times New Roman" w:eastAsia="Times New Roman" w:hAnsi="Times New Roman"/>
          <w:sz w:val="18"/>
          <w:szCs w:val="18"/>
          <w:b w:val="1"/>
          <w:bCs w:val="1"/>
          <w:i w:val="1"/>
          <w:iCs w:val="1"/>
          <w:color w:val="auto"/>
        </w:rPr>
        <w:t>Zynga Awards</w:t>
      </w:r>
      <w:r>
        <w:rPr>
          <w:rFonts w:ascii="Times New Roman" w:cs="Times New Roman" w:eastAsia="Times New Roman" w:hAnsi="Times New Roman"/>
          <w:sz w:val="18"/>
          <w:szCs w:val="18"/>
          <w:color w:val="auto"/>
        </w:rPr>
        <w:t>’), which includes 5,923,235 shares of Stock currently outstanding pursuant to the grant of Options or Restricted Stock Units that were assumed by the Company on May 23, 2022 as Substitute Awards.”</w:t>
      </w:r>
    </w:p>
    <w:p>
      <w:pPr>
        <w:spacing w:after="0" w:line="92" w:lineRule="exact"/>
        <w:rPr>
          <w:sz w:val="20"/>
          <w:szCs w:val="20"/>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hereby added as the fourth sentence of Section 4(b) of the Plan:</w:t>
      </w:r>
    </w:p>
    <w:p>
      <w:pPr>
        <w:spacing w:after="0" w:line="117" w:lineRule="exact"/>
        <w:rPr>
          <w:sz w:val="20"/>
          <w:szCs w:val="20"/>
          <w:color w:val="auto"/>
        </w:rPr>
      </w:pPr>
    </w:p>
    <w:p>
      <w:pPr>
        <w:ind w:left="1980" w:right="80"/>
        <w:spacing w:after="0" w:line="266" w:lineRule="auto"/>
        <w:rPr>
          <w:sz w:val="20"/>
          <w:szCs w:val="20"/>
          <w:color w:val="auto"/>
        </w:rPr>
      </w:pPr>
      <w:r>
        <w:rPr>
          <w:rFonts w:ascii="Times New Roman" w:cs="Times New Roman" w:eastAsia="Times New Roman" w:hAnsi="Times New Roman"/>
          <w:sz w:val="18"/>
          <w:szCs w:val="18"/>
          <w:color w:val="auto"/>
        </w:rPr>
        <w:t>“To the extent that a Zynga Award expires or is canceled, forfeited, settled in cash, or otherwise terminated without delivery to the Participant of the full number of shares of Stock to which the Zynga Award related, the undelivered shares of Stock will again be available for grant pursuant to the Zynga Share Reserve.”</w:t>
      </w:r>
    </w:p>
    <w:p>
      <w:pPr>
        <w:spacing w:after="0" w:line="68" w:lineRule="exact"/>
        <w:rPr>
          <w:sz w:val="20"/>
          <w:szCs w:val="20"/>
          <w:color w:val="auto"/>
        </w:rPr>
      </w:pPr>
    </w:p>
    <w:p>
      <w:pPr>
        <w:ind w:left="440" w:right="80" w:hanging="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and Confirmation</w:t>
      </w:r>
      <w:r>
        <w:rPr>
          <w:rFonts w:ascii="Times New Roman" w:cs="Times New Roman" w:eastAsia="Times New Roman" w:hAnsi="Times New Roman"/>
          <w:sz w:val="18"/>
          <w:szCs w:val="18"/>
          <w:color w:val="auto"/>
        </w:rPr>
        <w:t>. Except as specifically modified by this Amendment, the Plan is hereby ratified and confirmed in all respects and remains valid and in full force and effect. Whenever the Plan is referred to in this Amendment or in any other agreement, document or instrument, such reference shall be deemed to be to the Plan, as amended by this Amendment, whether or not specific reference is made to this Amendment.</w:t>
      </w:r>
    </w:p>
    <w:p>
      <w:pPr>
        <w:spacing w:after="0" w:line="71" w:lineRule="exact"/>
        <w:rPr>
          <w:rFonts w:ascii="Times New Roman" w:cs="Times New Roman" w:eastAsia="Times New Roman" w:hAnsi="Times New Roman"/>
          <w:sz w:val="18"/>
          <w:szCs w:val="18"/>
          <w:color w:val="auto"/>
        </w:rPr>
      </w:pPr>
    </w:p>
    <w:p>
      <w:pPr>
        <w:ind w:left="440" w:right="460" w:hanging="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without reference to the principles of conflicts of laws thereof.</w:t>
      </w:r>
    </w:p>
    <w:p>
      <w:pPr>
        <w:spacing w:after="0" w:line="53"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for convenience only and shall not be considered a part of this Amendment.</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80"/>
          </w:cols>
          <w:pgMar w:left="440" w:top="270" w:right="479" w:bottom="1440" w:gutter="0" w:footer="0" w:header="0"/>
        </w:sectPr>
      </w:pPr>
    </w:p>
    <w:bookmarkStart w:id="11" w:name="page12"/>
    <w:bookmarkEnd w:id="11"/>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a duly authorized officer of the Company, has executed this instrument as of the 3rd day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on behalf of the Board.</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2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Breitman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Title: Senior Vice President, General Counsel Americas &amp;</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820"/>
          </w:cols>
          <w:pgMar w:left="440" w:top="266" w:right="6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Calculation of Filing Fee Table</w:t>
      </w: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(Form Type)</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Table 1: Newly Registered Securities.</w:t>
      </w:r>
    </w:p>
    <w:p>
      <w:pPr>
        <w:spacing w:after="0" w:line="245" w:lineRule="exact"/>
        <w:rPr>
          <w:sz w:val="20"/>
          <w:szCs w:val="20"/>
          <w:color w:val="auto"/>
        </w:rPr>
      </w:pPr>
    </w:p>
    <w:tbl>
      <w:tblPr>
        <w:tblLayout w:type="fixed"/>
        <w:tblInd w:w="1014" w:type="dxa"/>
        <w:tblCellMar>
          <w:top w:w="0" w:type="dxa"/>
          <w:left w:w="0" w:type="dxa"/>
          <w:bottom w:w="0" w:type="dxa"/>
          <w:right w:w="0" w:type="dxa"/>
        </w:tblCellMar>
      </w:tblPr>
      <w:tr>
        <w:trPr>
          <w:trHeight w:val="144"/>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9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r>
      <w:tr>
        <w:trPr>
          <w:trHeight w:val="140"/>
        </w:trPr>
        <w:tc>
          <w:tcPr>
            <w:tcW w:w="68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4"/>
              </w:rPr>
              <w:t>Proposed</w:t>
            </w:r>
          </w:p>
        </w:tc>
        <w:tc>
          <w:tcPr>
            <w:tcW w:w="17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Maximum</w:t>
            </w: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60" w:type="dxa"/>
            <w:vAlign w:val="bottom"/>
            <w:tcBorders>
              <w:right w:val="single" w:sz="8" w:color="auto"/>
            </w:tcBorders>
          </w:tcPr>
          <w:p>
            <w:pPr>
              <w:jc w:val="center"/>
              <w:ind w:left="6"/>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680" w:type="dxa"/>
            <w:vAlign w:val="bottom"/>
            <w:tcBorders>
              <w:left w:val="single" w:sz="8" w:color="auto"/>
              <w:right w:val="single" w:sz="8" w:color="auto"/>
            </w:tcBorders>
          </w:tcPr>
          <w:p>
            <w:pPr>
              <w:jc w:val="center"/>
              <w:ind w:left="64"/>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460" w:type="dxa"/>
            <w:vAlign w:val="bottom"/>
            <w:tcBorders>
              <w:right w:val="single" w:sz="8" w:color="auto"/>
            </w:tcBorders>
          </w:tcPr>
          <w:p>
            <w:pPr>
              <w:jc w:val="center"/>
              <w:ind w:left="6"/>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w:t>
            </w:r>
          </w:p>
        </w:tc>
        <w:tc>
          <w:tcPr>
            <w:tcW w:w="1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8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6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color w:val="auto"/>
                <w:w w:val="89"/>
              </w:rPr>
              <w:t>Type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680" w:type="dxa"/>
            <w:vAlign w:val="bottom"/>
            <w:tcBorders>
              <w:left w:val="single" w:sz="8" w:color="auto"/>
              <w:right w:val="single" w:sz="8" w:color="auto"/>
            </w:tcBorders>
          </w:tcPr>
          <w:p>
            <w:pPr>
              <w:jc w:val="center"/>
              <w:ind w:left="4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Common</w:t>
            </w:r>
          </w:p>
        </w:tc>
        <w:tc>
          <w:tcPr>
            <w:tcW w:w="14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$0.01</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issuable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upon</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exercise or</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settlement</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 or</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restricted</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units,</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respectively,</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assumed</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under the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Restated</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Take-Two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Interactive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Inc. 2017</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41"/>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4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457(c) and 457(h)</w:t>
            </w:r>
          </w:p>
        </w:tc>
        <w:tc>
          <w:tcPr>
            <w:tcW w:w="114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5,923,235 (2)</w:t>
            </w:r>
          </w:p>
        </w:tc>
        <w:tc>
          <w:tcPr>
            <w:tcW w:w="960" w:type="dxa"/>
            <w:vAlign w:val="bottom"/>
            <w:tcBorders>
              <w:bottom w:val="single" w:sz="8" w:color="auto"/>
              <w:right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$124.33(3)</w:t>
            </w:r>
          </w:p>
        </w:tc>
        <w:tc>
          <w:tcPr>
            <w:tcW w:w="1760" w:type="dxa"/>
            <w:vAlign w:val="bottom"/>
            <w:tcBorders>
              <w:bottom w:val="single" w:sz="8" w:color="auto"/>
              <w:right w:val="single" w:sz="8" w:color="auto"/>
            </w:tcBorders>
          </w:tcPr>
          <w:p>
            <w:pPr>
              <w:jc w:val="right"/>
              <w:ind w:right="67"/>
              <w:spacing w:after="0"/>
              <w:rPr>
                <w:sz w:val="20"/>
                <w:szCs w:val="20"/>
                <w:color w:val="auto"/>
              </w:rPr>
            </w:pPr>
            <w:r>
              <w:rPr>
                <w:rFonts w:ascii="Times New Roman" w:cs="Times New Roman" w:eastAsia="Times New Roman" w:hAnsi="Times New Roman"/>
                <w:sz w:val="18"/>
                <w:szCs w:val="18"/>
                <w:color w:val="auto"/>
              </w:rPr>
              <w:t>$736,435,807.55 (3)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$0.0000927</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$68,267.60</w:t>
            </w:r>
          </w:p>
        </w:tc>
      </w:tr>
      <w:tr>
        <w:trPr>
          <w:trHeight w:val="211"/>
        </w:trPr>
        <w:tc>
          <w:tcPr>
            <w:tcW w:w="68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$0.01</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41"/>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4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9,445,265 (4)</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 (5)</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$1,174,329,797.45 (5)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$0.0000927</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$108,860.37</w:t>
            </w:r>
          </w:p>
        </w:tc>
      </w:tr>
      <w:tr>
        <w:trPr>
          <w:trHeight w:val="239"/>
        </w:trPr>
        <w:tc>
          <w:tcPr>
            <w:tcW w:w="68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15,368,500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$1,910,765,605.00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$0.0000927</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$177,127.97</w:t>
            </w:r>
          </w:p>
        </w:tc>
      </w:tr>
      <w:tr>
        <w:trPr>
          <w:trHeight w:val="236"/>
        </w:trPr>
        <w:tc>
          <w:tcPr>
            <w:tcW w:w="68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26"/>
              <w:spacing w:after="0"/>
              <w:rPr>
                <w:sz w:val="20"/>
                <w:szCs w:val="20"/>
                <w:color w:val="auto"/>
              </w:rPr>
            </w:pPr>
            <w:r>
              <w:rPr>
                <w:rFonts w:ascii="Times New Roman" w:cs="Times New Roman" w:eastAsia="Times New Roman" w:hAnsi="Times New Roman"/>
                <w:sz w:val="18"/>
                <w:szCs w:val="18"/>
                <w:color w:val="auto"/>
                <w:w w:val="99"/>
              </w:rPr>
              <w:t>Net Fees Due</w:t>
            </w:r>
          </w:p>
        </w:tc>
        <w:tc>
          <w:tcPr>
            <w:tcW w:w="11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$177,127.97</w:t>
            </w:r>
          </w:p>
        </w:tc>
      </w:tr>
    </w:tbl>
    <w:p>
      <w:pPr>
        <w:spacing w:after="0" w:line="229" w:lineRule="exact"/>
        <w:rPr>
          <w:sz w:val="20"/>
          <w:szCs w:val="20"/>
          <w:color w:val="auto"/>
        </w:rPr>
      </w:pPr>
    </w:p>
    <w:p>
      <w:pPr>
        <w:jc w:val="both"/>
        <w:ind w:left="424" w:right="240" w:hanging="424"/>
        <w:spacing w:after="0" w:line="275" w:lineRule="auto"/>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number of shares of common stock, par value $0.01 per share (“Common Stock”), of Take-Two Interactive Software, Inc. (the “Company” or “Registrant”) stated above, pursuant to Rule 416(a) under the Securities Act of 1933, as amended (the “Securities Act”), this Registration Statement also covers any additional shares of Common Stock that become issuable under the Amended and Restated Take-Two Interactive Software, Inc. 2017 Stock Incentive Plan (the “Plan”) by reason of any stock dividend, stock split, recapitalization or other similar transaction.</w:t>
      </w:r>
    </w:p>
    <w:p>
      <w:pPr>
        <w:spacing w:after="0" w:line="88" w:lineRule="exact"/>
        <w:rPr>
          <w:rFonts w:ascii="Times New Roman" w:cs="Times New Roman" w:eastAsia="Times New Roman" w:hAnsi="Times New Roman"/>
          <w:sz w:val="16"/>
          <w:szCs w:val="16"/>
          <w:color w:val="auto"/>
        </w:rPr>
      </w:pPr>
    </w:p>
    <w:p>
      <w:pPr>
        <w:ind w:left="424" w:right="100" w:hanging="424"/>
        <w:spacing w:after="0" w:line="269" w:lineRule="auto"/>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of Common Stock issuable upon exercise or settlement of stock options or restricted stock units, respectively, granted under the Zynga Inc. 2007 Equity Incentive Plan, as amended and restated (the “2007 Plan”), and the Zynga Inc. 2011 Equity Incentive Plan, as amended and restated (the “2011 Plan,” and together with the 2007 Plan, the “Zynga Plans”), which awards were assumed by the Registrant on May 23, 2023 and converted into stock options and restricted stock units of the Registrant as “Substitute Awards” under the Plan, in accordance with, and subject to the terms and conditions of, Rule 5635(c)(3) of the NASDAQ Market Rules and Regulations (“Rule 5635(c)(3)”), in connection with the acquisition (the “Combination”) of Zynga Inc. pursuant to an Agreement and Plan of Merger, dated January 9, 2022, by and among the Registrant, Zebra MS I, Inc., a Delaware corporation and a direct wholly owned subsidiary of the Registrant, Zebra MS II, Inc., a Delaware corporation and a direct wholly owned subsidiary of the Company, and Zynga Inc.</w:t>
      </w:r>
    </w:p>
    <w:p>
      <w:pPr>
        <w:spacing w:after="0" w:line="95" w:lineRule="exact"/>
        <w:rPr>
          <w:rFonts w:ascii="Times New Roman" w:cs="Times New Roman" w:eastAsia="Times New Roman" w:hAnsi="Times New Roman"/>
          <w:sz w:val="16"/>
          <w:szCs w:val="16"/>
          <w:color w:val="auto"/>
        </w:rPr>
      </w:pPr>
    </w:p>
    <w:p>
      <w:pPr>
        <w:ind w:left="424" w:right="140" w:hanging="424"/>
        <w:spacing w:after="0" w:line="298" w:lineRule="auto"/>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amount of the registration fee, pursuant to Rules 457(c) and 457(h) of the Securities Act, based on the average of the high and low sales prices of the Common Stock as reported on The NASDAQ Global Select Market on June 1, 2022.</w:t>
      </w:r>
    </w:p>
    <w:p>
      <w:pPr>
        <w:spacing w:after="0" w:line="69" w:lineRule="exact"/>
        <w:rPr>
          <w:rFonts w:ascii="Times New Roman" w:cs="Times New Roman" w:eastAsia="Times New Roman" w:hAnsi="Times New Roman"/>
          <w:sz w:val="16"/>
          <w:szCs w:val="16"/>
          <w:color w:val="auto"/>
        </w:rPr>
      </w:pPr>
    </w:p>
    <w:p>
      <w:pPr>
        <w:ind w:left="424" w:right="220" w:hanging="424"/>
        <w:spacing w:after="0" w:line="281" w:lineRule="auto"/>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Combination, the Registrant has assumed the shares that remained available for future awards under the 2011 Plan and converted such shares into 9,445,265 shares of Common Stock that may be issued pursuant to future awards granted under the Plan in accordance with, and subject to the terms and conditions of, Rule 5635(c).</w:t>
      </w:r>
    </w:p>
    <w:p>
      <w:pPr>
        <w:spacing w:after="0" w:line="82" w:lineRule="exact"/>
        <w:rPr>
          <w:rFonts w:ascii="Times New Roman" w:cs="Times New Roman" w:eastAsia="Times New Roman" w:hAnsi="Times New Roman"/>
          <w:sz w:val="16"/>
          <w:szCs w:val="16"/>
          <w:color w:val="auto"/>
        </w:rPr>
      </w:pPr>
    </w:p>
    <w:p>
      <w:pPr>
        <w:ind w:left="424" w:right="140" w:hanging="424"/>
        <w:spacing w:after="0" w:line="298" w:lineRule="auto"/>
        <w:tabs>
          <w:tab w:leader="none" w:pos="42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purposes of calculating the amount of the registration fee, pursuant to Rules 457(c) and 457(h) of the Securities Act, based on the average of the high and low sales prices of the Common Stock as reported on The NASDAQ Global Select Market on June 1, 2022.</w:t>
      </w:r>
    </w:p>
    <w:p>
      <w:pPr>
        <w:sectPr>
          <w:pgSz w:w="11900" w:h="16838" w:orient="portrait"/>
          <w:cols w:equalWidth="0" w:num="1">
            <w:col w:w="11024"/>
          </w:cols>
          <w:pgMar w:left="436" w:top="114" w:right="439" w:bottom="1440" w:gutter="0" w:footer="0" w:header="0"/>
        </w:sectPr>
      </w:pPr>
    </w:p>
    <w:bookmarkStart w:id="13" w:name="page14"/>
    <w:bookmarkEnd w:id="13"/>
    <w:p>
      <w:pPr>
        <w:jc w:val="right"/>
        <w:ind w:right="30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07"/>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decimal"/>
      <w:start w:val="2"/>
    </w:lvl>
    <w:lvl w:ilvl="1">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18" Type="http://schemas.openxmlformats.org/officeDocument/2006/relationships/hyperlink" Target="http://www.sec.gov/ix?doc=/Archives/edgar/data/946581/000162828022014580/ttwo-20220331.htm" TargetMode="External"/><Relationship Id="rId19" Type="http://schemas.openxmlformats.org/officeDocument/2006/relationships/hyperlink" Target="http://www.sec.gov/ix?doc=/Archives/edgar/data/946581/000119312522155140/d131175d8k.htm" TargetMode="External"/><Relationship Id="rId20" Type="http://schemas.openxmlformats.org/officeDocument/2006/relationships/hyperlink" Target="http://www.sec.gov/ix?doc=/Archives/edgar/data/946581/000119312522160004/d306239d8k.htm" TargetMode="External"/><Relationship Id="rId21" Type="http://schemas.openxmlformats.org/officeDocument/2006/relationships/hyperlink" Target="http://www.sec.gov/Archives/edgar/data/946581/000110465908019702/a08-9031_28a12b.htm" TargetMode="External"/><Relationship Id="rId22" Type="http://schemas.openxmlformats.org/officeDocument/2006/relationships/hyperlink" Target="http://www.sec.gov/Archives/edgar/data/946581/000162828020008291/ex-4103312020.htm" TargetMode="External"/><Relationship Id="rId23" Type="http://schemas.openxmlformats.org/officeDocument/2006/relationships/hyperlink" Target="http://www.sec.gov/ix?doc=/Archives/edgar/data/946581/000162828020008291/ttwo-20200331.htm" TargetMode="External"/><Relationship Id="rId24" Type="http://schemas.openxmlformats.org/officeDocument/2006/relationships/hyperlink" Target="http://www.sec.gov/Archives/edgar/data/946581/000119312521225858/d14825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2022-06-03T16:22:22Z</dcterms:created>
  <dcterms:modified xsi:type="dcterms:W3CDTF">2022-06-03T16:22:22Z</dcterms:modified>
</cp:coreProperties>
</file>