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TAKE-TWO INTERACTIVE SOFTWARE,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51-0350842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7"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10036</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536-2842</w:t>
      </w:r>
    </w:p>
    <w:p>
      <w:pPr>
        <w:spacing w:after="0" w:line="200" w:lineRule="exact"/>
        <w:rPr>
          <w:sz w:val="24"/>
          <w:szCs w:val="24"/>
          <w:color w:val="auto"/>
        </w:rPr>
      </w:pPr>
    </w:p>
    <w:p>
      <w:pPr>
        <w:spacing w:after="0" w:line="237"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TTWO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May 23, 2022, Take-Two Interactive Software, Inc., a Delaware corporation (the “Company” or “Take-Two”), announced that it had completed the transactions contemplated by the Agreement and Plan of Merger, as amended (the “Merger Agreement”), dated as of January 9, 2022, by and among the Company, Zebra MS I, Inc., a Delaware corporation and wholly owned subsidiary of the Company (“Merger Sub 1”), Zebra MS II, Inc., a Delaware corporation and wholly owned subsidiary of the Company (“Merger Sub 2”) and Zynga Inc., a Delaware corporation (“Zynga”).</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23, 2022 (the “Closing Date”), the Company, as borrower, entered into an unsecured Credit Agreement with JPMorgan Chase Bank, N.A., as Administrative Agent for the lenders, JPMorgan Chase Bank, N.A., Wells Fargo Bank, National Association, BOFA Securities, Inc. and BNP Paribas as joint lead arrangers and joint bookrunners, and Wells Fargo Bank, National Association as Syndication Agent (the “New Credit Agreement”). The New Credit Agreement replaces in its entirety the Company’s existing Credit Agreement, dated as of February 8, 2019, which was paid off in full and terminated.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New Credit Agreement provides for an unsecured five-year revolving credit facility (the “Revolving Credit Facility”) with commitments of</w:t>
      </w:r>
    </w:p>
    <w:p>
      <w:pPr>
        <w:spacing w:after="0" w:line="3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$500,000,000, including sublimits for (a) the issuance of letters of credit in an aggregate face amount of up to $100,000,000 and (b) borrowings and letters of credit denominated in Pounds Sterling, Euros and Canadian Dollars in an aggregate face amount of up to $100,000,000. In addition, the New Credit Agreement contains uncommitted incremental capacity permitting the incurrence of up to an additional amount not to exceed the greater of $250,000,000 and 35% of the Company’s Consolidated Adjusted EBITDA (as defined in the New Credit Agreement).</w:t>
      </w:r>
    </w:p>
    <w:p>
      <w:pPr>
        <w:spacing w:after="0" w:line="17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Revolving Credit Facility matures on the 5-year anniversary of the Closing Date unless extended in accordance with the New Credit Agreement. The New Credit Agreement contains an extension option permitting the Company, subject to certain requirements, to arrange to extend the Revolving Credit Facility for an additional one-year term which may be exercised no more than two times under the New Credit Agreement.</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Revolving Credit Facility will bear interest at the election of the Company at a margin of (a) 0.000% to 0.625% above an alternate base rate (defined on the basis of prime rate) or (b) 1.000% to 1.625% above the SOFR Rate, which margins are determined by reference to the Company’s credit rating.</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New Credit Agreement also includes, among other terms and conditions,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New Credit Agreement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description of the New Credit Agreement does not purport to be complete and is qualified in its entirety by reference to the New Credit Agreement, a copy of which is attached as Exhibit 10.1 hereto and is incorporated by reference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and Supplemental Indentures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23, 2022, Zynga, Take-Two, Merger Sub 2 and Computershare Trust Company, N.A. (as successor to Wells Fargo Bank, National Association) (the “Trustee”) entered into (a) the First Supplemental Indenture (the “2024 Supplemental Indenture”) to the Indenture, dated as of June 14, 2019 (the “2024 Indenture”), between Zynga and the Trustee, relating to Zynga’s 0.25% Convertible Senior Notes due 2024 (the “2024 Notes”), and (b) the First Supplemental Indenture (the “2026 Supplemental Indenture” and, together with the 2024 Supplemental Indenture, the “Supplemental Indentures”) to the Indenture, dated as of December 17, 2020 (the “2026 Indenture” and, together with the 2024 Indenture, the “Indentures”), between Zynga and the Trustee, relating to Zynga’s 0% Convertible Senior Notes due 2026 (the “2026 Notes” and, together with the 2024 Notes, the “Notes”). As of the date hereof, approximately $690.0 million aggregate principal amount of the 2024 Notes are outstanding and approximately $874.5 million aggregate principal amount of the 2026 Notes are outstanding.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97" w:right="479" w:bottom="1440" w:gutter="0" w:footer="0" w:header="0"/>
        </w:sectPr>
      </w:pPr>
    </w:p>
    <w:bookmarkStart w:id="2" w:name="page3"/>
    <w:bookmarkEnd w:id="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Each Supplemental Indenture provides, among other things, that, from and after the Effective Time (as defined below), (a) Merger Sub 2, as the successor company to Zynga following the consummation of the Combination (as defined below), shall assume all of Zynga’s rights and obligations under the Indentures, (b) the right of holders of the Notes to convert each $1,000 principal amount of such Notes into shares of Zynga Common Stock shall be changed into a right to convert such principal amount of such Notes into the Reference Property (as defined in the applicable Supplemental Indenture) and (c) that Take-Two shall guarantee Merger Sub 2’s, as the successor company to Zynga, obligations under the Indentures and the Notes as provided in the applicable Supplemental Indenture. Reference Property is defined in each Supplemental Indenture as 0.0406 shares of Take-Two Common Stock and $3.50 in cash, without interest, plus cash in lieu of any fractional shares of Take-Two Common Stock.</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consummation of the Combination constitutes a Fundamental Change, a Make-Whole Fundamental Change and a Share Exchange Event (each as defined in the Indentures) under the Indentures. The effective date of the Fundamental Change, Make-Whole Fundamental Change and Share Exchange Event in respect of the Notes is May 23, 2022 (the “Notes Effective Date”), the date of the consummation of the Combination.</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result of the Fundamental Change, each holder of Notes will have the right to require the Company to repurchase its Notes, pursuant to the terms and procedures set forth in the applicable Indenture, for a cash repurchase price equal to the Fundamental Change Repurchase Price (as defined in the applicable Indenture). In addition, as a result of the Fundamental Change, Make-Whole Fundamental Change and Share Exchange Event, holders of the Notes will have a right to convert their Notes for Reference Property commencing on the Notes Effective Date, subject to the terms of the Indentures (the “Fundamental Change Conversion Right”).</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foregoing description of the Supplemental Indentures does not purport to be complete and is qualified in its entirety by reference to the full text of the applicable Supplemental Indenture, copies of which are filed as Exhibit 4.1 and Exhibit 4.2 to this Current Report on Form 8-K and are incorporated by reference.</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Current Report on Form 8-K does not constitute an offer to sell, or a solicitation of an offer to buy, any security and shall not constitute an offer, solicitation or sale in any jurisdiction in which such offering would be unlawful.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Agreements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previously reported on Zynga’s Current Report on Form 8-K filed with the SEC on June 14, 2019, Zynga entered into (i) privately negotiated capped call transactions in connection with the offering of up to $600,000,000 aggregate principal amount of the 2024 Notes with each of Goldman Sachs &amp; Co. LLC, Morgan Stanley &amp; Co. LLC and Bank of America, N.A. (together, the “2024 Notes Hedge Counterparties”). In connection with the exercise of the option in respect of an additional $90,000,000 aggregate principal amount of the 2024 Notes, on June 13, 2019, Zynga entered into (ii) additional capped call transactions with each of the 2024 Notes Hedge Counterparties. The transactions referenced in clauses (i) and (ii) are referred to herein as the “2024 Notes Capped Call Transactions.” The 2024 Capped Call Transactions involve Zynga purchasing call options from the 2024 Notes Hedge Counterparties.</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previously reported on Zynga’s Current Report on Form 8-K filed with the SEC on December 17, 2020, Zynga entered into (i) privately negotiated capped call transactions in connection with the offering of up to $762,000,000 aggregate principal amount of the 2026 Notes with each of Goldman Sachs &amp; Co. LLC, Barclays Bank PLC, Deutsche Bank AG, London Branch, Nomura Global Financial Products Inc. and Bank of Montreal (together, the “2026 Notes Hedge Counterparties”). In connection with the exercise of the option in respect of an additional $112,500,000 aggregate principal amount of the 2026 Notes, on December 15, 2020, Zynga entered into (ii) additional capped call transactions with each of the 2026 Notes Hedge Counterparties. The transactions referenced in clauses (i) and (ii) are referred to herein as the “2026 Notes Capped Call Transactions.” The 2026 Capped Call Transactions involve Zynga purchasing call options from the 2026 Notes Hedge Counterparties.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440" w:top="301" w:right="439" w:bottom="1440" w:gutter="0" w:footer="0" w:header="0"/>
        </w:sectPr>
      </w:pPr>
    </w:p>
    <w:bookmarkStart w:id="3" w:name="page4"/>
    <w:bookmarkEnd w:id="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2024 Notes Hedge Counterparties and the 2026 Notes Hedge Counterparties are collectively referred to herein as the “Hedge Counterparties.” The 2024 Notes Capped Call Transactions and the 2026 Notes Capped Call Transactions are collectively referred to herein as the “Capped Call Transactions.”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20, 2022, Zynga entered into Termination Agreements with respect to the Capped Call Transactions with each of the Hedge Counterparties (collectively, the “Termination Agreements”). Pursuant to the terms of the Termination Agreements, the Capped Call Transactions will be terminated over a period of time specified in each Termination Agreement and each Hedge Counterparty will owe a cash payment to Zynga, as applicable, as a result of the termination of the Capped Call Transactions that will be calculated based on their fair market value calculated by each Hedge Counterparty during a termination valuation period.</w:t>
      </w:r>
    </w:p>
    <w:p>
      <w:pPr>
        <w:spacing w:after="0" w:line="18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foregoing description of the Termination Agreements does not purport to be complete and is qualified in its entirety by reference to each of the Termination Agreements, copies of which are attached as Exhibits 99.1 through 99.8 hereto and are incorporated by reference herein.</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To the extent required by Item 1.02 of Form 8-K, the information contained in Item 1.01 of this Current Report on Form 8-K is incorporated by reference herein.</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Merger Agreement, on May 23, 2022, Merger Sub 1 merged with and into Zynga in accordance with Delaware law (the “Merger”), with Zynga continuing as the surviving corporation (the “Surviving Corporation”). Immediately following the Merger, the Surviving Corporation merged with and into Merger Sub 2 in accordance with Delaware law (the “Subsequent Merger” and, together with the Merger, the “Combination”), with Merger Sub 2 continuing as the surviving company and re-named Zynga Inc.</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At the effective time of the Merger (the “Effective Time”), each issued and outstanding share of common stock of Zynga, par value $0.0000625 per share (“Zynga Common Stock”), other than dissenting shares and treasury shares, was converted into 0.0406 shares (the “Stock Consideration”) of the Company’s common stock, par value $0.01 per share (“Take-Two Common Stock”) with a cash payment in lieu of fractional shares of Take-Two Common stock resulting from such calculation, and the right to receive $3.50 in cash (the “Cash Consideration” and, together with the Stock Consideration, the “Merger Consideration”). In addition, at the Effective Time, (i) each outstanding and unexercised option to purchase shares of Zynga Common Stock granted under any Zynga employee benefit plan, whether vested or unvested, was assumed by Take-Two and automatically converted into an option exercisable for shares of Take-Two Common Stock under the Take-Two equity plan, in accordance with the equity award exchange ratio in accordance with the Merger Agreement, (ii) each outstanding Zynga restricted stock unit whose vesting is not conditioned in whole or in part on the satisfaction of performance criteria that was outstanding immediately prior to the Effective Time, whether vested or unvested, was assumed by Take-Two and automatically converted into a Take-Two restricted stock unit award with respect to shares of Take-Two Common Stock under the Take-Two equity plan, with the new number of shares underlying such award determined in accordance with the equity award exchange ratio in accordance with the Merger Agreement, and (iii) each outstanding Zynga restricted stock unit whose vesting is conditioned on the satisfaction of performance criteria, that was outstanding immediately prior to the Effective Time, whether vested or unvested, was assumed by Take-Two and automatically converted into a Take-Two restricted stock unit award with respect to shares of Take-Two Common Stock under the Take-Two equity plan, with the new number of shares underlying such award determined in accordance with the equity award exchange ratio in accordance with the Merger Agreement. Upon the effectiveness of the Merger, Zynga Inc. became a wholly owned subsidiary of the Company.</w:t>
      </w:r>
    </w:p>
    <w:p>
      <w:pPr>
        <w:spacing w:after="0" w:line="17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a result of the Combination, the Company is issuing approximately 46.311 million shares of Take-Two Common Stock to former holders of Zynga Common Stock. The shares of Zynga Common Stock, which previously traded under the symbol “ZNGA,” ceased trading on the NASDAQ Global Select Market (“NASDAQ”) as of the close of trading on May 20, 2022 and were delisted from NASDAQ as of May 23, 2022.</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foregoing description of the Merger Agreement and the Combination does not purport to be complete and is subject to, and qualified in its entirety by, the full text of the Merger Agreement, which was filed as Exhibit 2.1 to the Company’s Current Report on Form 8-K filed with the SEC on January 10, 2022 and is incorporated by reference herein.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440" w:top="301" w:right="519" w:bottom="1440" w:gutter="0" w:footer="0" w:header="0"/>
        </w:sectPr>
      </w:pPr>
    </w:p>
    <w:bookmarkStart w:id="4" w:name="page5"/>
    <w:bookmarkEnd w:id="4"/>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Direct Financial Obligation or an Obligation under an Off-Balance Sheet Arrangement of a Registrant</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To the extent required by Item 2.03 of Form 8-K, the information contained in Item 1.01 of this Current Report on Form 8-K is incorporated by reference herein.</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the extent required by Item 3.03 of Form 8-K, the information contained in Items 2.01 and 5.03 of this Current Report on Form 8-K is incorporated by reference herein.</w:t>
      </w:r>
    </w:p>
    <w:p>
      <w:pPr>
        <w:spacing w:after="0" w:line="315"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previously reported on Take-Two’s Form 8-Ks filed with the SEC on May 17, 2022 and May 19, 2022 (the “Prior Form 8-Ks”), subject to and upon the closing of the Combination, Ellen Siminoff and William “Bing” Gordon, the two members of the Zynga board of directors who were selected by Zynga for appointment to the Take-Two Board pursuant to the Merger Agreement, became members of the Take-Two Board of Directors. The disclosure set forth under Item 5.02 of the Prior Form 8-Ks is hereby incorporated herein by reference.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connection with the Combination, and as previously approved by the stockholders of the Company, on May 20, 2022, the Company amended its Restated Certificate of Incorporation by filing a Certificate of Amendment (the “Amendment”) with the Secretary of State of the State of Delaware to increase to 305,000,000 the number of shares of authorized shares of capital stock, of which 300,000,000 will be Take-Two Common Stock and 5,000,000 will be shares of Company preferred stock. A copy of the Amendment is attached as Exhibit 3.1 hereto and is incorporated by reference herein.</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May 23, 2022, the Company issued a press release announcing, among other things, the consummation of the Combination. A copy of that press release is filed as Exhibit 99.9 to this Current Report and is incorporated by reference herein.</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May 23, 2022, the Company issued a press release announcing, among other things, the Fundamental Change Repurchase Right and the Fundamental Change Conversion Right. A copy of that press release is filed as Exhibit 99.10 to this Current Report and is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Statements Regarding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contains “forward-looking statements” as that term is defined under the Private Securities Litigation Reform Act of 1995 and other securities laws. For these statements, the Company claims the protection of the safe harbor for forward-looking statements contained in Section 27A of the Securities Act of 1933 and Section 21E of the Securities Exchange Act of 1934. These statements are based on current expectations, estimates, or forecasts about our businesses, the industries in which the Company operates, and the current beliefs and assumptions of management; they do not relate strictly to historical or current facts. Without limiting the foregoing, words or phrases such as “expect,” “anticipate,” “goal,” “project,” “intend,” “plan,” “believe,” “seek,” “may,” “could,” “aspire,” and variations of such words and similar expressions generally identify forward-looking statements. In addition, any statements that refer to predictions or projections of our future financial performance, anticipated growth, strategic objectives, performance drivers and trends in the Company’s or Zynga’s business, and other characterizations of future events or circumstances are forward-looking statements. Readers are cautioned that these forward-looking statements are only predictions about future events, activities or developments and are subject to numerous risks, uncertainties, and assumptions that are difficult to predict, including: risks that the Combination disrupts the Company’s or Zynga’s current plans and operations; the diversion of the Company’s or Zynga’s management team from its ongoing business operations; the Company’s or Zynga’s ability to retain key personnel; the Company’s or Zynga’s ability to realize the benefits of the Combination, including net bookings opportunities and cost synergies; the ability to successfully integrate Zynga’s business with Parent’s business or to integrate the businesses within the anticipated timeframe; the outcome of any legal proceedings that may be instituted against the Company or Zynga in connection with the Combination; the uncertainty of the impact of the COVID-19 pandemic and measures taken in response thereto; the effect of economic, market or business conditions, including competition, consumer demand and the discretionary spending patterns of customers, or changes in such conditions, have on our operations, revenue, cash flow, operating expenses, employee hiring and retention, relationships with business partners, the development, launch or monetization of games and other products, and customer engagement, retention and growth; the risks of conducting our business internationally; the impact of changes in interest rates by the Federal Reserve and other central banks; the impact of potential inflation, volatility in foreign currency exchange rates and supply chain disruptions; and the ability to maintain acceptable pricing levels and monetization rates for our games. We caution that undue reliance should not be placed on such forward-looking statements, which speak only as of the date made. Other important factors and information are contained in the Company’s and Zynga’s most recent Annual Reports on Form 10-K, including the risks summarized in the section entitled “Risk Factors,” Zynga’s most recent Quarterly Report on Form 10-Q, and each company’s other periodic filings with the SEC. The Company expressly disclaims any obligation or undertaking to release publicly any updates or revisions to any forward-looking statements contained herein to reflect any change in our expectations with regard thereto or any change in events, conditions or circumstances on which any such statement is based.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97" w:right="459" w:bottom="1440" w:gutter="0" w:footer="0" w:header="0"/>
        </w:sectPr>
      </w:pPr>
    </w:p>
    <w:bookmarkStart w:id="5" w:name="page6"/>
    <w:bookmarkEnd w:id="5"/>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 acquired.</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consolidated financial statements of Zynga as required by this Item 9.01(a) (and the related reports of Zynga’s independent registered public accounting firm referenced in Exhibit 23.1 hereto) are incorporated by reference herein from Zynga’s Annual Report on Form 10-K filed with the SEC on February 25, 2022 and Zynga’s Quarterly Report on Form 10-Q filed with the SEC on May 9,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pro forma financial information as required by this Item 9.01(b) is incorporated by reference herein from Take-Two’s joint proxy statement/prospectus filed by with the SEC on April 7, 2022. Take-Two will update this pro forma financial information as of March 31, 2022 under cover of Form 8-K/A no later than 71 calendar days after the date this Current Report on Form 8-K was required to be filed.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Exhibit</w:t>
            </w: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4"/>
                <w:szCs w:val="14"/>
                <w:b w:val="1"/>
                <w:bCs w:val="1"/>
                <w:i w:val="1"/>
                <w:iCs w:val="1"/>
                <w:color w:val="auto"/>
              </w:rPr>
              <w:t>Number</w:t>
            </w:r>
          </w:p>
        </w:tc>
        <w:tc>
          <w:tcPr>
            <w:tcW w:w="1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40" w:type="dxa"/>
            <w:vAlign w:val="bottom"/>
            <w:gridSpan w:val="4"/>
          </w:tcPr>
          <w:p>
            <w:pPr>
              <w:ind w:left="1260"/>
              <w:spacing w:after="0"/>
              <w:rPr>
                <w:sz w:val="20"/>
                <w:szCs w:val="20"/>
                <w:color w:val="auto"/>
              </w:rPr>
            </w:pPr>
            <w:r>
              <w:rPr>
                <w:rFonts w:ascii="Arial" w:cs="Arial" w:eastAsia="Arial" w:hAnsi="Arial"/>
                <w:sz w:val="14"/>
                <w:szCs w:val="14"/>
                <w:b w:val="1"/>
                <w:bCs w:val="1"/>
                <w:i w:val="1"/>
                <w:iCs w:val="1"/>
                <w:color w:val="auto"/>
              </w:rPr>
              <w:t>Description</w:t>
            </w:r>
          </w:p>
        </w:tc>
      </w:tr>
      <w:tr>
        <w:trPr>
          <w:trHeight w:val="268"/>
        </w:trPr>
        <w:tc>
          <w:tcPr>
            <w:tcW w:w="1020" w:type="dxa"/>
            <w:vAlign w:val="bottom"/>
          </w:tcPr>
          <w:p>
            <w:pPr>
              <w:ind w:left="80"/>
              <w:spacing w:after="0"/>
              <w:rPr>
                <w:sz w:val="20"/>
                <w:szCs w:val="20"/>
                <w:color w:val="auto"/>
              </w:rPr>
            </w:pPr>
            <w:r>
              <w:rPr>
                <w:rFonts w:ascii="Arial" w:cs="Arial" w:eastAsia="Arial" w:hAnsi="Arial"/>
                <w:sz w:val="18"/>
                <w:szCs w:val="18"/>
                <w:color w:val="auto"/>
              </w:rPr>
              <w:t>2.1*</w:t>
            </w:r>
          </w:p>
        </w:tc>
        <w:tc>
          <w:tcPr>
            <w:tcW w:w="9840" w:type="dxa"/>
            <w:vAlign w:val="bottom"/>
            <w:tcBorders>
              <w:bottom w:val="single" w:sz="8" w:color="0000EE"/>
            </w:tcBorders>
            <w:gridSpan w:val="7"/>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Agreement and Plan of Merger, dated as of January 9, 2022, by and among Take-Two Interactive Software, Inc., Zebra MS I, Inc., Zebra</w:t>
              </w:r>
            </w:hyperlink>
          </w:p>
        </w:tc>
      </w:tr>
      <w:tr>
        <w:trPr>
          <w:trHeight w:val="196"/>
        </w:trPr>
        <w:tc>
          <w:tcPr>
            <w:tcW w:w="1020" w:type="dxa"/>
            <w:vAlign w:val="bottom"/>
          </w:tcPr>
          <w:p>
            <w:pPr>
              <w:spacing w:after="0"/>
              <w:rPr>
                <w:sz w:val="17"/>
                <w:szCs w:val="17"/>
                <w:color w:val="auto"/>
              </w:rPr>
            </w:pPr>
          </w:p>
        </w:tc>
        <w:tc>
          <w:tcPr>
            <w:tcW w:w="9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MS II, Inc., and Zynga Inc. (incorporated by reference to Exhibit 2.1 of Take-Two Interactive Software, Inc.’s Current Report on Form</w:t>
              </w:r>
            </w:hyperlink>
          </w:p>
        </w:tc>
        <w:tc>
          <w:tcPr>
            <w:tcW w:w="1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40" w:type="dxa"/>
            <w:vAlign w:val="bottom"/>
            <w:gridSpan w:val="7"/>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8-K dated January 10, 2022).</w:t>
              </w:r>
            </w:hyperlink>
          </w:p>
        </w:tc>
      </w:tr>
      <w:tr>
        <w:trPr>
          <w:trHeight w:val="20"/>
        </w:trPr>
        <w:tc>
          <w:tcPr>
            <w:tcW w:w="10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20" w:type="dxa"/>
            <w:vAlign w:val="bottom"/>
          </w:tcPr>
          <w:p>
            <w:pPr>
              <w:ind w:left="80"/>
              <w:spacing w:after="0"/>
              <w:rPr>
                <w:sz w:val="20"/>
                <w:szCs w:val="20"/>
                <w:color w:val="auto"/>
              </w:rPr>
            </w:pPr>
            <w:r>
              <w:rPr>
                <w:rFonts w:ascii="Arial" w:cs="Arial" w:eastAsia="Arial" w:hAnsi="Arial"/>
                <w:sz w:val="18"/>
                <w:szCs w:val="18"/>
                <w:color w:val="auto"/>
              </w:rPr>
              <w:t>2.2</w:t>
            </w:r>
          </w:p>
        </w:tc>
        <w:tc>
          <w:tcPr>
            <w:tcW w:w="9840" w:type="dxa"/>
            <w:vAlign w:val="bottom"/>
            <w:tcBorders>
              <w:bottom w:val="single" w:sz="8" w:color="0000EE"/>
            </w:tcBorders>
            <w:gridSpan w:val="7"/>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First Amendment to the Agreement and Plan of Merger, by and among Take-Two Interactive Software, Inc., Zebra MS I, Inc., Zebra MS</w:t>
              </w:r>
            </w:hyperlink>
          </w:p>
        </w:tc>
      </w:tr>
      <w:tr>
        <w:trPr>
          <w:trHeight w:val="196"/>
        </w:trPr>
        <w:tc>
          <w:tcPr>
            <w:tcW w:w="1020" w:type="dxa"/>
            <w:vAlign w:val="bottom"/>
          </w:tcPr>
          <w:p>
            <w:pPr>
              <w:spacing w:after="0"/>
              <w:rPr>
                <w:sz w:val="17"/>
                <w:szCs w:val="17"/>
                <w:color w:val="auto"/>
              </w:rPr>
            </w:pPr>
          </w:p>
        </w:tc>
        <w:tc>
          <w:tcPr>
            <w:tcW w:w="93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II, Inc., and Zynga Inc. (incorporated by reference to Exhibit 2.2 of Take-Two Interactive Software, Inc.’s Joint Proxy/Prospectus</w:t>
              </w:r>
            </w:hyperlink>
          </w:p>
        </w:tc>
        <w:tc>
          <w:tcPr>
            <w:tcW w:w="54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40" w:type="dxa"/>
            <w:vAlign w:val="bottom"/>
            <w:gridSpan w:val="7"/>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Statement on Form S-4 dated March 14, 2022).</w:t>
              </w:r>
            </w:hyperlink>
          </w:p>
        </w:tc>
      </w:tr>
      <w:tr>
        <w:trPr>
          <w:trHeight w:val="20"/>
        </w:trPr>
        <w:tc>
          <w:tcPr>
            <w:tcW w:w="10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20" w:type="dxa"/>
            <w:vAlign w:val="bottom"/>
          </w:tcPr>
          <w:p>
            <w:pPr>
              <w:ind w:left="80"/>
              <w:spacing w:after="0"/>
              <w:rPr>
                <w:sz w:val="20"/>
                <w:szCs w:val="20"/>
                <w:color w:val="auto"/>
              </w:rPr>
            </w:pPr>
            <w:r>
              <w:rPr>
                <w:rFonts w:ascii="Arial" w:cs="Arial" w:eastAsia="Arial" w:hAnsi="Arial"/>
                <w:sz w:val="18"/>
                <w:szCs w:val="18"/>
                <w:color w:val="auto"/>
              </w:rPr>
              <w:t>2.2</w:t>
            </w:r>
          </w:p>
        </w:tc>
        <w:tc>
          <w:tcPr>
            <w:tcW w:w="9740" w:type="dxa"/>
            <w:vAlign w:val="bottom"/>
            <w:tcBorders>
              <w:bottom w:val="single" w:sz="8" w:color="0000EE"/>
            </w:tcBorders>
            <w:gridSpan w:val="6"/>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Second Amendment to the Agreement and Plan of Merger, by and among Take-Two Interactive Software, Inc., Zebra MS I, Inc., Zebra</w:t>
              </w:r>
            </w:hyperlink>
          </w:p>
        </w:tc>
        <w:tc>
          <w:tcPr>
            <w:tcW w:w="1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MS II, Inc., and Zynga Inc. (incorporated by reference to Exhibit 2.1 of Take-Two Interactive Software, Inc.’s Current Report on Form</w:t>
              </w:r>
            </w:hyperlink>
          </w:p>
        </w:tc>
        <w:tc>
          <w:tcPr>
            <w:tcW w:w="1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40" w:type="dxa"/>
            <w:vAlign w:val="bottom"/>
            <w:gridSpan w:val="7"/>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8-K dated May 5, 2022).</w:t>
              </w:r>
            </w:hyperlink>
          </w:p>
        </w:tc>
      </w:tr>
      <w:tr>
        <w:trPr>
          <w:trHeight w:val="385"/>
        </w:trPr>
        <w:tc>
          <w:tcPr>
            <w:tcW w:w="1020" w:type="dxa"/>
            <w:vAlign w:val="bottom"/>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7520" w:type="dxa"/>
            <w:vAlign w:val="bottom"/>
            <w:gridSpan w:val="3"/>
          </w:tcPr>
          <w:p>
            <w:pPr>
              <w:jc w:val="right"/>
              <w:ind w:right="4588"/>
              <w:spacing w:after="0"/>
              <w:rPr>
                <w:sz w:val="20"/>
                <w:szCs w:val="20"/>
                <w:color w:val="auto"/>
              </w:rPr>
            </w:pPr>
            <w:r>
              <w:rPr>
                <w:rFonts w:ascii="Arial" w:cs="Arial" w:eastAsia="Arial" w:hAnsi="Arial"/>
                <w:sz w:val="18"/>
                <w:szCs w:val="18"/>
                <w:color w:val="auto"/>
              </w:rPr>
              <w:t>- 6 -</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60"/>
          </w:cols>
          <w:pgMar w:left="440" w:top="297" w:right="599" w:bottom="1440" w:gutter="0" w:footer="0" w:header="0"/>
        </w:sectPr>
      </w:pPr>
    </w:p>
    <w:bookmarkStart w:id="6" w:name="page7"/>
    <w:bookmarkEnd w:id="6"/>
    <w:p>
      <w:pPr>
        <w:ind w:left="8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3.1</w:t>
      </w:r>
      <w:r>
        <w:rPr>
          <w:sz w:val="20"/>
          <w:szCs w:val="20"/>
          <w:color w:val="auto"/>
        </w:rPr>
        <w:tab/>
      </w:r>
      <w:hyperlink w:anchor="page9">
        <w:r>
          <w:rPr>
            <w:rFonts w:ascii="Arial" w:cs="Arial" w:eastAsia="Arial" w:hAnsi="Arial"/>
            <w:sz w:val="16"/>
            <w:szCs w:val="16"/>
            <w:u w:val="single" w:color="auto"/>
            <w:color w:val="0000EE"/>
          </w:rPr>
          <w:t>Certificate of Amendment of Restated Certificate of Incorporation of Take-Two Interactive Software, Inc.</w:t>
        </w:r>
      </w:hyperlink>
    </w:p>
    <w:p>
      <w:pPr>
        <w:spacing w:after="0" w:line="117" w:lineRule="exact"/>
        <w:rPr>
          <w:sz w:val="20"/>
          <w:szCs w:val="20"/>
          <w:color w:val="auto"/>
        </w:rPr>
      </w:pPr>
    </w:p>
    <w:p>
      <w:pPr>
        <w:jc w:val="both"/>
        <w:ind w:left="784" w:right="320" w:hanging="692"/>
        <w:spacing w:after="0" w:line="263"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26">
        <w:r>
          <w:rPr>
            <w:rFonts w:ascii="Arial" w:cs="Arial" w:eastAsia="Arial" w:hAnsi="Arial"/>
            <w:sz w:val="18"/>
            <w:szCs w:val="18"/>
            <w:u w:val="single" w:color="auto"/>
            <w:color w:val="0000EE"/>
          </w:rPr>
          <w:t>First Supplemental Indenture, dated as of May 23, 2022, among Zynga Inc., Take-Two Interactive Software, Inc., Zebra MS II, Inc., and</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Computershare Trust Company, N.A. (incorporated by reference to Exhibit 4.1 of Zynga Inc.’s Current Report on Form 8-K dated as of</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May 23, 2022).</w:t>
        </w:r>
      </w:hyperlink>
    </w:p>
    <w:p>
      <w:pPr>
        <w:spacing w:after="0" w:line="76" w:lineRule="exact"/>
        <w:rPr>
          <w:rFonts w:ascii="Arial" w:cs="Arial" w:eastAsia="Arial" w:hAnsi="Arial"/>
          <w:sz w:val="18"/>
          <w:szCs w:val="18"/>
          <w:u w:val="single" w:color="auto"/>
          <w:color w:val="0000EE"/>
        </w:rPr>
      </w:pPr>
    </w:p>
    <w:p>
      <w:pPr>
        <w:ind w:left="784" w:right="380" w:hanging="692"/>
        <w:spacing w:after="0" w:line="263"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7">
        <w:r>
          <w:rPr>
            <w:rFonts w:ascii="Arial" w:cs="Arial" w:eastAsia="Arial" w:hAnsi="Arial"/>
            <w:sz w:val="18"/>
            <w:szCs w:val="18"/>
            <w:u w:val="single" w:color="auto"/>
            <w:color w:val="0000EE"/>
          </w:rPr>
          <w:t>First Supplemental Indenture, dated as May 23, 2022, among Zynga Inc., Take-Two Interactive Software, Inc., Zebra MS II, Inc. and</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Computershare Trust Company, N.A. (incorporated by reference to Exhibit 4.2 of Zynga Inc.’s Current Report on Form 8-K dated as of</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May 23, 2022).</w:t>
        </w:r>
      </w:hyperlink>
    </w:p>
    <w:p>
      <w:pPr>
        <w:spacing w:after="0" w:line="76" w:lineRule="exact"/>
        <w:rPr>
          <w:rFonts w:ascii="Arial" w:cs="Arial" w:eastAsia="Arial" w:hAnsi="Arial"/>
          <w:sz w:val="18"/>
          <w:szCs w:val="18"/>
          <w:u w:val="single" w:color="auto"/>
          <w:color w:val="0000EE"/>
        </w:rPr>
      </w:pPr>
    </w:p>
    <w:p>
      <w:pPr>
        <w:ind w:left="784" w:right="20" w:hanging="782"/>
        <w:spacing w:after="0" w:line="277"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11">
        <w:r>
          <w:rPr>
            <w:rFonts w:ascii="Arial" w:cs="Arial" w:eastAsia="Arial" w:hAnsi="Arial"/>
            <w:sz w:val="18"/>
            <w:szCs w:val="18"/>
            <w:u w:val="single" w:color="auto"/>
            <w:color w:val="0000EE"/>
          </w:rPr>
          <w:t>Credit Agreement, dated as of May 23, 2022, by and among Take-Two Interactive Software, Inc., JPMorgan Chase Bank, N.A., Wells Fargo</w:t>
        </w:r>
      </w:hyperlink>
      <w:r>
        <w:rPr>
          <w:rFonts w:ascii="Arial" w:cs="Arial" w:eastAsia="Arial" w:hAnsi="Arial"/>
          <w:sz w:val="18"/>
          <w:szCs w:val="18"/>
          <w:u w:val="single" w:color="auto"/>
          <w:color w:val="0000EE"/>
        </w:rPr>
        <w:t xml:space="preserve"> </w:t>
      </w:r>
      <w:hyperlink w:anchor="page11">
        <w:r>
          <w:rPr>
            <w:rFonts w:ascii="Arial" w:cs="Arial" w:eastAsia="Arial" w:hAnsi="Arial"/>
            <w:sz w:val="18"/>
            <w:szCs w:val="18"/>
            <w:u w:val="single" w:color="auto"/>
            <w:color w:val="0000EE"/>
          </w:rPr>
          <w:t>Securities, LLC, BOFA Securities, Inc. and BNP Paribas.</w:t>
        </w:r>
      </w:hyperlink>
    </w:p>
    <w:p>
      <w:pPr>
        <w:spacing w:after="0" w:line="62"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23">
        <w:r>
          <w:rPr>
            <w:rFonts w:ascii="Arial" w:cs="Arial" w:eastAsia="Arial" w:hAnsi="Arial"/>
            <w:sz w:val="16"/>
            <w:szCs w:val="16"/>
            <w:u w:val="single" w:color="auto"/>
            <w:color w:val="0000EE"/>
          </w:rPr>
          <w:t>Consent of Ernst &amp; Young, independent registered public accounting firm of Zynga Inc.</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24">
        <w:r>
          <w:rPr>
            <w:rFonts w:ascii="Arial" w:cs="Arial" w:eastAsia="Arial" w:hAnsi="Arial"/>
            <w:sz w:val="16"/>
            <w:szCs w:val="16"/>
            <w:u w:val="single" w:color="auto"/>
            <w:color w:val="0000EE"/>
          </w:rPr>
          <w:t>Termination Agreement, dated as of May 20, 2022, by and between Zynga Inc. and Goldman Sachs &amp; Co. LLC.</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29">
        <w:r>
          <w:rPr>
            <w:rFonts w:ascii="Arial" w:cs="Arial" w:eastAsia="Arial" w:hAnsi="Arial"/>
            <w:sz w:val="16"/>
            <w:szCs w:val="16"/>
            <w:u w:val="single" w:color="auto"/>
            <w:color w:val="0000EE"/>
          </w:rPr>
          <w:t>Termination Agreement, dated as of May 20, 2022, by and between Zynga Inc. and Morgan Stanley &amp; Co. LLC.</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133">
        <w:r>
          <w:rPr>
            <w:rFonts w:ascii="Arial" w:cs="Arial" w:eastAsia="Arial" w:hAnsi="Arial"/>
            <w:sz w:val="16"/>
            <w:szCs w:val="16"/>
            <w:u w:val="single" w:color="auto"/>
            <w:color w:val="0000EE"/>
          </w:rPr>
          <w:t>Termination Agreement, dated as of May 20, 2022, by and between Zynga Inc. and Bank of America, N.A.</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w:anchor="page137">
        <w:r>
          <w:rPr>
            <w:rFonts w:ascii="Arial" w:cs="Arial" w:eastAsia="Arial" w:hAnsi="Arial"/>
            <w:sz w:val="16"/>
            <w:szCs w:val="16"/>
            <w:u w:val="single" w:color="auto"/>
            <w:color w:val="0000EE"/>
          </w:rPr>
          <w:t>Termination Agreement, dated as of May 20, 2022, by and between Zynga Inc. and Goldman Sachs &amp; Co. LLC.</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99.5</w:t>
      </w:r>
      <w:r>
        <w:rPr>
          <w:sz w:val="20"/>
          <w:szCs w:val="20"/>
          <w:color w:val="auto"/>
        </w:rPr>
        <w:tab/>
      </w:r>
      <w:hyperlink w:anchor="page142">
        <w:r>
          <w:rPr>
            <w:rFonts w:ascii="Arial" w:cs="Arial" w:eastAsia="Arial" w:hAnsi="Arial"/>
            <w:sz w:val="16"/>
            <w:szCs w:val="16"/>
            <w:u w:val="single" w:color="auto"/>
            <w:color w:val="0000EE"/>
          </w:rPr>
          <w:t>Termination Agreement, dated as of May 20, 2022, by and between Zynga Inc. and Barclays Bank PLC.</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99.6</w:t>
      </w:r>
      <w:r>
        <w:rPr>
          <w:sz w:val="20"/>
          <w:szCs w:val="20"/>
          <w:color w:val="auto"/>
        </w:rPr>
        <w:tab/>
      </w:r>
      <w:hyperlink w:anchor="page146">
        <w:r>
          <w:rPr>
            <w:rFonts w:ascii="Arial" w:cs="Arial" w:eastAsia="Arial" w:hAnsi="Arial"/>
            <w:sz w:val="16"/>
            <w:szCs w:val="16"/>
            <w:u w:val="single" w:color="auto"/>
            <w:color w:val="0000EE"/>
          </w:rPr>
          <w:t>Termination Agreement, dated as of May 20, 2022, by and between Zynga Inc. and Deutsche Bank AG, London Branch.</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99.7</w:t>
      </w:r>
      <w:r>
        <w:rPr>
          <w:sz w:val="20"/>
          <w:szCs w:val="20"/>
          <w:color w:val="auto"/>
        </w:rPr>
        <w:tab/>
      </w:r>
      <w:hyperlink w:anchor="page152">
        <w:r>
          <w:rPr>
            <w:rFonts w:ascii="Arial" w:cs="Arial" w:eastAsia="Arial" w:hAnsi="Arial"/>
            <w:sz w:val="16"/>
            <w:szCs w:val="16"/>
            <w:u w:val="single" w:color="auto"/>
            <w:color w:val="0000EE"/>
          </w:rPr>
          <w:t>Termination Agreement, dated as of May 20, 2022, by and between Zynga Inc. and Nomura Global Financial Products Inc.</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99.8</w:t>
      </w:r>
      <w:r>
        <w:rPr>
          <w:sz w:val="20"/>
          <w:szCs w:val="20"/>
          <w:color w:val="auto"/>
        </w:rPr>
        <w:tab/>
      </w:r>
      <w:hyperlink w:anchor="page156">
        <w:r>
          <w:rPr>
            <w:rFonts w:ascii="Arial" w:cs="Arial" w:eastAsia="Arial" w:hAnsi="Arial"/>
            <w:sz w:val="16"/>
            <w:szCs w:val="16"/>
            <w:u w:val="single" w:color="auto"/>
            <w:color w:val="0000EE"/>
          </w:rPr>
          <w:t>Termination Agreement, dated as of May 20, 2022, by and between Zynga and Bank of Montreal.</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99.9</w:t>
      </w:r>
      <w:r>
        <w:rPr>
          <w:sz w:val="20"/>
          <w:szCs w:val="20"/>
          <w:color w:val="auto"/>
        </w:rPr>
        <w:tab/>
      </w:r>
      <w:hyperlink w:anchor="page161">
        <w:r>
          <w:rPr>
            <w:rFonts w:ascii="Arial" w:cs="Arial" w:eastAsia="Arial" w:hAnsi="Arial"/>
            <w:sz w:val="16"/>
            <w:szCs w:val="16"/>
            <w:u w:val="single" w:color="auto"/>
            <w:color w:val="0000EE"/>
          </w:rPr>
          <w:t>Press Release of Take-Two Interactive Software, Inc. dated May 23, 2022.</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99.10</w:t>
      </w:r>
      <w:r>
        <w:rPr>
          <w:sz w:val="20"/>
          <w:szCs w:val="20"/>
          <w:color w:val="auto"/>
        </w:rPr>
        <w:tab/>
      </w:r>
      <w:hyperlink w:anchor="page164">
        <w:r>
          <w:rPr>
            <w:rFonts w:ascii="Arial" w:cs="Arial" w:eastAsia="Arial" w:hAnsi="Arial"/>
            <w:sz w:val="16"/>
            <w:szCs w:val="16"/>
            <w:u w:val="single" w:color="auto"/>
            <w:color w:val="0000EE"/>
          </w:rPr>
          <w:t>Press Release of Take-Two Interactive Software, Inc. dated May 23, 2022.</w:t>
        </w:r>
      </w:hyperlink>
    </w:p>
    <w:p>
      <w:pPr>
        <w:spacing w:after="0" w:line="117" w:lineRule="exact"/>
        <w:rPr>
          <w:sz w:val="20"/>
          <w:szCs w:val="20"/>
          <w:color w:val="auto"/>
        </w:rPr>
      </w:pPr>
    </w:p>
    <w:p>
      <w:pPr>
        <w:ind w:left="4"/>
        <w:spacing w:after="0"/>
        <w:tabs>
          <w:tab w:leader="none" w:pos="7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52" w:lineRule="exact"/>
        <w:rPr>
          <w:sz w:val="20"/>
          <w:szCs w:val="20"/>
          <w:color w:val="auto"/>
        </w:rPr>
      </w:pPr>
    </w:p>
    <w:p>
      <w:pPr>
        <w:ind w:left="224" w:hanging="224"/>
        <w:spacing w:after="0" w:line="263"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have been committed pursuant to Item 601(a)(5) of Regulation S-K. A copy of any omitted schedule will be furnished supplementally to the U.S. Securities and Exchange Commission upon request; provided, however, that the parties may request confidential treatment pursuant to Rule 24b-2 of the Exchange Act for any document so furnished.</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1"/>
          <w:numId w:val="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04"/>
          </w:cols>
          <w:pgMar w:left="436" w:top="301" w:right="5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Breitman</w:t>
            </w:r>
          </w:p>
        </w:tc>
        <w:tc>
          <w:tcPr>
            <w:tcW w:w="0" w:type="dxa"/>
            <w:vAlign w:val="bottom"/>
          </w:tcPr>
          <w:p>
            <w:pPr>
              <w:spacing w:after="0"/>
              <w:rPr>
                <w:sz w:val="1"/>
                <w:szCs w:val="1"/>
                <w:color w:val="auto"/>
              </w:rPr>
            </w:pP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Matthew Breitman</w:t>
            </w:r>
          </w:p>
        </w:tc>
        <w:tc>
          <w:tcPr>
            <w:tcW w:w="0" w:type="dxa"/>
            <w:vAlign w:val="bottom"/>
          </w:tcPr>
          <w:p>
            <w:pPr>
              <w:spacing w:after="0"/>
              <w:rPr>
                <w:sz w:val="1"/>
                <w:szCs w:val="1"/>
                <w:color w:val="auto"/>
              </w:rPr>
            </w:pP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w w:val="96"/>
              </w:rPr>
              <w:t>Senior Vice President, General Counsel Americas &amp; Corporate</w:t>
            </w:r>
          </w:p>
        </w:tc>
        <w:tc>
          <w:tcPr>
            <w:tcW w:w="0" w:type="dxa"/>
            <w:vAlign w:val="bottom"/>
          </w:tcPr>
          <w:p>
            <w:pPr>
              <w:spacing w:after="0"/>
              <w:rPr>
                <w:sz w:val="1"/>
                <w:szCs w:val="1"/>
                <w:color w:val="auto"/>
              </w:rPr>
            </w:pPr>
          </w:p>
        </w:tc>
      </w:tr>
      <w:tr>
        <w:trPr>
          <w:trHeight w:val="230"/>
        </w:trPr>
        <w:tc>
          <w:tcPr>
            <w:tcW w:w="6160" w:type="dxa"/>
            <w:vAlign w:val="bottom"/>
            <w:vMerge w:val="restart"/>
          </w:tcPr>
          <w:p>
            <w:pPr>
              <w:spacing w:after="0"/>
              <w:rPr>
                <w:sz w:val="20"/>
                <w:szCs w:val="20"/>
                <w:color w:val="auto"/>
              </w:rPr>
            </w:pPr>
            <w:r>
              <w:rPr>
                <w:rFonts w:ascii="Arial" w:cs="Arial" w:eastAsia="Arial" w:hAnsi="Arial"/>
                <w:sz w:val="18"/>
                <w:szCs w:val="18"/>
                <w:color w:val="auto"/>
              </w:rPr>
              <w:t>Date: May 25, 2022</w:t>
            </w:r>
          </w:p>
        </w:tc>
        <w:tc>
          <w:tcPr>
            <w:tcW w:w="4860" w:type="dxa"/>
            <w:vAlign w:val="bottom"/>
          </w:tcPr>
          <w:p>
            <w:pPr>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216"/>
        </w:trPr>
        <w:tc>
          <w:tcPr>
            <w:tcW w:w="6160" w:type="dxa"/>
            <w:vAlign w:val="bottom"/>
            <w:vMerge w:val="continue"/>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160" w:type="dxa"/>
            <w:vAlign w:val="bottom"/>
          </w:tcPr>
          <w:p>
            <w:pPr>
              <w:ind w:left="5360"/>
              <w:spacing w:after="0"/>
              <w:rPr>
                <w:sz w:val="20"/>
                <w:szCs w:val="20"/>
                <w:color w:val="auto"/>
              </w:rPr>
            </w:pPr>
            <w:r>
              <w:rPr>
                <w:rFonts w:ascii="Arial" w:cs="Arial" w:eastAsia="Arial" w:hAnsi="Arial"/>
                <w:sz w:val="18"/>
                <w:szCs w:val="18"/>
                <w:color w:val="auto"/>
              </w:rPr>
              <w:t>- 8 -</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General Corporation Law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corporation organized and existing under and by virtue of the General Corporation Law of the State of Delaware does hereby certify:</w:t>
      </w:r>
    </w:p>
    <w:p>
      <w:pPr>
        <w:spacing w:after="0" w:line="244" w:lineRule="exact"/>
        <w:rPr>
          <w:sz w:val="20"/>
          <w:szCs w:val="20"/>
          <w:color w:val="auto"/>
        </w:rPr>
      </w:pPr>
    </w:p>
    <w:p>
      <w:pPr>
        <w:ind w:right="160" w:firstLine="991"/>
        <w:spacing w:after="0" w:line="289" w:lineRule="auto"/>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That at a meeting of the Board of Directors of Take-Two Interactive Software, Inc., resolutions were duly adopted setting forth a</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amendment of the Certificate of Incorporation of said corporation, declaring said amendment to be advisable and calling a meeting of the stockholders of said corporation for consideration thereof. The resolution setting forth the proposed amendment is as follows:</w:t>
      </w:r>
    </w:p>
    <w:p>
      <w:pPr>
        <w:spacing w:after="0" w:line="158"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Restated Certificate of Incorporation of this corporation be amended by deleting all of the text in the first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8.1 of Article VIII and replacing it with the following in substitution therefor:</w:t>
      </w:r>
    </w:p>
    <w:p>
      <w:pPr>
        <w:spacing w:after="0" w:line="166" w:lineRule="exact"/>
        <w:rPr>
          <w:sz w:val="20"/>
          <w:szCs w:val="20"/>
          <w:color w:val="auto"/>
        </w:rPr>
      </w:pPr>
    </w:p>
    <w:p>
      <w:pPr>
        <w:jc w:val="both"/>
        <w:ind w:left="440" w:right="160"/>
        <w:spacing w:after="0" w:line="263"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Three Hundred and Five Million (305,000,000) shares, of which Three Hundred Million (300,000,000) shares shall be Common Stock, par value of $.01 per share, and Five Million (5,000,000) shares shall be Preferred Stock, par value $.01 per share.</w:t>
      </w:r>
    </w:p>
    <w:p>
      <w:pPr>
        <w:spacing w:after="0" w:line="180"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thereafter a special meeting of the stockholders of said corporation was duly called and held upon notice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222 of the General Corporation Law of the State of Delaware at which meeting the necessary number of shares as required by statute were vote in favor of the amendment.</w:t>
      </w:r>
    </w:p>
    <w:p>
      <w:pPr>
        <w:spacing w:after="0" w:line="176"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That said amendment was duly adopted in accordance with the provisions of Section 242 of the General Corporation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w:t>
      </w:r>
    </w:p>
    <w:p>
      <w:pPr>
        <w:sectPr>
          <w:pgSz w:w="11900" w:h="16838" w:orient="portrait"/>
          <w:cols w:equalWidth="0" w:num="1">
            <w:col w:w="11020"/>
          </w:cols>
          <w:pgMar w:left="440" w:top="12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said corporation has caused this certificate to be signed this 20th day of May, 2022.</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TAKE-TWO INTERACTIVE SOFTWARE, INC.</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6"/>
          <w:szCs w:val="16"/>
          <w:color w:val="auto"/>
        </w:rPr>
        <w:t>Title: Senior Vice President, General Counsel</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Americas &amp; Corporate Secretary</w:t>
      </w:r>
    </w:p>
    <w:p>
      <w:pPr>
        <w:sectPr>
          <w:pgSz w:w="11900" w:h="16838" w:orient="portrait"/>
          <w:cols w:equalWidth="0" w:num="1">
            <w:col w:w="9280"/>
          </w:cols>
          <w:pgMar w:left="1420" w:top="270" w:right="11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411480</wp:posOffset>
            </wp:positionV>
            <wp:extent cx="1688465"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6884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May 23, 2022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JPMORGAN CHASE BANK, N.A., WELLS FARGO SECURITIES, LLC, BOFA SECURITIES, INC.</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 BNP PARIBAS,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80" w:type="dxa"/>
            <w:vAlign w:val="bottom"/>
          </w:tcPr>
          <w:p>
            <w:pPr>
              <w:ind w:left="5080"/>
              <w:spacing w:after="0"/>
              <w:rPr>
                <w:sz w:val="20"/>
                <w:szCs w:val="20"/>
                <w:color w:val="auto"/>
              </w:rPr>
            </w:pPr>
            <w:r>
              <w:rPr>
                <w:rFonts w:ascii="Arial" w:cs="Arial" w:eastAsia="Arial" w:hAnsi="Arial"/>
                <w:sz w:val="18"/>
                <w:szCs w:val="18"/>
                <w:color w:val="auto"/>
              </w:rPr>
              <w:t>(continued)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680" w:type="dxa"/>
            <w:vAlign w:val="bottom"/>
            <w:vMerge w:val="restart"/>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30"/>
        </w:trPr>
        <w:tc>
          <w:tcPr>
            <w:tcW w:w="10680" w:type="dxa"/>
            <w:vAlign w:val="bottom"/>
            <w:vMerge w:val="continue"/>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0680" w:type="dxa"/>
            <w:vAlign w:val="bottom"/>
          </w:tcPr>
          <w:p>
            <w:pPr>
              <w:spacing w:after="0"/>
              <w:rPr>
                <w:sz w:val="20"/>
                <w:szCs w:val="20"/>
                <w:color w:val="auto"/>
              </w:rPr>
            </w:pPr>
            <w:r>
              <w:rPr>
                <w:rFonts w:ascii="Arial" w:cs="Arial" w:eastAsia="Arial" w:hAnsi="Arial"/>
                <w:sz w:val="18"/>
                <w:szCs w:val="18"/>
                <w:color w:val="auto"/>
              </w:rPr>
              <w:t>SECTION 1.01. 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1.02. Classification of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1.03. Terms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1.04. Accounting Terms; GAAP; Pro Forma Calculations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1.05. Interest Rates; Benchmark Notification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1.06. Letter of Credit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1.07. Divisions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II The Credits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2.01.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2.02.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2.03. Requests for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2.04. Determination of Dollar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2.05. [Reserved]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2.06. 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2.07. Funding of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2.08. Interest Elections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2.09. Termination and Reduction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2.10. Repayment of Loans; 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2.11. Prepayment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2.12. 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2.13.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2.14. Alternate Rate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2.15. Increased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2.16. Break Funding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2.17. 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2.18. Payments Generally; Pro Rata Treatment; Sharing of Set-offs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2.19. 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2.20. Expansion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2.21. Judgment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2.22. Defaulting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2.23. Extension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III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3.01. Organization; Powers; Subsidiaries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3.02. Authorization;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3.03. Governmental Approvals; No Conflicts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3.04. Financial Condition; No Material Adverse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3.05. Properties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3.06. Litigation, Environmental and Labor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3.07. Compliance with Laws and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3.08. Investment Company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80" w:type="dxa"/>
            <w:vAlign w:val="bottom"/>
          </w:tcPr>
          <w:p>
            <w:pPr>
              <w:ind w:left="5080"/>
              <w:spacing w:after="0"/>
              <w:rPr>
                <w:sz w:val="20"/>
                <w:szCs w:val="20"/>
                <w:color w:val="auto"/>
              </w:rPr>
            </w:pPr>
            <w:r>
              <w:rPr>
                <w:rFonts w:ascii="Arial" w:cs="Arial" w:eastAsia="Arial" w:hAnsi="Arial"/>
                <w:sz w:val="18"/>
                <w:szCs w:val="18"/>
                <w:color w:val="auto"/>
              </w:rPr>
              <w:t>(continued)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0680" w:type="dxa"/>
            <w:vAlign w:val="bottom"/>
            <w:vMerge w:val="restart"/>
          </w:tcPr>
          <w:p>
            <w:pPr>
              <w:spacing w:after="0"/>
              <w:rPr>
                <w:sz w:val="20"/>
                <w:szCs w:val="20"/>
                <w:color w:val="auto"/>
              </w:rPr>
            </w:pPr>
            <w:r>
              <w:rPr>
                <w:rFonts w:ascii="Arial" w:cs="Arial" w:eastAsia="Arial" w:hAnsi="Arial"/>
                <w:sz w:val="18"/>
                <w:szCs w:val="18"/>
                <w:color w:val="auto"/>
              </w:rPr>
              <w:t>SECTION 3.09. Taxes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02"/>
        </w:trPr>
        <w:tc>
          <w:tcPr>
            <w:tcW w:w="1068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3.10. ERISA</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3.11. Disclosure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3.12. Federal Reserve Regulations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3.13. No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3.14. Anti-Corruption Laws and Sanctions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IV Conditions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4.01. Effective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4.02. Each Credit Event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V Affirmative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5.02. Notices of Material Events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5.03. Existence; Conduct of Business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5.04. Payment of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5.05. Maintenance of Properties; 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5.06. Books and Records; Inspection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5.07. Compliance with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5.08. Use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5.09. Post-Closing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6.01. Subsidiary Indebtedness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6.02. 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6.03. Sale and Leaseback Transactions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6.04. Fundamental Changes and Asset Sales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6.05. Financial Covenant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VII 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VIII The Administrative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SECTION 9.01. 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9.02. Waivers; Amendments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9.03. Expenses; Limitation of Liability; Indemnity;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9.04. 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9.05. Survival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SECTION 9.07. 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SECTION 9.08. Right of Setoff</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640" w:type="dxa"/>
            <w:vAlign w:val="bottom"/>
            <w:vMerge w:val="restart"/>
          </w:tcPr>
          <w:p>
            <w:pPr>
              <w:spacing w:after="0"/>
              <w:rPr>
                <w:sz w:val="20"/>
                <w:szCs w:val="20"/>
                <w:color w:val="auto"/>
              </w:rPr>
            </w:pPr>
            <w:r>
              <w:rPr>
                <w:rFonts w:ascii="Arial" w:cs="Arial" w:eastAsia="Arial" w:hAnsi="Arial"/>
                <w:sz w:val="18"/>
                <w:szCs w:val="18"/>
                <w:color w:val="auto"/>
              </w:rPr>
              <w:t>SECTION 9.09. Governing Law; Jurisdiction; Consent to Service of Process</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202"/>
        </w:trPr>
        <w:tc>
          <w:tcPr>
            <w:tcW w:w="10640" w:type="dxa"/>
            <w:vAlign w:val="bottom"/>
            <w:vMerge w:val="continue"/>
          </w:tcPr>
          <w:p>
            <w:pPr>
              <w:spacing w:after="0"/>
              <w:rPr>
                <w:sz w:val="17"/>
                <w:szCs w:val="17"/>
                <w:color w:val="auto"/>
              </w:rPr>
            </w:pPr>
          </w:p>
        </w:tc>
        <w:tc>
          <w:tcPr>
            <w:tcW w:w="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SECTION 9.10. WAIVER OF JURY TRIAL</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SECTION 9.11. Headings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SECTION 9.12. Confidentiality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SECTION 9.13. USA PATRIOT Act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SECTION 9.14. Interest Rate Limitation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SECTION 9.15. No Advisory or Fiduciary Responsibility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SECTION 9.16. Acknowledgement and Consent to Bail-In of Affected Financial Institutions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SECTION 9.17. Certain ERISA Matters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10640" w:type="dxa"/>
            <w:vAlign w:val="bottom"/>
          </w:tcPr>
          <w:p>
            <w:pPr>
              <w:spacing w:after="0"/>
              <w:rPr>
                <w:sz w:val="20"/>
                <w:szCs w:val="20"/>
                <w:color w:val="auto"/>
              </w:rPr>
            </w:pPr>
            <w:r>
              <w:rPr>
                <w:rFonts w:ascii="Arial" w:cs="Arial" w:eastAsia="Arial" w:hAnsi="Arial"/>
                <w:sz w:val="18"/>
                <w:szCs w:val="18"/>
                <w:color w:val="auto"/>
              </w:rPr>
              <w:t>SECTION 9.18. Acknowledgement Regarding Any Supported QFCs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auto"/>
        </w:rPr>
        <w:t>Page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Schedule 2.01 –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2.06 – 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3.01 – Organization; Powers;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3.03 – Governmental Approvals; No Conflicts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6.01 – 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6.02 – Existing Liens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Assignment and Assumption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Increasing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Augmenting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List of Closing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F-1 – Form of U.S. Tax Certificate (Foreign Lenders That Are Not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F-2 – Form of U.S. Tax Certificate (Foreign Participants That Are Not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F-3 – Form of U.S. Tax Certificate (Foreign Participants That Are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F-4 – Form of U.S. Tax Certificate (Foreign Lenders That Are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G-1 – Form of Borrowing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G-2 – Form of Interest Election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 – Form of Note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4" w:right="439" w:bottom="1440" w:gutter="0" w:footer="0" w:header="0"/>
        </w:sectPr>
      </w:pPr>
    </w:p>
    <w:bookmarkStart w:id="15" w:name="page16"/>
    <w:bookmarkEnd w:id="15"/>
    <w:p>
      <w:pPr>
        <w:ind w:left="4" w:right="4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23, 2022 among TAKE-TWO INTERACTIVE SOFTWARE, INC., the LENDERS from time to time party hereto, and JPMORGAN CHASE BANK, N.A. (“</w:t>
      </w:r>
      <w:r>
        <w:rPr>
          <w:rFonts w:ascii="Arial" w:cs="Arial" w:eastAsia="Arial" w:hAnsi="Arial"/>
          <w:sz w:val="18"/>
          <w:szCs w:val="18"/>
          <w:u w:val="single" w:color="auto"/>
          <w:color w:val="auto"/>
        </w:rPr>
        <w:t>JPMCB</w:t>
      </w:r>
      <w:r>
        <w:rPr>
          <w:rFonts w:ascii="Arial" w:cs="Arial" w:eastAsia="Arial" w:hAnsi="Arial"/>
          <w:sz w:val="18"/>
          <w:szCs w:val="18"/>
          <w:color w:val="auto"/>
        </w:rPr>
        <w:t>”), as Administrative Agent.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parties hereto agree as follows:</w:t>
      </w: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ARTICLE I</w:t>
      </w: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a Loan, or the Loans comprising such Borrowing, bearing interest at a rate determined by reference to the Alternate Base Rate.</w:t>
      </w:r>
    </w:p>
    <w:p>
      <w:pPr>
        <w:spacing w:after="0" w:line="170"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EBITDA</w:t>
      </w:r>
      <w:r>
        <w:rPr>
          <w:rFonts w:ascii="Arial" w:cs="Arial" w:eastAsia="Arial" w:hAnsi="Arial"/>
          <w:sz w:val="18"/>
          <w:szCs w:val="18"/>
          <w:color w:val="auto"/>
        </w:rPr>
        <w:t>” means with respect to any Acquired Entity or Business for any period, the amount for such period of Consolidated Adjusted EBITDA of such Acquired Entity or Business (determined as if references to the Borrower and the Subsidiaries in the definition of the term “Consolidated Adjusted EBITDA” (and in the component financial definitions used therein) were references to such Acquired Entity or Business and its subsidiaries that will become Subsidiaries), on a consolidated basis for such Acquired Entity or Business in accordance with GAAP as determined in good faith by the Borrower.</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has the meaning assigned to such term in the definition of “Consolidated Adjusted EBITDA”.</w:t>
      </w:r>
    </w:p>
    <w:p>
      <w:pPr>
        <w:spacing w:after="0" w:line="225"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CDOR Rate</w:t>
      </w:r>
      <w:r>
        <w:rPr>
          <w:rFonts w:ascii="Arial" w:cs="Arial" w:eastAsia="Arial" w:hAnsi="Arial"/>
          <w:sz w:val="18"/>
          <w:szCs w:val="18"/>
          <w:color w:val="auto"/>
        </w:rPr>
        <w:t xml:space="preserve">” means, with respect to any Term Benchmark Borrowing denominated in Canadian Dollars for any Interest Period, an interest rate per annum equal to (a) the CDOR Screen Rate for such Interest Period multiplied by (b) the Statutory 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CDOR Rate as so determined would be less than the Floor, such rate shall be deemed to be equal to the Floor for the purposes of this Agreement.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Daily Simple RFR</w:t>
      </w:r>
      <w:r>
        <w:rPr>
          <w:rFonts w:ascii="Arial" w:cs="Arial" w:eastAsia="Arial" w:hAnsi="Arial"/>
          <w:sz w:val="16"/>
          <w:szCs w:val="16"/>
          <w:color w:val="auto"/>
        </w:rPr>
        <w:t>” means, (i) with respect to any RFR Borrowing denominated in Sterling, an interest rate per annum equal to</w:t>
      </w:r>
    </w:p>
    <w:p>
      <w:pPr>
        <w:spacing w:after="0" w:line="46" w:lineRule="exact"/>
        <w:rPr>
          <w:sz w:val="20"/>
          <w:szCs w:val="20"/>
          <w:color w:val="auto"/>
        </w:rPr>
      </w:pPr>
    </w:p>
    <w:p>
      <w:pPr>
        <w:ind w:left="4" w:hanging="4"/>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Daily Simple RFR for Sterling,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(b) 0.0326% and (ii) with respect to any RFR Borrowing denominated in Dollars, an interest rate per annum equal to (a) the Daily Simple RFR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0.10%;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Daily Simple RFR Rate as so determined would be less than the Floor, such rate shall be deemed to be equal to the Floor for the purposes of this Agreement.</w:t>
      </w:r>
    </w:p>
    <w:p>
      <w:pPr>
        <w:spacing w:after="0" w:line="190" w:lineRule="exact"/>
        <w:rPr>
          <w:sz w:val="20"/>
          <w:szCs w:val="20"/>
          <w:color w:val="auto"/>
        </w:rPr>
      </w:pPr>
    </w:p>
    <w:p>
      <w:pPr>
        <w:ind w:left="4" w:right="3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 Rate</w:t>
      </w:r>
      <w:r>
        <w:rPr>
          <w:rFonts w:ascii="Arial" w:cs="Arial" w:eastAsia="Arial" w:hAnsi="Arial"/>
          <w:sz w:val="18"/>
          <w:szCs w:val="18"/>
          <w:color w:val="auto"/>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87" w:lineRule="exact"/>
        <w:rPr>
          <w:sz w:val="20"/>
          <w:szCs w:val="20"/>
          <w:color w:val="auto"/>
        </w:rPr>
      </w:pPr>
    </w:p>
    <w:p>
      <w:pPr>
        <w:jc w:val="both"/>
        <w:ind w:left="4"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Term SOFR Rate</w:t>
      </w:r>
      <w:r>
        <w:rPr>
          <w:rFonts w:ascii="Arial" w:cs="Arial" w:eastAsia="Arial" w:hAnsi="Arial"/>
          <w:sz w:val="16"/>
          <w:szCs w:val="16"/>
          <w:color w:val="auto"/>
        </w:rPr>
        <w:t xml:space="preserve">” means, with respect to any Term Benchmark Borrowing denominated in Dollars for any Interest Period, an interest rate per annum equal to (a) the Term SOFR Rate for such Interest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(b) 0.10%;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Term SOFR Rate as so determined would be less than the Floor, such rate shall be deemed to be equal to the Floor for the purposes of this Agreement.</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4" w:right="459" w:bottom="1440" w:gutter="0" w:footer="0" w:header="0"/>
        </w:sectPr>
      </w:pPr>
    </w:p>
    <w:bookmarkStart w:id="16" w:name="page17"/>
    <w:bookmarkEnd w:id="16"/>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(including its branches and affiliates), in its capacity as administrative agent for the Lenders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has the meaning assigned to it in Section 9.03(b).</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of the Lenders, as reduced or increased from time to time pursuant to the terms and conditions hereof. As of the Effective Date, the Aggregate Commitment is $500,000,000.</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(ii) Euro, (iii) Pounds Sterling, (iv) Canadian Dollars and (v) any additional currencies determined after the Effective Date by mutual agreement of the Borrower, the Lenders, the Issuing Banks and the Administrative Agent (each, an “</w:t>
      </w:r>
      <w:r>
        <w:rPr>
          <w:rFonts w:ascii="Arial" w:cs="Arial" w:eastAsia="Arial" w:hAnsi="Arial"/>
          <w:sz w:val="18"/>
          <w:szCs w:val="18"/>
          <w:u w:val="single" w:color="auto"/>
          <w:color w:val="auto"/>
        </w:rPr>
        <w:t>Agreed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currency is a lawful currency that is readily available, freely transferable and not restricted and able to be converted into Dollars.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introductory paragraph hereof.</w:t>
      </w:r>
    </w:p>
    <w:p>
      <w:pPr>
        <w:spacing w:after="0" w:line="225" w:lineRule="exact"/>
        <w:rPr>
          <w:sz w:val="20"/>
          <w:szCs w:val="20"/>
          <w:color w:val="auto"/>
        </w:rPr>
      </w:pPr>
    </w:p>
    <w:p>
      <w:pPr>
        <w:ind w:right="40" w:firstLine="991"/>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NYFRB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 and (c) the Adjusted Term SOFR Rate for a one month Interest Period as published two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it in Section 9.06(b).</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7" w:name="page18"/>
    <w:bookmarkEnd w:id="17"/>
    <w:p>
      <w:pPr>
        <w:jc w:val="both"/>
        <w:ind w:right="4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all laws, rules, and regulations of any jurisdiction applicable to the Borrower or its Subsidiaries from time to time concerning or relating to bribery or corruption, including, as applicable, (i) the United States Foreign Corrupt Practices Act of 1977, as amended, and the rules and regulations thereunder and (ii) the U.K. Bribery Act 2010, as amended, and the rules and regulations thereunder.</w:t>
      </w:r>
    </w:p>
    <w:p>
      <w:pPr>
        <w:spacing w:after="0" w:line="165"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the percentage of the Aggregate Commitment represented by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Section 2.22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76" w:lineRule="exact"/>
        <w:rPr>
          <w:sz w:val="20"/>
          <w:szCs w:val="20"/>
          <w:color w:val="auto"/>
        </w:rPr>
      </w:pPr>
    </w:p>
    <w:p>
      <w:pPr>
        <w:ind w:right="30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for any day, with respect to any Term Benchmark Loan, RFR Loan or any ABR Loan or with respect to the commitment fees payable hereunder, as the case may be, the applicable rate per annum set forth below under the caption “Term Benchmark Spread”, “RFR Spread”, “ABR Spread” or “Commitment Fee Rate”, as the case may be, based upon the Credit Rating applicable on such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Term</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8"/>
        </w:trPr>
        <w:tc>
          <w:tcPr>
            <w:tcW w:w="8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Credit Ratings</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Benchmark</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RFR</w:t>
            </w: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ABR</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Commitment</w:t>
            </w:r>
          </w:p>
        </w:tc>
      </w:tr>
      <w:tr>
        <w:trPr>
          <w:trHeight w:val="167"/>
        </w:trPr>
        <w:tc>
          <w:tcPr>
            <w:tcW w:w="800" w:type="dxa"/>
            <w:vAlign w:val="bottom"/>
            <w:tcBorders>
              <w:bottom w:val="single" w:sz="8" w:color="CCEEFF"/>
            </w:tcBorders>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8"/>
              </w:rPr>
              <w:t>(Moody’s/S&amp;P):</w:t>
            </w: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Spread</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88"/>
              </w:rPr>
              <w:t>Spread</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Spread</w:t>
            </w:r>
          </w:p>
        </w:tc>
        <w:tc>
          <w:tcPr>
            <w:tcW w:w="4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Fee Rate</w:t>
            </w:r>
          </w:p>
        </w:tc>
        <w:tc>
          <w:tcPr>
            <w:tcW w:w="220" w:type="dxa"/>
            <w:vAlign w:val="bottom"/>
            <w:tcBorders>
              <w:bottom w:val="single" w:sz="8" w:color="CCEEFF"/>
            </w:tcBorders>
          </w:tcPr>
          <w:p>
            <w:pPr>
              <w:spacing w:after="0"/>
              <w:rPr>
                <w:sz w:val="14"/>
                <w:szCs w:val="14"/>
                <w:color w:val="auto"/>
              </w:rPr>
            </w:pPr>
          </w:p>
        </w:tc>
      </w:tr>
      <w:tr>
        <w:trPr>
          <w:trHeight w:val="156"/>
        </w:trPr>
        <w:tc>
          <w:tcPr>
            <w:tcW w:w="574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color w:val="auto"/>
              </w:rPr>
              <w:t>Category 1:</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A3/A-</w:t>
            </w: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6"/>
                <w:szCs w:val="16"/>
                <w:color w:val="auto"/>
              </w:rPr>
              <w:t>1.000%</w:t>
            </w:r>
          </w:p>
        </w:tc>
        <w:tc>
          <w:tcPr>
            <w:tcW w:w="92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6"/>
                <w:szCs w:val="16"/>
                <w:color w:val="auto"/>
              </w:rPr>
              <w:t>1.000%</w:t>
            </w:r>
          </w:p>
        </w:tc>
        <w:tc>
          <w:tcPr>
            <w:tcW w:w="9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6"/>
                <w:szCs w:val="16"/>
                <w:color w:val="auto"/>
              </w:rPr>
              <w:t>0.0%</w:t>
            </w:r>
          </w:p>
        </w:tc>
        <w:tc>
          <w:tcPr>
            <w:tcW w:w="9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rPr>
              <w:t>0.075%</w:t>
            </w:r>
          </w:p>
        </w:tc>
      </w:tr>
      <w:tr>
        <w:trPr>
          <w:trHeight w:val="34"/>
        </w:trPr>
        <w:tc>
          <w:tcPr>
            <w:tcW w:w="800" w:type="dxa"/>
            <w:vAlign w:val="bottom"/>
            <w:tcBorders>
              <w:top w:val="single" w:sz="8" w:color="auto"/>
            </w:tcBorders>
            <w:shd w:val="clear" w:color="auto" w:fill="CCEEFF"/>
          </w:tcPr>
          <w:p>
            <w:pPr>
              <w:spacing w:after="0"/>
              <w:rPr>
                <w:sz w:val="2"/>
                <w:szCs w:val="2"/>
                <w:color w:val="auto"/>
              </w:rPr>
            </w:pPr>
          </w:p>
        </w:tc>
        <w:tc>
          <w:tcPr>
            <w:tcW w:w="4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r>
        <w:trPr>
          <w:trHeight w:val="175"/>
        </w:trPr>
        <w:tc>
          <w:tcPr>
            <w:tcW w:w="5740" w:type="dxa"/>
            <w:vAlign w:val="bottom"/>
            <w:gridSpan w:val="2"/>
          </w:tcPr>
          <w:p>
            <w:pPr>
              <w:spacing w:after="0" w:line="176" w:lineRule="exact"/>
              <w:rPr>
                <w:sz w:val="20"/>
                <w:szCs w:val="20"/>
                <w:color w:val="auto"/>
              </w:rPr>
            </w:pPr>
            <w:r>
              <w:rPr>
                <w:rFonts w:ascii="Arial" w:cs="Arial" w:eastAsia="Arial" w:hAnsi="Arial"/>
                <w:sz w:val="18"/>
                <w:szCs w:val="18"/>
                <w:color w:val="auto"/>
              </w:rPr>
              <w:t>Category 2:</w:t>
            </w:r>
          </w:p>
        </w:tc>
        <w:tc>
          <w:tcPr>
            <w:tcW w:w="120" w:type="dxa"/>
            <w:vAlign w:val="bottom"/>
          </w:tcPr>
          <w:p>
            <w:pPr>
              <w:spacing w:after="0"/>
              <w:rPr>
                <w:sz w:val="15"/>
                <w:szCs w:val="15"/>
                <w:color w:val="auto"/>
              </w:rPr>
            </w:pPr>
          </w:p>
        </w:tc>
        <w:tc>
          <w:tcPr>
            <w:tcW w:w="120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w w:val="91"/>
              </w:rPr>
              <w:t>Baa1/BBB+</w:t>
            </w:r>
          </w:p>
        </w:tc>
        <w:tc>
          <w:tcPr>
            <w:tcW w:w="114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1.125%</w:t>
            </w: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1.125%</w:t>
            </w:r>
          </w:p>
        </w:tc>
        <w:tc>
          <w:tcPr>
            <w:tcW w:w="92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w w:val="98"/>
              </w:rPr>
              <w:t>0.125%</w:t>
            </w:r>
          </w:p>
        </w:tc>
        <w:tc>
          <w:tcPr>
            <w:tcW w:w="9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0.125%</w:t>
            </w:r>
          </w:p>
        </w:tc>
      </w:tr>
      <w:tr>
        <w:trPr>
          <w:trHeight w:val="21"/>
        </w:trPr>
        <w:tc>
          <w:tcPr>
            <w:tcW w:w="80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5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3:</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8"/>
                <w:szCs w:val="18"/>
                <w:color w:val="auto"/>
              </w:rPr>
              <w:t>Baa2/BBB</w:t>
            </w:r>
          </w:p>
        </w:tc>
        <w:tc>
          <w:tcPr>
            <w:tcW w:w="114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1.250%</w:t>
            </w:r>
          </w:p>
        </w:tc>
        <w:tc>
          <w:tcPr>
            <w:tcW w:w="9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1.250%</w:t>
            </w:r>
          </w:p>
        </w:tc>
        <w:tc>
          <w:tcPr>
            <w:tcW w:w="92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w w:val="98"/>
              </w:rPr>
              <w:t>0.250%</w:t>
            </w:r>
          </w:p>
        </w:tc>
        <w:tc>
          <w:tcPr>
            <w:tcW w:w="9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0.175%</w:t>
            </w:r>
          </w:p>
        </w:tc>
      </w:tr>
      <w:tr>
        <w:trPr>
          <w:trHeight w:val="21"/>
        </w:trPr>
        <w:tc>
          <w:tcPr>
            <w:tcW w:w="800" w:type="dxa"/>
            <w:vAlign w:val="bottom"/>
            <w:tcBorders>
              <w:top w:val="single" w:sz="8" w:color="auto"/>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740" w:type="dxa"/>
            <w:vAlign w:val="bottom"/>
            <w:gridSpan w:val="2"/>
          </w:tcPr>
          <w:p>
            <w:pPr>
              <w:spacing w:after="0" w:line="176" w:lineRule="exact"/>
              <w:rPr>
                <w:sz w:val="20"/>
                <w:szCs w:val="20"/>
                <w:color w:val="auto"/>
              </w:rPr>
            </w:pPr>
            <w:r>
              <w:rPr>
                <w:rFonts w:ascii="Arial" w:cs="Arial" w:eastAsia="Arial" w:hAnsi="Arial"/>
                <w:sz w:val="18"/>
                <w:szCs w:val="18"/>
                <w:color w:val="auto"/>
              </w:rPr>
              <w:t>Category 4:</w:t>
            </w:r>
          </w:p>
        </w:tc>
        <w:tc>
          <w:tcPr>
            <w:tcW w:w="120" w:type="dxa"/>
            <w:vAlign w:val="bottom"/>
          </w:tcPr>
          <w:p>
            <w:pPr>
              <w:spacing w:after="0"/>
              <w:rPr>
                <w:sz w:val="15"/>
                <w:szCs w:val="15"/>
                <w:color w:val="auto"/>
              </w:rPr>
            </w:pPr>
          </w:p>
        </w:tc>
        <w:tc>
          <w:tcPr>
            <w:tcW w:w="120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w w:val="96"/>
              </w:rPr>
              <w:t>Baa3/BBB-</w:t>
            </w:r>
          </w:p>
        </w:tc>
        <w:tc>
          <w:tcPr>
            <w:tcW w:w="114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1.375%</w:t>
            </w: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1.375%</w:t>
            </w:r>
          </w:p>
        </w:tc>
        <w:tc>
          <w:tcPr>
            <w:tcW w:w="92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w w:val="98"/>
              </w:rPr>
              <w:t>0.375%</w:t>
            </w:r>
          </w:p>
        </w:tc>
        <w:tc>
          <w:tcPr>
            <w:tcW w:w="9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0.225%</w:t>
            </w: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5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Category 5:</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8"/>
                <w:szCs w:val="18"/>
                <w:color w:val="auto"/>
                <w:w w:val="98"/>
              </w:rPr>
              <w:t>&lt; Ba1/BB+</w:t>
            </w:r>
          </w:p>
        </w:tc>
        <w:tc>
          <w:tcPr>
            <w:tcW w:w="114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1.625%</w:t>
            </w:r>
          </w:p>
        </w:tc>
        <w:tc>
          <w:tcPr>
            <w:tcW w:w="9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1.625%</w:t>
            </w:r>
          </w:p>
        </w:tc>
        <w:tc>
          <w:tcPr>
            <w:tcW w:w="92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w w:val="98"/>
              </w:rPr>
              <w:t>0.625%</w:t>
            </w:r>
          </w:p>
        </w:tc>
        <w:tc>
          <w:tcPr>
            <w:tcW w:w="9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0.275%</w:t>
            </w: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For purposes of the foregoing, (x) if the Credit Rating established or deemed to have been established by Moody’s and S&amp;P shall fall within different Categories, the Commitment Fee Rate, Term Benchmark Spread, RFR Spread and ABR Spread shall each be based on the Category in which the higher rating falls;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there is a split in Credit Rating of more than one Category, the Category that is one level lower than the Category of the higher Credit Rating shall apply, (y) if the Borrower does not have any Credit Rating, Category 5 shall apply and (z) if the Credit Rating established or deemed to have been established by Moody’s or S&amp;P shall be changed (other than as a result of a change in the rating system of Moody’s or S&amp;P), such change shall be effective on the earlier of the date on which such change is publicly announced and the date on which the Borrower or any of its Subsidiaries receives written notice of such change. Each change in the Commitment Fee Rate, Term Benchmark Spread, RFR Spread and ABR Spread shall apply during the period commencing on the effective date of such change and ending on the date immediately preceding the effective date of the next such change.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8" w:name="page19"/>
    <w:bookmarkEnd w:id="18"/>
    <w:p>
      <w:pPr>
        <w:jc w:val="both"/>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rating system of Moody’s or S&amp;P shall change, or if either rating agency shall cease to be in the business of providing issuer or long-term debt ratings, as the case may be, the Borrower and the Administrative Agent shall negotiate in good faith to amend this definition of “Applicable Rate” to reflect such changed rating system or the unavailability of ratings from such rating agency and, pending the effectiveness of any such amendment, the Commitment Fee Rate, Term Benchmark Spread, RFR Spread and ABR Spread shall each be based on the ratings most recently in effect prior to such changes or cessations.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Initially, as of the Effective Date, the Applicable Rate shall be based upon the Credit Ratings applicable to Category 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it in Section 9.01(d).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each of JPMorgan Chase Bank, N.A., Wells Fargo Securities, LLC, BofA Securities, Inc. and BNP Paribas, in each case in its capacity as joint lead arranger and joint bookrunner hereunder.</w:t>
      </w:r>
    </w:p>
    <w:p>
      <w:pPr>
        <w:spacing w:after="0" w:line="170"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records generated by the use of an electronic platform) approved by the Administrative Agent.</w:t>
      </w:r>
    </w:p>
    <w:p>
      <w:pPr>
        <w:spacing w:after="0" w:line="16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means, with respect to any Sale and Leaseback Transaction, the present value (discounted at the rate set forth or implicit in the terms of the lease included in such Sale and 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 and Leaseback Transaction (including any period for which such lease has been extended). In the case of any lease that is terminable by the lessee upon payment of a penalty, the Attributable Debt shall be the lesser of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or the Attributable Debt determined assuming no such termination.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has the meaning assigned to such term in Section 3.04(a).</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means, at any time with respect to any Lender, the Commitment of such Lender then in effect minus the Revolving Credit Exposure of such Lender at such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 w:name="page20"/>
    <w:bookmarkEnd w:id="19"/>
    <w:p>
      <w:pPr>
        <w:ind w:right="6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6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the Borrower or any Subsidiary by any Lender or any of its Affiliates: (a) credit cards for commercial customers (including, without limitation, commercial credit cards and purchasing cards), (b) stored value cards and (c) treasury management services (including, without limitation, controlled disbursement, automated clearinghouse transactions, return items, overdrafts and interstate depository network services).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Agreement</w:t>
      </w:r>
      <w:r>
        <w:rPr>
          <w:rFonts w:ascii="Arial" w:cs="Arial" w:eastAsia="Arial" w:hAnsi="Arial"/>
          <w:sz w:val="17"/>
          <w:szCs w:val="17"/>
          <w:color w:val="auto"/>
        </w:rPr>
        <w:t>” means any agreement entered into by the Borrower or any Subsidiary in connection with Banking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8"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with respect to any (i) Term Benchmark Loan for any Agreed Currency, the applicable Relevant Rate for such Agreed Currency or (ii) RFR Loan in any Agreed Currency, the applicable Relevant Rate for any Agreed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and the related Benchmark Replacement Date have occurred with respect to the applicable Relevant Rate or the then-current Benchmark for any Agreed Currency, then “Benchmark” means the applicable Benchmark Replacement to the extent that such Benchmark Replacement has replaced such prior benchmark rate pursuant to clause (b) of Section 2.14.</w:t>
      </w:r>
    </w:p>
    <w:p>
      <w:pPr>
        <w:spacing w:after="0" w:line="188"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Loan denominated in a Foreign Currency, “Benchmark Replacement” shall mean the alternative set forth in (2)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0" w:name="page21"/>
    <w:bookmarkEnd w:id="20"/>
    <w:p>
      <w:pPr>
        <w:ind w:left="1240" w:hanging="25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Loan denominated in Dollars, the Adjusted Daily Simple SOFR;</w:t>
      </w:r>
    </w:p>
    <w:p>
      <w:pPr>
        <w:spacing w:after="0" w:line="117" w:lineRule="exact"/>
        <w:rPr>
          <w:rFonts w:ascii="Arial" w:cs="Arial" w:eastAsia="Arial" w:hAnsi="Arial"/>
          <w:sz w:val="18"/>
          <w:szCs w:val="18"/>
          <w:color w:val="auto"/>
        </w:rPr>
      </w:pPr>
    </w:p>
    <w:p>
      <w:pPr>
        <w:ind w:right="40" w:firstLine="987"/>
        <w:spacing w:after="0" w:line="296" w:lineRule="auto"/>
        <w:tabs>
          <w:tab w:leader="none" w:pos="12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61" w:lineRule="exact"/>
        <w:rPr>
          <w:sz w:val="20"/>
          <w:szCs w:val="20"/>
          <w:color w:val="auto"/>
        </w:rPr>
      </w:pPr>
    </w:p>
    <w:p>
      <w:pPr>
        <w:ind w:right="940" w:firstLine="991"/>
        <w:spacing w:after="0" w:line="308" w:lineRule="auto"/>
        <w:rPr>
          <w:sz w:val="20"/>
          <w:szCs w:val="20"/>
          <w:color w:val="auto"/>
        </w:rPr>
      </w:pPr>
      <w:r>
        <w:rPr>
          <w:rFonts w:ascii="Arial" w:cs="Arial" w:eastAsia="Arial" w:hAnsi="Arial"/>
          <w:sz w:val="17"/>
          <w:szCs w:val="17"/>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46"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8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1" w:name="page22"/>
    <w:bookmarkEnd w:id="21"/>
    <w:p>
      <w:pPr>
        <w:ind w:right="240" w:firstLine="987"/>
        <w:spacing w:after="0" w:line="311" w:lineRule="auto"/>
        <w:tabs>
          <w:tab w:leader="none" w:pos="1246"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40" w:lineRule="exact"/>
        <w:rPr>
          <w:rFonts w:ascii="Arial" w:cs="Arial" w:eastAsia="Arial" w:hAnsi="Arial"/>
          <w:sz w:val="16"/>
          <w:szCs w:val="16"/>
          <w:color w:val="auto"/>
        </w:rPr>
      </w:pPr>
    </w:p>
    <w:p>
      <w:pPr>
        <w:ind w:right="60" w:firstLine="987"/>
        <w:spacing w:after="0" w:line="257"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8"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62" w:lineRule="exact"/>
        <w:rPr>
          <w:sz w:val="20"/>
          <w:szCs w:val="20"/>
          <w:color w:val="auto"/>
        </w:rPr>
      </w:pPr>
    </w:p>
    <w:p>
      <w:pPr>
        <w:ind w:right="80" w:firstLine="987"/>
        <w:spacing w:after="0" w:line="259" w:lineRule="auto"/>
        <w:tabs>
          <w:tab w:leader="none" w:pos="1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8" w:lineRule="exact"/>
        <w:rPr>
          <w:rFonts w:ascii="Arial" w:cs="Arial" w:eastAsia="Arial" w:hAnsi="Arial"/>
          <w:sz w:val="18"/>
          <w:szCs w:val="18"/>
          <w:color w:val="auto"/>
        </w:rPr>
      </w:pPr>
    </w:p>
    <w:p>
      <w:pPr>
        <w:ind w:firstLine="987"/>
        <w:spacing w:after="0" w:line="271" w:lineRule="auto"/>
        <w:tabs>
          <w:tab w:leader="none" w:pos="1246"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the Federal Reserve Board, the NYFRB, the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70" w:lineRule="exact"/>
        <w:rPr>
          <w:rFonts w:ascii="Arial" w:cs="Arial" w:eastAsia="Arial" w:hAnsi="Arial"/>
          <w:sz w:val="17"/>
          <w:szCs w:val="17"/>
          <w:color w:val="auto"/>
        </w:rPr>
      </w:pPr>
    </w:p>
    <w:p>
      <w:pPr>
        <w:ind w:firstLine="987"/>
        <w:spacing w:after="0" w:line="263" w:lineRule="auto"/>
        <w:tabs>
          <w:tab w:leader="none" w:pos="1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 w:name="page23"/>
    <w:bookmarkEnd w:id="22"/>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8"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3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party.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means Take-Two Interactive Software, Inc., a Delaware corporation or any successor thereto as required by Section 6.04.</w:t>
      </w:r>
    </w:p>
    <w:p>
      <w:pPr>
        <w:spacing w:after="0" w:line="248"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Type, made, converted or continued on the same date and, in the case of Term Benchmark Loans, as to which a single Interest Period is in effect.</w:t>
      </w:r>
    </w:p>
    <w:p>
      <w:pPr>
        <w:spacing w:after="0" w:line="170"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Section 2.03 in the form attached hereto as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a Saturday or a Sunday) on which banks are open for business in New York City or Chicago;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relation to Loans denominated in Sterling, any day (other than a Saturday or a Sunday) on which banks are open for business in London, (b) in relation to Loans denominated in Euros and in relation to the calculation or computation of EURIBOR, any day which is a TARGET Day, (c) if such day relates to any Loans denominated in Canadian Dollars or payment or purchase of Canadian Dollars, any day except Saturday, Sunday and any day which shall be in Toronto, Ontario a legal holiday or a day in which banking institutions are authorized or required by law or other government action to close in Toronto and (d)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currency of Canada.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23" w:name="page24"/>
    <w:bookmarkEnd w:id="23"/>
    <w:p>
      <w:pPr>
        <w:ind w:right="4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Canadian Prime Rate</w:t>
      </w:r>
      <w:r>
        <w:rPr>
          <w:rFonts w:ascii="Arial" w:cs="Arial" w:eastAsia="Arial" w:hAnsi="Arial"/>
          <w:sz w:val="18"/>
          <w:szCs w:val="18"/>
          <w:color w:val="auto"/>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the above rate shall be less than 0%, such rate shall be deemed to be 0% for purposes of this Agreement. Any change in the Canadian Prime Rate due to a change in the PRIMCAN Index shall be effective from and including the effective date of such change in the PRIMCAN Index.</w:t>
      </w:r>
    </w:p>
    <w:p>
      <w:pPr>
        <w:spacing w:after="0" w:line="192" w:lineRule="exact"/>
        <w:rPr>
          <w:sz w:val="20"/>
          <w:szCs w:val="20"/>
          <w:color w:val="auto"/>
        </w:rPr>
      </w:pPr>
    </w:p>
    <w:p>
      <w:pPr>
        <w:ind w:right="1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Screen Rate</w:t>
      </w:r>
      <w:r>
        <w:rPr>
          <w:rFonts w:ascii="Arial" w:cs="Arial" w:eastAsia="Arial" w:hAnsi="Arial"/>
          <w:sz w:val="16"/>
          <w:szCs w:val="16"/>
          <w:color w:val="auto"/>
        </w:rPr>
        <w:t>” 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1/100th of 1% (with</w:t>
      </w:r>
    </w:p>
    <w:p>
      <w:pPr>
        <w:spacing w:after="0" w:line="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.005% being rounded up),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Loan</w:t>
      </w:r>
      <w:r>
        <w:rPr>
          <w:rFonts w:ascii="Arial" w:cs="Arial" w:eastAsia="Arial" w:hAnsi="Arial"/>
          <w:sz w:val="18"/>
          <w:szCs w:val="18"/>
          <w:color w:val="auto"/>
        </w:rPr>
        <w:t>” means a Loan that bears interest at a rate determined by reference to the Central Bank Rate.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Spread</w:t>
      </w:r>
      <w:r>
        <w:rPr>
          <w:rFonts w:ascii="Arial" w:cs="Arial" w:eastAsia="Arial" w:hAnsi="Arial"/>
          <w:sz w:val="18"/>
          <w:szCs w:val="18"/>
          <w:color w:val="auto"/>
        </w:rPr>
        <w:t>” means the Applicable Rate, applicable to such Loan that is replaced by a CBR Loan.</w:t>
      </w:r>
    </w:p>
    <w:p>
      <w:pPr>
        <w:spacing w:after="0" w:line="225"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Central Bank Rate</w:t>
      </w:r>
      <w:r>
        <w:rPr>
          <w:rFonts w:ascii="Arial" w:cs="Arial" w:eastAsia="Arial" w:hAnsi="Arial"/>
          <w:sz w:val="17"/>
          <w:szCs w:val="17"/>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Canadian Dollars, the Canadian Prime Rate and (d) any other Alternative Currency determined after the Effective Date, a central bank rate as determined by the Administrative Agent in its reasonable discretion and (ii) the Floor; plus (B) the applicable Central Bank Rate Adjustment.</w:t>
      </w:r>
    </w:p>
    <w:p>
      <w:pPr>
        <w:spacing w:after="0" w:line="18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Central Bank Rate Adjustment</w:t>
      </w:r>
      <w:r>
        <w:rPr>
          <w:rFonts w:ascii="Arial" w:cs="Arial" w:eastAsia="Arial" w:hAnsi="Arial"/>
          <w:sz w:val="16"/>
          <w:szCs w:val="16"/>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Adjusted Daily Simple RFR for Sterling Borrowings for the five most recent RFR Business Days preceding such day for which SONIA was available (excluding, from such averaging, the highest and the lowest such Adjusted Daily Simple RFR applicable during such period of five RFR Business Days) minus (ii) the Central Bank Rate in respect of Sterling in effect on the last RFR Business Day in such period, and (c) any other Alternative Currency determined after the Effective Date, a Central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4" w:name="page25"/>
    <w:bookmarkEnd w:id="2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187"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acquisition of ownership, directly or indirectly, beneficially or of record, by any Person or group (within the meaning of the Securities Exchange Act of 1934 and the rules of the SEC thereunder as in effect on the date hereof), of Equity Interests representing more than a majority of the aggregate ordinary voting power represented by the issued and outstanding Equity Interests of the Borrower.</w:t>
      </w:r>
    </w:p>
    <w:p>
      <w:pPr>
        <w:spacing w:after="0" w:line="149"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w:t>
      </w:r>
      <w:r>
        <w:rPr>
          <w:rFonts w:ascii="Arial" w:cs="Arial" w:eastAsia="Arial" w:hAnsi="Arial"/>
          <w:sz w:val="18"/>
          <w:szCs w:val="18"/>
          <w:color w:val="auto"/>
        </w:rPr>
        <w:t>” means (i) the merger of Zebra MS I, Inc., a Delaware corporation and a direct, wholly owned Subsidiary of the Borrower, with and into Zynga, with Zynga continuing as the surviving corporation and (ii) the merger immediately following consummation of the foregoing of Zynga with and into Zebra MS II, Inc., a Delaware corporation and a direct, wholly owned Subsidiary of the Borrower, with Zebra MS II, Inc. continuing as the surviving corporation and a wholly owned Subsidiary of the Borrower.</w:t>
      </w:r>
    </w:p>
    <w:p>
      <w:pPr>
        <w:spacing w:after="0" w:line="187"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of such Lender to make Loans and to acquire participations in Letters of Credit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Commitment is set forth on </w:t>
      </w:r>
      <w:r>
        <w:rPr>
          <w:rFonts w:ascii="Arial" w:cs="Arial" w:eastAsia="Arial" w:hAnsi="Arial"/>
          <w:sz w:val="17"/>
          <w:szCs w:val="17"/>
          <w:u w:val="single" w:color="auto"/>
          <w:color w:val="auto"/>
        </w:rPr>
        <w:t>Schedule 2.01</w:t>
      </w:r>
      <w:r>
        <w:rPr>
          <w:rFonts w:ascii="Arial" w:cs="Arial" w:eastAsia="Arial" w:hAnsi="Arial"/>
          <w:sz w:val="17"/>
          <w:szCs w:val="17"/>
          <w:color w:val="auto"/>
        </w:rPr>
        <w:t>, or in the Assignment and Assumption or other documentation contemplated hereby pursuant to which such Lender shall have assumed its Commitment, as applicable.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assigned to such term in Section 9.01(d).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5" w:name="page26"/>
    <w:bookmarkEnd w:id="2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a certificate of a Financial Officer of the Borrower substantially in the form attached as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is defined in Section 2.04.</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has the meaning assigned to such term in Section 2.23.</w:t>
      </w:r>
    </w:p>
    <w:p>
      <w:pPr>
        <w:spacing w:after="0" w:line="225"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Consolidated Net Income for such period plus, without duplication and to the extent deducted in determining Consolidated Net Income for such period, the sum of (a) expenses paid or accrued for taxes based on income, profits or capital, including federal, foreign and state income, franchise and similar taxes, (b) interest expense, amortization or write-off of debt discount and debt issuance costs and commissions, discounts and other fees and charges associated with Indebtedness (including the Loans), (c) depreciation and amortization expense, (d) amortization of intangibles (including, but not limited to, goodwill) and organization costs, (e) any unusual, infrequent, extraordinary or non-recurring charges, expenses or losses, (f) non-cash stock option and other equity-based compensation expenses, (g) any other non-cash charges, non-cash expenses or non-cash losses of the Borrower or any Subsidiaries for such period (excluding any such charge, expense or loss incurred in the ordinary course of business that constitutes an accrual of, or a reserve for, cash charges for any future period), (h) any losses from an early extinguishment of indebtedness, (i) any unrealized losses (or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any unrealized gains) in respect of Swap Agreements, (j) any foreign exchange losses (or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any foreign exchange gains), (k) to the extent actually reimbursed in cash, expenses incurred to the extent covered by indemnification provisions in any agreement in connection with any acquisition, (l) acquisition-related expenses (including, but not limited to, intangibles, goodwill and contingent consideration), whether or not such acquisition is successful, (m) transaction fees, costs and expenses related to any issuance of equity securities, whether or not successful, (n) restructuring, integration and related charges (which for the avoidance of doubt, shall include retention, severance, systems establishment costs, contract termination costs, including future lease commitments, and costs to consolidate facilities and relocate employees), (o) non-recurring litigation expenses, (p) losses (or gains) on strategic investments, (q) losses on discontinued licensed intellectual property commitments, (r) other adjustments, exclusions and add-backs consistent with Regulation S-X of the SEC, (s) other addbacks and adjustments set forth in the Models, and (t) the amount of any “run rate” synergies, operating expense reductions and other net cost savings and integration costs, in each case projected by the Borrower in connection with acquisitions, asset dispositions (including the termination or discontinuance of activities constituting such business) and/or other operating improvement, restructuring, cost savings initiative or other similar initiative taken after the Effective Date that have been consummated during the most recently completed four consecutive fiscal quarters of the Borrower for which financial statements have been delivered pursuant to Section 5.01(a) or (b), as applicable (calculated on a pro forma basis as though such synergies, expense reductions and cost savings had been realized on the first day of the period for which Consolidated EBITDA is being determined), net of the amount of actual benefits realized during such period from such actions; provided that (x) such synergies, expense reductions and cost savings are reasonably identifiable, factually supportable, expected to have a continuing impact on the operations of the Borrower and its Subsidiaries and have been determined by the Borrower in good faith to be reasonably anticipated to be realizable within 18 months following any such action as set forth in reasonable detail on a certificate of a Financial Officer of the Borrower delivered to the Administrative Agent, (y) no such amounts shall be added pursuant to this clause (t) to the extent duplicative of any expenses or charges otherwise added to Consolidated EBITDA, whether through a pro forma adjustment or otherwise and (z) the aggregate amount added pursuant to this clause (t) for any period shall in no event exceed 15% of Consolidated EBITDA for such period (calculated after giving effect to any such add-backs pursuant to this clause (t)), and </w:t>
      </w:r>
      <w:r>
        <w:rPr>
          <w:rFonts w:ascii="Arial" w:cs="Arial" w:eastAsia="Arial" w:hAnsi="Arial"/>
          <w:sz w:val="16"/>
          <w:szCs w:val="16"/>
          <w:u w:val="single" w:color="auto"/>
          <w:color w:val="auto"/>
        </w:rPr>
        <w:t>minus</w:t>
      </w:r>
      <w:r>
        <w:rPr>
          <w:rFonts w:ascii="Arial" w:cs="Arial" w:eastAsia="Arial" w:hAnsi="Arial"/>
          <w:sz w:val="16"/>
          <w:szCs w:val="16"/>
          <w:color w:val="auto"/>
        </w:rPr>
        <w:t>, to the extent included in the statement of such Consolidated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6" w:name="page27"/>
    <w:bookmarkEnd w:id="2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Net Income for such period, the sum of (1) interest income, (2) any extraordinary income or gains determined in accordance with GAAP and (3) any other non-cash income (excluding any items that represent the reversal of any accrual of, or cash reserve for, anticipated cash charges in any prior period), all as determined on a consolidated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increases in deferred revenue for such period shall be added back to Consolidated Net Income in calculating Consolidated Adjusted EBITDA for such period, (ii) decreases in deferred revenue for such period shall be subtracted from Consolidated Net Income in calculating Consolidated Adjusted EBITDA for such period, (iii) cash payments made in such period in respect of non-cash charges, expenses or losses added back to Consolidated Adjusted EBITDA in a prior period shall be subtracted from Consolidated Net Income in calculating Consolidated Adjusted EBITDA in the period when such cash payment is made, (iv) there shall be included in determining Consolidated Adjusted EBITDA for any period, without duplication, the Acquired EBITDA of any Person, property, business or asset acquired by the Borrower or any Subsidiary during such period to the extent not subsequently sold, transferred or otherwise disposed of during such period (but not including the Acquired EBITDA of any related Person, property, business or assets to the extent not so acquired) (each such Person, property, business or asset acquired, including pursuant to a transaction consummated prior to the Effective Date, and not subsequently sold, transferred or otherwise disposed of, an “</w:t>
      </w:r>
      <w:r>
        <w:rPr>
          <w:rFonts w:ascii="Arial" w:cs="Arial" w:eastAsia="Arial" w:hAnsi="Arial"/>
          <w:sz w:val="16"/>
          <w:szCs w:val="16"/>
          <w:u w:val="single" w:color="auto"/>
          <w:color w:val="auto"/>
        </w:rPr>
        <w:t>Acquired Entity or Business</w:t>
      </w:r>
      <w:r>
        <w:rPr>
          <w:rFonts w:ascii="Arial" w:cs="Arial" w:eastAsia="Arial" w:hAnsi="Arial"/>
          <w:sz w:val="16"/>
          <w:szCs w:val="16"/>
          <w:color w:val="auto"/>
        </w:rPr>
        <w:t xml:space="preserve">”), in each case based on the Acquired EBITDA of such Acquired Entity or Business for such period (including the portion thereof occurring prior to such acquisition or conversion) determined on a historical pro forma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election of the Borrower, such Acquired EBITDA adjustment shall not be required for any Acquired Entity or Business to the extent the aggregate consideration paid in connection therewith is less than $1,000,000,000 per Acquired Entity or Business and (v) there shall be excluded in determining Consolidated Adjusted EBITDA for any period, without duplication, the Disposed EBITDA of any Person, property, business or asset sold, transferred or otherwise disposed of by the Borrower or any Subsidiary during such period (but not excluding the Disposed EBITDA of any related Person, property, business or assets to the extent not so disposed of) (each such Person, property, business or asset so sold, transferred or otherwise disposed of, a “</w:t>
      </w:r>
      <w:r>
        <w:rPr>
          <w:rFonts w:ascii="Arial" w:cs="Arial" w:eastAsia="Arial" w:hAnsi="Arial"/>
          <w:sz w:val="16"/>
          <w:szCs w:val="16"/>
          <w:u w:val="single" w:color="auto"/>
          <w:color w:val="auto"/>
        </w:rPr>
        <w:t>Disposed Entity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based on the Disposed EBITDA of such Disposed Entity or Business for such period (including the portion thereof occurring prior to such sale, transfer, disposition or conversion) determined on a historical pro forma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election of the Borrower, such Disposed EBITDA adjustment shall not be required for any Disposed Entity or Business to the extent the aggregate consideration received in connection therewith is less than $500,000,000 per Disposed Entity or Business.</w:t>
      </w:r>
    </w:p>
    <w:p>
      <w:pPr>
        <w:spacing w:after="0" w:line="396"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or loss of the Borrower and its consolidated Subsidiaries for such period, determined on a consolidated basis in conformity with GAAP.</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70"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xml:space="preserve">” means, as of the date of any determination thereof, the sum, without duplication and to the extent such Indebtedness would be required to appear as debt or indebtedness on a consolidated balance sheet of the Borrower, of (a) the aggregate Indebtedness of the Borrower and its Subsidiaries of the type described in clause (a), (b) or (g) of the definition of Indebtedness, calculated on a consolidated basis as of such time in accordance with GAAP, and (b) Indebtedness of the type referred to in clause (a) hereof of another Person guaranteed by the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the ratio of Consolidated Total Indebtedness to Consolidated Adjusted EBITDA set forth in Section 6.05, Consolidated Total Indebtedness shall be reduced by up to $1,000,000,000 of cash and Permitted Investments on the consolidated balance sheet of the Borrower and its Subsidiaries on such date that does not appear as “restricted” on the consolidated balance sheet of the Borrower or such Subsidiary (unless such appearance is related to the Loan Documents).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7" w:name="page28"/>
    <w:bookmarkEnd w:id="27"/>
    <w:p>
      <w:pPr>
        <w:ind w:left="4" w:right="3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84"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Debt Security</w:t>
      </w:r>
      <w:r>
        <w:rPr>
          <w:rFonts w:ascii="Arial" w:cs="Arial" w:eastAsia="Arial" w:hAnsi="Arial"/>
          <w:sz w:val="18"/>
          <w:szCs w:val="18"/>
          <w:color w:val="auto"/>
        </w:rPr>
        <w:t>” means debt securities, the terms of which provide for conversion into Equity Interests, cash by reference to such Equity Interests or a combination thereof.</w:t>
      </w:r>
    </w:p>
    <w:p>
      <w:pPr>
        <w:spacing w:after="0" w:line="170" w:lineRule="exact"/>
        <w:rPr>
          <w:sz w:val="20"/>
          <w:szCs w:val="20"/>
          <w:color w:val="auto"/>
        </w:rPr>
      </w:pPr>
    </w:p>
    <w:p>
      <w:pPr>
        <w:ind w:left="4" w:right="5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38"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31" w:lineRule="exact"/>
        <w:rPr>
          <w:sz w:val="20"/>
          <w:szCs w:val="20"/>
          <w:color w:val="auto"/>
        </w:rPr>
      </w:pPr>
    </w:p>
    <w:p>
      <w:pPr>
        <w:ind w:left="1424" w:hanging="439"/>
        <w:spacing w:after="0"/>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assigned to it in Section 9.18.</w:t>
      </w:r>
    </w:p>
    <w:p>
      <w:pPr>
        <w:spacing w:after="0" w:line="225"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a Borrowing, the issuance, amendment, renewal or extension of a Letter of Credit, an LC Disbursement or any of the foregoing.</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or any other Lender.</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Rating</w:t>
      </w:r>
      <w:r>
        <w:rPr>
          <w:rFonts w:ascii="Arial" w:cs="Arial" w:eastAsia="Arial" w:hAnsi="Arial"/>
          <w:sz w:val="18"/>
          <w:szCs w:val="18"/>
          <w:color w:val="auto"/>
        </w:rPr>
        <w:t>” means the ratings assigned by each of S&amp;P and Moody’s to the Borrower’s long-term senior, unsecured debt (without any credit enhancement).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RFR</w:t>
      </w:r>
      <w:r>
        <w:rPr>
          <w:rFonts w:ascii="Arial" w:cs="Arial" w:eastAsia="Arial" w:hAnsi="Arial"/>
          <w:sz w:val="16"/>
          <w:szCs w:val="16"/>
          <w:color w:val="auto"/>
        </w:rPr>
        <w:t>” means, for any day (an “</w:t>
      </w:r>
      <w:r>
        <w:rPr>
          <w:rFonts w:ascii="Arial" w:cs="Arial" w:eastAsia="Arial" w:hAnsi="Arial"/>
          <w:sz w:val="16"/>
          <w:szCs w:val="16"/>
          <w:u w:val="single" w:color="auto"/>
          <w:color w:val="auto"/>
        </w:rPr>
        <w:t>RFR Interest Day</w:t>
      </w:r>
      <w:r>
        <w:rPr>
          <w:rFonts w:ascii="Arial" w:cs="Arial" w:eastAsia="Arial" w:hAnsi="Arial"/>
          <w:sz w:val="16"/>
          <w:szCs w:val="16"/>
          <w:color w:val="auto"/>
        </w:rPr>
        <w:t>”), an interest rate per annum equal to, for any RFR Loan denominated in</w:t>
      </w:r>
    </w:p>
    <w:p>
      <w:pPr>
        <w:spacing w:after="0" w:line="46" w:lineRule="exact"/>
        <w:rPr>
          <w:sz w:val="20"/>
          <w:szCs w:val="20"/>
          <w:color w:val="auto"/>
        </w:rPr>
      </w:pPr>
    </w:p>
    <w:p>
      <w:pPr>
        <w:ind w:left="224" w:hanging="224"/>
        <w:spacing w:after="0"/>
        <w:tabs>
          <w:tab w:leader="none" w:pos="224" w:val="left"/>
        </w:tabs>
        <w:numPr>
          <w:ilvl w:val="0"/>
          <w:numId w:val="8"/>
        </w:numPr>
        <w:rPr>
          <w:rFonts w:ascii="Arial" w:cs="Arial" w:eastAsia="Arial" w:hAnsi="Arial"/>
          <w:sz w:val="16"/>
          <w:szCs w:val="16"/>
          <w:color w:val="auto"/>
        </w:rPr>
      </w:pPr>
      <w:r>
        <w:rPr>
          <w:rFonts w:ascii="Arial" w:cs="Arial" w:eastAsia="Arial" w:hAnsi="Arial"/>
          <w:sz w:val="16"/>
          <w:szCs w:val="16"/>
          <w:color w:val="auto"/>
        </w:rPr>
        <w:t>Sterling, SONIA for the day that is 4 RFR Business Days prior to (A) if such RFR Interest Day is an RFR Business Day, such RFR Interest Day or</w:t>
      </w:r>
    </w:p>
    <w:p>
      <w:pPr>
        <w:spacing w:after="0" w:line="32" w:lineRule="exact"/>
        <w:rPr>
          <w:rFonts w:ascii="Arial" w:cs="Arial" w:eastAsia="Arial" w:hAnsi="Arial"/>
          <w:sz w:val="16"/>
          <w:szCs w:val="16"/>
          <w:color w:val="auto"/>
        </w:rPr>
      </w:pPr>
    </w:p>
    <w:p>
      <w:pPr>
        <w:ind w:left="4" w:right="60"/>
        <w:spacing w:after="0" w:line="260" w:lineRule="auto"/>
        <w:rPr>
          <w:rFonts w:ascii="Arial" w:cs="Arial" w:eastAsia="Arial" w:hAnsi="Arial"/>
          <w:sz w:val="16"/>
          <w:szCs w:val="16"/>
          <w:color w:val="auto"/>
        </w:rPr>
      </w:pPr>
      <w:r>
        <w:rPr>
          <w:rFonts w:ascii="Arial" w:cs="Arial" w:eastAsia="Arial" w:hAnsi="Arial"/>
          <w:sz w:val="18"/>
          <w:szCs w:val="18"/>
          <w:color w:val="auto"/>
        </w:rPr>
        <w:t>(B) if such RFR Interest Day is not an RFR Business Day, the RFR Business Day immediately preceding such RFR Interest Day and (ii) Dollars, Daily Simple SOFR.</w:t>
      </w:r>
    </w:p>
    <w:p>
      <w:pPr>
        <w:spacing w:after="0" w:line="185" w:lineRule="exact"/>
        <w:rPr>
          <w:sz w:val="20"/>
          <w:szCs w:val="20"/>
          <w:color w:val="auto"/>
        </w:rPr>
      </w:pPr>
    </w:p>
    <w:p>
      <w:pPr>
        <w:ind w:left="4"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means, for any day (a “</w:t>
      </w:r>
      <w:r>
        <w:rPr>
          <w:rFonts w:ascii="Arial" w:cs="Arial" w:eastAsia="Arial" w:hAnsi="Arial"/>
          <w:sz w:val="17"/>
          <w:szCs w:val="17"/>
          <w:u w:val="single" w:color="auto"/>
          <w:color w:val="auto"/>
        </w:rPr>
        <w:t>SOFR Rate Day</w:t>
      </w:r>
      <w:r>
        <w:rPr>
          <w:rFonts w:ascii="Arial" w:cs="Arial" w:eastAsia="Arial" w:hAnsi="Arial"/>
          <w:sz w:val="17"/>
          <w:szCs w:val="17"/>
          <w:color w:val="auto"/>
        </w:rPr>
        <w:t>”), a rate per annum equal to SOFR for the day (such day “</w:t>
      </w:r>
      <w:r>
        <w:rPr>
          <w:rFonts w:ascii="Arial" w:cs="Arial" w:eastAsia="Arial" w:hAnsi="Arial"/>
          <w:sz w:val="17"/>
          <w:szCs w:val="17"/>
          <w:u w:val="single" w:color="auto"/>
          <w:color w:val="auto"/>
        </w:rPr>
        <w:t>SOFR</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Determination Date</w:t>
      </w:r>
      <w:r>
        <w:rPr>
          <w:rFonts w:ascii="Arial" w:cs="Arial" w:eastAsia="Arial" w:hAnsi="Arial"/>
          <w:sz w:val="17"/>
          <w:szCs w:val="17"/>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0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4"/>
          </w:cols>
          <w:pgMar w:left="436" w:top="274" w:right="519" w:bottom="1440" w:gutter="0" w:footer="0" w:header="0"/>
        </w:sectPr>
      </w:pPr>
    </w:p>
    <w:bookmarkStart w:id="28" w:name="page29"/>
    <w:bookmarkEnd w:id="28"/>
    <w:p>
      <w:pPr>
        <w:ind w:left="4"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within two (2) Business Days of the date required to be funded or paid, to</w:t>
      </w:r>
    </w:p>
    <w:p>
      <w:pPr>
        <w:spacing w:after="0" w:line="35" w:lineRule="exact"/>
        <w:rPr>
          <w:sz w:val="20"/>
          <w:szCs w:val="20"/>
          <w:color w:val="auto"/>
        </w:rPr>
      </w:pPr>
    </w:p>
    <w:p>
      <w:pPr>
        <w:ind w:left="4" w:hanging="4"/>
        <w:spacing w:after="0" w:line="281" w:lineRule="auto"/>
        <w:tabs>
          <w:tab w:leader="none" w:pos="219" w:val="left"/>
        </w:tabs>
        <w:numPr>
          <w:ilvl w:val="0"/>
          <w:numId w:val="9"/>
        </w:numPr>
        <w:rPr>
          <w:rFonts w:ascii="Arial" w:cs="Arial" w:eastAsia="Arial" w:hAnsi="Arial"/>
          <w:sz w:val="16"/>
          <w:szCs w:val="16"/>
          <w:color w:val="auto"/>
        </w:rPr>
      </w:pPr>
      <w:r>
        <w:rPr>
          <w:rFonts w:ascii="Arial" w:cs="Arial" w:eastAsia="Arial" w:hAnsi="Arial"/>
          <w:sz w:val="16"/>
          <w:szCs w:val="16"/>
          <w:color w:val="auto"/>
        </w:rPr>
        <w:t>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w:t>
      </w:r>
    </w:p>
    <w:p>
      <w:pPr>
        <w:spacing w:after="0" w:line="6" w:lineRule="exact"/>
        <w:rPr>
          <w:rFonts w:ascii="Arial" w:cs="Arial" w:eastAsia="Arial" w:hAnsi="Arial"/>
          <w:sz w:val="16"/>
          <w:szCs w:val="16"/>
          <w:color w:val="auto"/>
        </w:rPr>
      </w:pPr>
    </w:p>
    <w:p>
      <w:pPr>
        <w:ind w:left="224" w:hanging="224"/>
        <w:spacing w:after="0"/>
        <w:tabs>
          <w:tab w:leader="none" w:pos="2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Bankruptcy Event or (ii) a Bail-In Action.</w:t>
      </w:r>
    </w:p>
    <w:p>
      <w:pPr>
        <w:spacing w:after="0" w:line="211"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the disclosure letter, dated as of the date hereof, as amended or supplemented from time to time by Borrower with the written consent of the Administrative Agent (or as supplemented by the Borrower pursuant to the terms of this Agreement), delivered by Borrower to Administrative Agent for the benefit of the Lenders.</w:t>
      </w:r>
    </w:p>
    <w:p>
      <w:pPr>
        <w:spacing w:after="0" w:line="184" w:lineRule="exact"/>
        <w:rPr>
          <w:sz w:val="20"/>
          <w:szCs w:val="20"/>
          <w:color w:val="auto"/>
        </w:rPr>
      </w:pPr>
    </w:p>
    <w:p>
      <w:pPr>
        <w:ind w:left="4"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Disposed Entity or Business for any period through (but not after) the date of such disposition, the amount for such period of Consolidated Adjusted EBITDA of such Disposed Entity or Business (determined as if references to the Borrower and the Subsidiaries in the definition of the term “Consolidated Adjusted EBITDA” (and in the component financial definitions used therein) were references to such Disposed Entity or Business and its subsidiaries), on a consolidated basis for such Disposed Entity or Business in accordance with GAAP as determined in good faith by the Borrower.</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Disposed Entity or Business</w:t>
      </w:r>
      <w:r>
        <w:rPr>
          <w:rFonts w:ascii="Arial" w:cs="Arial" w:eastAsia="Arial" w:hAnsi="Arial"/>
          <w:sz w:val="17"/>
          <w:szCs w:val="17"/>
          <w:color w:val="auto"/>
        </w:rPr>
        <w:t>” has the meaning assigned to such term in the definition of the term “Consolidated Adjusted EBITDA”.</w:t>
      </w:r>
    </w:p>
    <w:p>
      <w:pPr>
        <w:spacing w:after="0" w:line="237"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of any currency at any date shall mean (i) the amount of such currency if such currency is Dollars or (ii) the Equivalent Amount thereof in Dollars if such currency is a Foreign Currency.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 Subsidiary organized under the laws of the United States of America, any state thereof or the District of</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Columbia.</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29" w:name="page30"/>
    <w:bookmarkEnd w:id="29"/>
    <w:p>
      <w:pPr>
        <w:ind w:left="4"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 w:right="9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 Section 9.02).</w:t>
      </w:r>
    </w:p>
    <w:p>
      <w:pPr>
        <w:spacing w:after="0" w:line="170"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Refinancing</w:t>
      </w:r>
      <w:r>
        <w:rPr>
          <w:rFonts w:ascii="Arial" w:cs="Arial" w:eastAsia="Arial" w:hAnsi="Arial"/>
          <w:sz w:val="18"/>
          <w:szCs w:val="18"/>
          <w:color w:val="auto"/>
        </w:rPr>
        <w:t>” means (i) (x) the credit facility evidenced by the Existing Borrower Credit Agreement and (y) the credit facility evidenced by the Existing Zynga Credit Agreement, in each case, shall have been terminated and cancelled and all indebtedness thereunder shall have been fully repaid (and, in the case of the Existing Zynga Credit Agreement, any liens related thereto shall be released) and (ii) the Existing Zynga Notes Refinancing.</w:t>
      </w:r>
    </w:p>
    <w:p>
      <w:pPr>
        <w:spacing w:after="0" w:line="187" w:lineRule="exact"/>
        <w:rPr>
          <w:sz w:val="20"/>
          <w:szCs w:val="20"/>
          <w:color w:val="auto"/>
        </w:rPr>
      </w:pPr>
    </w:p>
    <w:p>
      <w:pPr>
        <w:ind w:left="4"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or notices issued or promulgated by any Governmental Authority, relating in any way to the environment, preservation or reclamation of natural resources, the management, release or threatened release of any Hazardous Material or to employee health and safety matters.</w:t>
      </w:r>
    </w:p>
    <w:p>
      <w:pPr>
        <w:spacing w:after="0" w:line="184" w:lineRule="exact"/>
        <w:rPr>
          <w:sz w:val="20"/>
          <w:szCs w:val="20"/>
          <w:color w:val="auto"/>
        </w:rPr>
      </w:pPr>
    </w:p>
    <w:p>
      <w:pPr>
        <w:ind w:left="4" w:right="5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or related to the Borrower or any Subsidiary directly or indirectly resulting from or based upon</w:t>
      </w:r>
    </w:p>
    <w:p>
      <w:pPr>
        <w:ind w:left="244" w:hanging="244"/>
        <w:spacing w:after="0"/>
        <w:tabs>
          <w:tab w:leader="none" w:pos="2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violation of any Environmental Law, (b) the generation, use, handling, transportation, storage, treatment or disposal of any Hazardous Materials,</w:t>
      </w:r>
    </w:p>
    <w:p>
      <w:pPr>
        <w:spacing w:after="0" w:line="32" w:lineRule="exact"/>
        <w:rPr>
          <w:rFonts w:ascii="Arial" w:cs="Arial" w:eastAsia="Arial" w:hAnsi="Arial"/>
          <w:sz w:val="16"/>
          <w:szCs w:val="16"/>
          <w:color w:val="auto"/>
        </w:rPr>
      </w:pPr>
    </w:p>
    <w:p>
      <w:pPr>
        <w:ind w:left="4" w:right="440" w:hanging="4"/>
        <w:spacing w:after="0" w:line="290" w:lineRule="auto"/>
        <w:tabs>
          <w:tab w:leader="none" w:pos="2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1" w:lineRule="exact"/>
        <w:rPr>
          <w:sz w:val="20"/>
          <w:szCs w:val="20"/>
          <w:color w:val="auto"/>
        </w:rPr>
      </w:pPr>
    </w:p>
    <w:p>
      <w:pPr>
        <w:ind w:left="4" w:right="2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Notwithstanding the foregoing, and for the avoidance of doubt, (i) Convertible Debt Securities shall not for purposes of this definition be deemed to be an Equity Interest and (ii) Permitted Bond Hedges shall not for purposes of this definition be deemed to be an Equity Interest.</w:t>
      </w:r>
    </w:p>
    <w:p>
      <w:pPr>
        <w:spacing w:after="0" w:line="188"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Amount</w:t>
      </w:r>
      <w:r>
        <w:rPr>
          <w:rFonts w:ascii="Arial" w:cs="Arial" w:eastAsia="Arial" w:hAnsi="Arial"/>
          <w:sz w:val="18"/>
          <w:szCs w:val="18"/>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 or, in the case of a calculation pursuant to Section 2.04, on or as of the most recent Computation Date provided for in Section 2.04.</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0" w:name="page31"/>
    <w:bookmarkEnd w:id="30"/>
    <w:p>
      <w:pPr>
        <w:ind w:left="4" w:right="4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Section 4001(a)(14) of ERISA or, solely for purposes of Section 302 of ERISA and Section 412 of the Code, is treated as a single employer under Section 414 of the Code.</w:t>
      </w:r>
    </w:p>
    <w:p>
      <w:pPr>
        <w:spacing w:after="0" w:line="184"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w:t>
      </w:r>
    </w:p>
    <w:p>
      <w:pPr>
        <w:spacing w:after="0" w:line="4" w:lineRule="exact"/>
        <w:rPr>
          <w:sz w:val="20"/>
          <w:szCs w:val="20"/>
          <w:color w:val="auto"/>
        </w:rPr>
      </w:pPr>
    </w:p>
    <w:p>
      <w:pPr>
        <w:ind w:left="4" w:right="160" w:hanging="4"/>
        <w:spacing w:after="0" w:line="292" w:lineRule="auto"/>
        <w:tabs>
          <w:tab w:leader="none" w:pos="2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incurrence by the Borrower or any of its ERISA Affiliates of any liability with respect to the withdrawal or partial withdrawal (including under Section 4062(e) of ERISA)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within the meaning of Title IV of ERISA, or in endangered or critical status, within the meaning of Section 305 of ERISA.</w:t>
      </w:r>
    </w:p>
    <w:p>
      <w:pPr>
        <w:spacing w:after="0" w:line="162" w:lineRule="exact"/>
        <w:rPr>
          <w:sz w:val="20"/>
          <w:szCs w:val="20"/>
          <w:color w:val="auto"/>
        </w:rPr>
      </w:pPr>
    </w:p>
    <w:p>
      <w:pPr>
        <w:ind w:left="4"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Participating Member States.</w:t>
      </w:r>
    </w:p>
    <w:p>
      <w:pPr>
        <w:spacing w:after="0" w:line="225"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Rate</w:t>
      </w:r>
      <w:r>
        <w:rPr>
          <w:rFonts w:ascii="Arial" w:cs="Arial" w:eastAsia="Arial" w:hAnsi="Arial"/>
          <w:sz w:val="18"/>
          <w:szCs w:val="18"/>
          <w:color w:val="auto"/>
        </w:rPr>
        <w:t>” means, with respect to any Term Benchmark Borrowing denominated in Euros and for any Interest Period, the EURIBOR Screen Rate, two TARGET Days prior to the commencement of such Interest Period.</w:t>
      </w:r>
    </w:p>
    <w:p>
      <w:pPr>
        <w:spacing w:after="0" w:line="170" w:lineRule="exact"/>
        <w:rPr>
          <w:sz w:val="20"/>
          <w:szCs w:val="20"/>
          <w:color w:val="auto"/>
        </w:rPr>
      </w:pPr>
    </w:p>
    <w:p>
      <w:pPr>
        <w:ind w:left="4" w:right="30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EURIBOR Screen Rate</w:t>
      </w:r>
      <w:r>
        <w:rPr>
          <w:rFonts w:ascii="Arial" w:cs="Arial" w:eastAsia="Arial" w:hAnsi="Arial"/>
          <w:sz w:val="16"/>
          <w:szCs w:val="16"/>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w:t>
      </w:r>
    </w:p>
    <w:p>
      <w:pPr>
        <w:spacing w:after="0" w:line="16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1" w:name="page32"/>
    <w:bookmarkEnd w:id="31"/>
    <w:p>
      <w:pPr>
        <w:ind w:left="4" w:right="2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on any day, with respect to any Foreign Currency, the rate of exchange for the purchase of Dollars with the Agreed Currency last provided (either by publication or otherwise provided to the Administrative Agent) by the applicable Thompson Reuters Corp. (“</w:t>
      </w:r>
      <w:r>
        <w:rPr>
          <w:rFonts w:ascii="Arial" w:cs="Arial" w:eastAsia="Arial" w:hAnsi="Arial"/>
          <w:sz w:val="17"/>
          <w:szCs w:val="17"/>
          <w:u w:val="single" w:color="auto"/>
          <w:color w:val="auto"/>
        </w:rPr>
        <w:t>Reuters</w:t>
      </w:r>
      <w:r>
        <w:rPr>
          <w:rFonts w:ascii="Arial" w:cs="Arial" w:eastAsia="Arial" w:hAnsi="Arial"/>
          <w:sz w:val="17"/>
          <w:szCs w:val="17"/>
          <w:color w:val="auto"/>
        </w:rPr>
        <w:t xml:space="preserve">”) source on the Business Day (New York City time) immediately preceding the date of determination or if such service ceases to be available or ceases to provide a rate of exchange for the purchase of dollars with the Agreed Currency, as provided by such other publicly available information service which provides that rate of exchange at such time in place of Reuters reasonably chosen by the Administrative Agent and approved by the Borrower acting reasonably and in good faith (or if such service ceases to be available or ceases to provide such rate of exchange, any method of determination the Administrative Agent reasonably deems appropriate and approved by the Borrower acting reasonably and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that if at the time of any such determination, for any reason, no such spot rate is being quoted, the Administrative Agent may use any reasonable method it deems appropriate and approved by the Borrower acting reasonably and in good faith to determine such rate, and such determination shall be conclusive absent manifest error.</w:t>
      </w:r>
    </w:p>
    <w:p>
      <w:pPr>
        <w:spacing w:after="0" w:line="185"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1" w:lineRule="exact"/>
        <w:rPr>
          <w:sz w:val="20"/>
          <w:szCs w:val="20"/>
          <w:color w:val="auto"/>
        </w:rPr>
      </w:pPr>
    </w:p>
    <w:p>
      <w:pPr>
        <w:ind w:left="4" w:right="80" w:hanging="4"/>
        <w:spacing w:after="0" w:line="268"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applicable Letter of Credit or Commitment or, if such Lender did not fund the applicable Loan pursuant to a prior Commitment, on the date such Lender acquires the applicable interest in such a Loan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83" w:lineRule="exact"/>
        <w:rPr>
          <w:sz w:val="20"/>
          <w:szCs w:val="20"/>
          <w:color w:val="auto"/>
        </w:rPr>
      </w:pPr>
    </w:p>
    <w:p>
      <w:pPr>
        <w:ind w:left="4"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 of Credit</w:t>
      </w:r>
      <w:r>
        <w:rPr>
          <w:rFonts w:ascii="Arial" w:cs="Arial" w:eastAsia="Arial" w:hAnsi="Arial"/>
          <w:sz w:val="18"/>
          <w:szCs w:val="18"/>
          <w:color w:val="auto"/>
        </w:rPr>
        <w:t>” means each letter of credit issued prior to the Effective Date by a Person that shall be an Issuing Bank and listed on Schedule 2.06.</w:t>
      </w:r>
    </w:p>
    <w:p>
      <w:pPr>
        <w:spacing w:after="0" w:line="170"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2024 Convertible Notes</w:t>
      </w:r>
      <w:r>
        <w:rPr>
          <w:rFonts w:ascii="Arial" w:cs="Arial" w:eastAsia="Arial" w:hAnsi="Arial"/>
          <w:sz w:val="18"/>
          <w:szCs w:val="18"/>
          <w:color w:val="auto"/>
        </w:rPr>
        <w:t>” means the 0.25% convertible senior notes due 2024 issued by Zynga in an aggregate principal amount of $690,000,000.</w:t>
      </w:r>
    </w:p>
    <w:p>
      <w:pPr>
        <w:spacing w:after="0" w:line="170"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2026 Convertible Notes</w:t>
      </w:r>
      <w:r>
        <w:rPr>
          <w:rFonts w:ascii="Arial" w:cs="Arial" w:eastAsia="Arial" w:hAnsi="Arial"/>
          <w:sz w:val="18"/>
          <w:szCs w:val="18"/>
          <w:color w:val="auto"/>
        </w:rPr>
        <w:t>” means the 0.00% convertible senior notes due 2026 issued by Zynga in an aggregate principal amount of $874,500,000.</w:t>
      </w:r>
    </w:p>
    <w:p>
      <w:pPr>
        <w:spacing w:after="0" w:line="170"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Borrower Credit Agreement</w:t>
      </w:r>
      <w:r>
        <w:rPr>
          <w:rFonts w:ascii="Arial" w:cs="Arial" w:eastAsia="Arial" w:hAnsi="Arial"/>
          <w:sz w:val="18"/>
          <w:szCs w:val="18"/>
          <w:color w:val="auto"/>
        </w:rPr>
        <w:t>” means that certain Credit Agreement, dated as of February 8, 2019, by and among the Borrower, the lenders party thereto and Wells Fargo Bank, National Association, as administrative agent, as amended, modified, supplemented or restated prior to the date hereof.</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has the meaning assigned to such term in Section 2.23(a).</w:t>
      </w:r>
    </w:p>
    <w:p>
      <w:pPr>
        <w:spacing w:after="0" w:line="225"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Zynga Capped Calls</w:t>
      </w:r>
      <w:r>
        <w:rPr>
          <w:rFonts w:ascii="Arial" w:cs="Arial" w:eastAsia="Arial" w:hAnsi="Arial"/>
          <w:sz w:val="18"/>
          <w:szCs w:val="18"/>
          <w:color w:val="auto"/>
        </w:rPr>
        <w:t>” means (x) the privately-negotiated capped call options among Zynga and certain swap counterparties with respect to the Existing 2024 Convertible Notes and (y) the privately-negotiated capped call options among Zynga and certain swap counterparties with respect to the Existing 2026 Convertible Notes.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2" w:name="page33"/>
    <w:bookmarkEnd w:id="32"/>
    <w:p>
      <w:pPr>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Existing Zynga Credit Agreement</w:t>
      </w:r>
      <w:r>
        <w:rPr>
          <w:rFonts w:ascii="Arial" w:cs="Arial" w:eastAsia="Arial" w:hAnsi="Arial"/>
          <w:sz w:val="18"/>
          <w:szCs w:val="18"/>
          <w:color w:val="auto"/>
        </w:rPr>
        <w:t>” means that certain Credit Agreement, dated as of December 11, 2020, by and among Zynga, the guarantors party thereto, the lenders party thereto and Bank of America, N.A., as administrative agent, as amended, modified, supplemented or restated prior to the date hereof.</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Zynga Notes</w:t>
      </w:r>
      <w:r>
        <w:rPr>
          <w:rFonts w:ascii="Arial" w:cs="Arial" w:eastAsia="Arial" w:hAnsi="Arial"/>
          <w:sz w:val="18"/>
          <w:szCs w:val="18"/>
          <w:color w:val="auto"/>
        </w:rPr>
        <w:t>” means the Existing 2024 Convertible Notes and the Existing 2026 Convertible Notes.</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Zynga Notes Fundamental Change Conversion</w:t>
      </w:r>
      <w:r>
        <w:rPr>
          <w:rFonts w:ascii="Arial" w:cs="Arial" w:eastAsia="Arial" w:hAnsi="Arial"/>
          <w:sz w:val="16"/>
          <w:szCs w:val="16"/>
          <w:color w:val="auto"/>
        </w:rPr>
        <w:t>” means any conversion of the Existing Zynga Notes by the respective holders thereof in connection with the Combination, together with any actions taken by Zynga as are necessary to effectuate the conversion into cash, shares of common stock of the Borrower, or such combination of cash and common stock of the Borrower, including any actions necessary to effectuate a corresponding termination of the Existing Zynga Capped Calls with respect to such conversion, in accordance with the indentures governing such series of Existing Zynga Notes and the letter agreements and other definitive documentation governing such Existing Zynga Capped Calls.</w:t>
      </w:r>
    </w:p>
    <w:p>
      <w:pPr>
        <w:spacing w:after="0" w:line="161" w:lineRule="exact"/>
        <w:rPr>
          <w:sz w:val="20"/>
          <w:szCs w:val="20"/>
          <w:color w:val="auto"/>
        </w:rPr>
      </w:pPr>
    </w:p>
    <w:p>
      <w:pPr>
        <w:jc w:val="both"/>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Zynga Notes Fundamental Change Repurchase</w:t>
      </w:r>
      <w:r>
        <w:rPr>
          <w:rFonts w:ascii="Arial" w:cs="Arial" w:eastAsia="Arial" w:hAnsi="Arial"/>
          <w:sz w:val="18"/>
          <w:szCs w:val="18"/>
          <w:color w:val="auto"/>
        </w:rPr>
        <w:t>” means the repurchase by Zynga, upon the receipt of any Fundamental Change Repurchase Notice (as defined in the indentures for each series of Existing Zynga Notes) by Zynga from holders of any series of Existing Zynga Notes in connection with the Combination, of such Existing Zynga Notes from the respective holders thereof in accordance with the terms and conditions of the indentures governing such series of Existing Zynga Notes.</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Zynga Notes Fundamental Change Settlement Date</w:t>
      </w:r>
      <w:r>
        <w:rPr>
          <w:rFonts w:ascii="Arial" w:cs="Arial" w:eastAsia="Arial" w:hAnsi="Arial"/>
          <w:sz w:val="18"/>
          <w:szCs w:val="18"/>
          <w:color w:val="auto"/>
        </w:rPr>
        <w:t>” has the meaning assigned to such term in the definition of “Existing Zynga Notes Refinancing”.</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Zynga Notes Refinancing</w:t>
      </w:r>
      <w:r>
        <w:rPr>
          <w:rFonts w:ascii="Arial" w:cs="Arial" w:eastAsia="Arial" w:hAnsi="Arial"/>
          <w:sz w:val="17"/>
          <w:szCs w:val="17"/>
          <w:color w:val="auto"/>
        </w:rPr>
        <w:t>” means the payment by the Borrower of any cash consideration required in connection with (i) an exercise of any conversion with respect to the Existing Zynga Notes and any corresponding termination of the Existing Zynga Capped Calls (including, to the extent necessary, any additional cash consideration required to be delivered to holders of the Existing Zynga Notes with respect to a Make-Whole Fundamental Change (as defined in the indentures for each series of Existing Zynga Notes) or to swap counterparties of the Existing Zynga Capped Calls for any costs (including contingent costs) incurred in connection with any termination of the Existing Zynga Capped Calls), in each case, in connection with an Existing Zynga Notes Fundamental Change Conversion of the Existing Zynga Notes and, if applicable, termination of the Existing Zynga Capped Calls, and/or (ii) any repurchase made pursuant to a Fundamental Change Repurchase Notice (as defined in the indentures for each series of Existing Zynga Notes), in each case, no later than the date set forth in the indenture for each series of Existing Zynga Notes (each such date, the “</w:t>
      </w:r>
      <w:r>
        <w:rPr>
          <w:rFonts w:ascii="Arial" w:cs="Arial" w:eastAsia="Arial" w:hAnsi="Arial"/>
          <w:sz w:val="17"/>
          <w:szCs w:val="17"/>
          <w:u w:val="single" w:color="auto"/>
          <w:color w:val="auto"/>
        </w:rPr>
        <w:t>Existing Zynga Notes Fundamental Change Settlement Date</w:t>
      </w:r>
      <w:r>
        <w:rPr>
          <w:rFonts w:ascii="Arial" w:cs="Arial" w:eastAsia="Arial" w:hAnsi="Arial"/>
          <w:sz w:val="17"/>
          <w:szCs w:val="17"/>
          <w:color w:val="auto"/>
        </w:rPr>
        <w:t>”) (it being understood that the Existing Zynga Notes Fundamental Change Settlement Date may occur after the Effective Date and the Combination).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2.23(b)(ii).</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Request</w:t>
      </w:r>
      <w:r>
        <w:rPr>
          <w:rFonts w:ascii="Arial" w:cs="Arial" w:eastAsia="Arial" w:hAnsi="Arial"/>
          <w:sz w:val="18"/>
          <w:szCs w:val="18"/>
          <w:color w:val="auto"/>
        </w:rPr>
        <w:t>” means a written request from the Borrower to the Administrative Agent requesting an extension of the Maturity Date pursuant to Section 2.23.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3" w:name="page34"/>
    <w:bookmarkEnd w:id="33"/>
    <w:p>
      <w:pPr>
        <w:ind w:right="20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18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means the annual or quarterly financial statements, and accompanying certificates and other documents, of the Borrower and its Subsidiaries required to be delivered pursuant to Section 5.01(a) or 5.01(b).</w:t>
      </w:r>
    </w:p>
    <w:p>
      <w:pPr>
        <w:spacing w:after="0" w:line="170"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Lease Obligations</w:t>
      </w:r>
      <w:r>
        <w:rPr>
          <w:rFonts w:ascii="Arial" w:cs="Arial" w:eastAsia="Arial" w:hAnsi="Arial"/>
          <w:sz w:val="17"/>
          <w:szCs w:val="17"/>
          <w:color w:val="auto"/>
        </w:rPr>
        <w:t>” of any Person means, an obligation that is required to be accounted for as a financing or capital lease (and, for the avoidance of doubt, not an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7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CDOR Rate, the Adjusted EURIBOR Rate, each Adjusted Daily Simple RFR or the Central Bank Rate, as applicable. For the avoidance of doubt the initial Floor for each of the Adjusted Term SOFR Rate, the Adjusted CDOR Rate, the Adjusted EURIBOR Rate, each Adjusted Daily Simple RFR and the Central Bank Rate shall be 0.00%.</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means a Letter of Credit denominated in a Foreign Currency.</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Payment Office</w:t>
      </w:r>
      <w:r>
        <w:rPr>
          <w:rFonts w:ascii="Arial" w:cs="Arial" w:eastAsia="Arial" w:hAnsi="Arial"/>
          <w:sz w:val="18"/>
          <w:szCs w:val="18"/>
          <w:color w:val="auto"/>
        </w:rPr>
        <w:t>” of the Administrative Agent shall mean, for each Foreign Currency, the office, branch, affiliate or correspondent bank of the Administrative Agent for such currency as specified from time to time by the Administrative Agent to the Borrower and each Lender.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4" w:name="page35"/>
    <w:bookmarkEnd w:id="34"/>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Foreign Currency Sublimit</w:t>
      </w:r>
      <w:r>
        <w:rPr>
          <w:rFonts w:ascii="Arial" w:cs="Arial" w:eastAsia="Arial" w:hAnsi="Arial"/>
          <w:sz w:val="18"/>
          <w:szCs w:val="18"/>
          <w:color w:val="auto"/>
        </w:rPr>
        <w:t>” means an amount equal to the lesser of (a) $100,000,000 and (b) the total amount of the Commitments. The Foreign Currency Sublimit is part of, and not in addition to, the Commitments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term “Guarantee” shall not include endorsements for collection or deposit in the ordinary course of business or any indemnification obligations entered into in the ordinary course of business. The amount of any Guarantee shall be deemed to be the lower of (i) an amount equal to the stated or determined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determined by such Person in good faith.</w:t>
      </w:r>
    </w:p>
    <w:p>
      <w:pPr>
        <w:spacing w:after="0" w:line="184" w:lineRule="exact"/>
        <w:rPr>
          <w:sz w:val="20"/>
          <w:szCs w:val="20"/>
          <w:color w:val="auto"/>
        </w:rPr>
      </w:pPr>
    </w:p>
    <w:p>
      <w:pPr>
        <w:jc w:val="both"/>
        <w:ind w:right="40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friable asbestos, polychlorinated biphenyls, per- or polyfluoroalkyl substances, radon gas, infectious or medical wastes and all other substances or wastes of any nature regulated pursuant to any Environmental Law.</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accounts payable incurred in the ordinary course of business and (ii) obligations which are being contested in good faith by appropriate proceedings and for which adequate reserves have been set aside in accordance with GAAP), (e) all Indebtedness of others secured by (or for which the holder of such Indebtedness has an existing right, contingent or otherwise, to be secured by) any Lien on property owned or acquired by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Person, whether or not the Indebtedness secured thereby has been assumed, (f) all Guarantees by such Person of Indebtedness of others, (g) all Financing Lease Obligations of such Person, (h) all obligations, contingent or otherwise, of such Person as an account party in respect of letters of credit and letters of guaranty, (i) all obligations, contingent or otherwise, of such Person in respect of bankers’ acceptances and (j) all obligations of such Person under Sale and Leaseback Transactions. Notwithstanding anything to the contrary in the foregoing, in connection with any acquisition by the Borrower or any Subsidiary permitted hereunder (or any sale, transfer or other disposition by the Borrower or any Subsidiary permitted hereunder), the term “Indebtedness” shall not include contingent consideration to which the seller in such acquisition (or the buyer in such sale, transfer or other disposition, as the case may be) may become entitled or contingent indemnity obligations that may be owed to such seller (or buyer, if applicable) in respect thereof.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and for the avoidance of doubt, obligations arising from Swap Agreements, including Permitted Bond Hedges, shall not be considered Indebtedness. Notwithstanding the foregoing, Indebtedness shall not include Non-Financing Lease Obligations or other obligations under or in respect of operating leases or Sale and Leaseback Transactions (except resulting in Financing Lease Obligations).</w:t>
      </w:r>
    </w:p>
    <w:p>
      <w:pPr>
        <w:spacing w:after="0" w:line="174"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the Borrower under any Loan Document and (b) to the extent not otherwise described in clause (a) hereof, Other Taxes.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Section 2.08 in the form attached hereto as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last day of each March, June, September and December and the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6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and provided that with respect to Loans denominated in Canadian Dollars, an Interest Period of six months shall not be available),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6" w:name="page37"/>
    <w:bookmarkEnd w:id="36"/>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(i) each of JPMorgan Chase Bank, N.A., Wells Fargo Bank, National Association, Bank of America, N.A., and BNP Paribas and (ii) any other Lender designated by the Borrower as an “Issuing Bank” hereunder that has agreed in its sole discretion to such designation (and is reasonably acceptable to the Administrative Agent) with respect to any Letter of Credit requested to be issued hereunder, each in its capacity as an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at any time, the sum of (a) the aggregate undrawn Dollar Amount of all outstanding Letters of Credit at such time plus (b) the aggregate Dollar Amount of all LC Disbursements that have not yet been reimbursed by or on behalf of the Borrower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Presentation</w:t>
      </w:r>
      <w:r>
        <w:rPr>
          <w:rFonts w:ascii="Arial" w:cs="Arial" w:eastAsia="Arial" w:hAnsi="Arial"/>
          <w:sz w:val="18"/>
          <w:szCs w:val="18"/>
          <w:color w:val="auto"/>
        </w:rPr>
        <w:t>” means the Lender Presentation dated January 2022 relating to the Borrower and the Transactions.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has the meaning assigned to it in Section 9.03(b).</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Section 2.20 or 2.23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each Issuing Bank.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7" w:name="page38"/>
    <w:bookmarkEnd w:id="3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 and shall include each Existing Letter of Credit.</w:t>
      </w:r>
    </w:p>
    <w:p>
      <w:pPr>
        <w:spacing w:after="0" w:line="22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Commitment</w:t>
      </w:r>
      <w:r>
        <w:rPr>
          <w:rFonts w:ascii="Arial" w:cs="Arial" w:eastAsia="Arial" w:hAnsi="Arial"/>
          <w:sz w:val="17"/>
          <w:szCs w:val="17"/>
          <w:color w:val="auto"/>
        </w:rPr>
        <w:t>” means, with respect to each Issuing Bank, the commitment of such Issuing Bank to issue Letters of Credit hereunder. The initial amount of each Issuing Bank’s Letter of Credit Commitment is set forth on Schedule 2.01,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 As of the Effective Date, the aggregate Letter of Credit Commitment is $100,000,000.</w:t>
      </w:r>
    </w:p>
    <w:p>
      <w:pPr>
        <w:spacing w:after="0" w:line="17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means the ratio, determined as of the end of each of the Borrower’s fiscal quarters, of (i) Consolidated Total Indebtedness to (ii) Consolidated Adjusted EBITDA for the period of four (4) consecutive fiscal quarters ending with the end of such fiscal quarter for which financial statements have been delivered pursuant to Section 5.01(a) or (b) (or, if prior to the date of the delivery of the first financial statements to be delivered pursuant to Section 5.01(a) or (b), the most recent financial statements referred to in Section 3.04(a)), all calculated for the Borrower and its Subsidiaries on a consolidated basis.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Non-Financing Lease Obligation be deemed to be a Lien.</w:t>
      </w:r>
    </w:p>
    <w:p>
      <w:pPr>
        <w:spacing w:after="0" w:line="18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promissory notes issued pursuant to Section 2.10(e), any Letter of Credit applications and all other agreements, instruments, documents and certificates identified in Section 4.01 executed and delivered to, or in favor of, the Administrative Agent or any Lenders and including all other pledges, powers of attorney, consents, assignments, contracts, notices and letter of credit agreements now or hereafter executed by or on behalf of the Borrower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Section 2.01.</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84"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operations or financial condition of the Borrower and the Subsidiaries taken as a whole, (b) the ability of the Borrower to perform any of its payment obligations under this Agreement or (c) the validity or enforceability of this Agreement or any and all other Loan Documents or the rights or remedies of the Administrative Agent and the Lenders thereunder.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8" w:name="page39"/>
    <w:bookmarkEnd w:id="38"/>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Material Domestic Subsidiary</w:t>
      </w:r>
      <w:r>
        <w:rPr>
          <w:rFonts w:ascii="Arial" w:cs="Arial" w:eastAsia="Arial" w:hAnsi="Arial"/>
          <w:sz w:val="16"/>
          <w:szCs w:val="16"/>
          <w:color w:val="auto"/>
        </w:rPr>
        <w:t>” means each Domestic Subsidiary (i) which, as of the most recent fiscal quarter of the Borrower,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five percent (5%) of consolidated revenue (after giving effect to intercompany eliminations) for such period,</w:t>
      </w:r>
    </w:p>
    <w:p>
      <w:pPr>
        <w:spacing w:after="0" w:line="1" w:lineRule="exact"/>
        <w:rPr>
          <w:sz w:val="20"/>
          <w:szCs w:val="20"/>
          <w:color w:val="auto"/>
        </w:rPr>
      </w:pPr>
    </w:p>
    <w:p>
      <w:pPr>
        <w:ind w:left="264" w:hanging="264"/>
        <w:spacing w:after="0"/>
        <w:tabs>
          <w:tab w:leader="none" w:pos="2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which contributed greater than five percent (5%) of Consolidated Total Assets (after giving effect to intercompany eliminations) as of such date or</w:t>
      </w:r>
    </w:p>
    <w:p>
      <w:pPr>
        <w:spacing w:after="0" w:line="32" w:lineRule="exact"/>
        <w:rPr>
          <w:rFonts w:ascii="Arial" w:cs="Arial" w:eastAsia="Arial" w:hAnsi="Arial"/>
          <w:sz w:val="16"/>
          <w:szCs w:val="16"/>
          <w:color w:val="auto"/>
        </w:rPr>
      </w:pPr>
    </w:p>
    <w:p>
      <w:pPr>
        <w:ind w:left="4" w:hanging="4"/>
        <w:spacing w:after="0" w:line="290" w:lineRule="auto"/>
        <w:tabs>
          <w:tab w:leader="none" w:pos="3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which is designated by the Borrower as a Material Domestic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the aggregate amount of consolidated revenues or Consolidated Total Assets attributable to all Domestic Subsidiaries that are not Material Domestic Subsidiaries exceeds fifteen percent (15%) of consolidated revenues (after giving effect to intercompany eliminations) for any such period or fifteen percent (15%) of Consolidated Total Assets (after giving effect to intercompany eliminations) as of the end of any such fiscal quarter, the Borrower (or, in the event the Borrower has failed to do so within ten (10) days, the Administrative Agent) shall designate sufficient Domestic Subsidiaries as “Material Domestic Subsidiaries” to eliminate such excess, and such designated Subsidiaries shall for all purposes of this Agreement constitute Material Domestic Subsidiaries.</w:t>
      </w:r>
    </w:p>
    <w:p>
      <w:pPr>
        <w:spacing w:after="0" w:line="164" w:lineRule="exact"/>
        <w:rPr>
          <w:sz w:val="20"/>
          <w:szCs w:val="20"/>
          <w:color w:val="auto"/>
        </w:rPr>
      </w:pPr>
    </w:p>
    <w:p>
      <w:pPr>
        <w:ind w:left="4" w:right="2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Foreign Subsidiary</w:t>
      </w:r>
      <w:r>
        <w:rPr>
          <w:rFonts w:ascii="Arial" w:cs="Arial" w:eastAsia="Arial" w:hAnsi="Arial"/>
          <w:sz w:val="16"/>
          <w:szCs w:val="16"/>
          <w:color w:val="auto"/>
        </w:rPr>
        <w:t>” means each Subsidiary that is not a Domestic Subsidiary (i) which, as of the most recent fiscal quarter of the Borrower, for the period of four consecutive fiscal quarters then ended, for which financial statements have been delivered pursuant to</w:t>
      </w:r>
    </w:p>
    <w:p>
      <w:pPr>
        <w:ind w:left="4" w:right="160"/>
        <w:spacing w:after="0" w:line="253" w:lineRule="auto"/>
        <w:rPr>
          <w:sz w:val="20"/>
          <w:szCs w:val="20"/>
          <w:color w:val="auto"/>
        </w:rPr>
      </w:pPr>
      <w:r>
        <w:rPr>
          <w:rFonts w:ascii="Arial" w:cs="Arial" w:eastAsia="Arial" w:hAnsi="Arial"/>
          <w:sz w:val="18"/>
          <w:szCs w:val="18"/>
          <w:color w:val="auto"/>
        </w:rPr>
        <w:t>Section 5.01(a) or (b) (or, if prior to the date of the delivery of the first financial statements to be delivered pursuant to Section 5.01(a) or (b), the most recent financial statements referred to in Section 3.04(a)), contributed greater than ten percent (10%) of consolidated revenue (after giving effect to intercompany eliminations) for such period or (ii) which contributed greater than ten percent (10%) of Consolidated Total Assets (after giving effect to intercompany eliminations) as of such date.</w:t>
      </w:r>
    </w:p>
    <w:p>
      <w:pPr>
        <w:spacing w:after="0" w:line="193" w:lineRule="exact"/>
        <w:rPr>
          <w:sz w:val="20"/>
          <w:szCs w:val="20"/>
          <w:color w:val="auto"/>
        </w:rPr>
      </w:pPr>
    </w:p>
    <w:p>
      <w:pPr>
        <w:ind w:left="4" w:right="2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or obligations in respect of one or more Swap Agreements, of any one or more of the Borrower and its Subsidiaries in an aggregate principal amount exceeding $200,000,000.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8"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May 23, 2027, as such date may be extended pursuant to Section 2.23;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if such date is not a Business Day, the Maturity Date shall be the next preceding Business Day.</w:t>
      </w:r>
    </w:p>
    <w:p>
      <w:pPr>
        <w:spacing w:after="0" w:line="170"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that certain Agreement and Plan of Merger, dated as of January 9, 2022 (including all schedules and exhibits thereto), by and among the Borrower, Zynga, Zebra MS I, Inc., a Delaware corporation, and Zebra MS II, Inc., a Delaware corporation (as amended by the First Amendment to the Agreement and Plan of Merger, dated as of March 10, 2022).</w:t>
      </w:r>
    </w:p>
    <w:p>
      <w:pPr>
        <w:spacing w:after="0" w:line="184" w:lineRule="exact"/>
        <w:rPr>
          <w:sz w:val="20"/>
          <w:szCs w:val="20"/>
          <w:color w:val="auto"/>
        </w:rPr>
      </w:pPr>
    </w:p>
    <w:p>
      <w:pPr>
        <w:jc w:val="both"/>
        <w:ind w:left="4" w:right="320" w:firstLine="991"/>
        <w:spacing w:after="0" w:line="263" w:lineRule="auto"/>
        <w:rPr>
          <w:sz w:val="20"/>
          <w:szCs w:val="20"/>
          <w:color w:val="auto"/>
        </w:rPr>
      </w:pPr>
      <w:r>
        <w:rPr>
          <w:rFonts w:ascii="Arial" w:cs="Arial" w:eastAsia="Arial" w:hAnsi="Arial"/>
          <w:sz w:val="18"/>
          <w:szCs w:val="18"/>
          <w:color w:val="auto"/>
        </w:rPr>
        <w:t>“Models” means each of the financial models prepared by JPMorgan Chase Bank, N.A. (or its Affiliates) on behalf of the Borrower in connection with (i) ratings agency presentations delivered to each of S&amp;P and Moody’s and (ii) presentations to prospective investors delivered with respect to marketing the offering of the Senior Notes.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9" w:name="page40"/>
    <w:bookmarkEnd w:id="3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2.23(a).</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Non-Financing Lease Obligation</w:t>
      </w:r>
      <w:r>
        <w:rPr>
          <w:rFonts w:ascii="Arial" w:cs="Arial" w:eastAsia="Arial" w:hAnsi="Arial"/>
          <w:sz w:val="16"/>
          <w:szCs w:val="16"/>
          <w:color w:val="auto"/>
        </w:rPr>
        <w:t>” means a lease obligation that is not required to be accounted for as a financing or capital lease on both the balance sheet and the income statement for financial reporting purposes in accordance with GAAP. For the avoidance of doubt (i) the accounting for any lease obligation under this Agreement shall be based on GAAP as in effect on December 15, 2018 and without giving effect to any subsequent changes in GAAP (or the required implementation of any previously promulgated changes in GAAP) relating to the treatment of a lease as an operating lease or capitalized lease and (ii) any operating lease of the Borrower or its Subsidiaries shall be considered a Non-Financing Lease Obligation.</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any of the aforesaid rates as so determined shall be less than zero, such rate shall be deemed to be zero for purposes of this Agreement.</w:t>
      </w:r>
    </w:p>
    <w:p>
      <w:pPr>
        <w:spacing w:after="0" w:line="16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to the Lenders or any of their Affiliates under any Swap Agreement or any Banking Services Agreement or in respect of any of the Loans made or reimbursement or other obligations incurred for any of the Letters of Credit or other instruments at any time evidencing any thereof. Notwithstanding the foregoing, and for the avoidance of doubt, obligations arising from Permitted Bond Hedges and letter of credit facilities that are not under this Agreement shall not be considered Obligations.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Office of Foreign Assets Control of the United States Department of the Treasury.</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40" w:name="page41"/>
    <w:bookmarkEnd w:id="40"/>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7"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117" w:lineRule="exact"/>
        <w:rPr>
          <w:sz w:val="20"/>
          <w:szCs w:val="20"/>
          <w:color w:val="auto"/>
        </w:rPr>
      </w:pPr>
    </w:p>
    <w:p>
      <w:pPr>
        <w:ind w:left="440" w:right="2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has the meaning assigned to it in Section 9.13.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it in Section 8.06(c).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it in Section 8.06(c).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Bond Hedge</w:t>
      </w:r>
      <w:r>
        <w:rPr>
          <w:rFonts w:ascii="Arial" w:cs="Arial" w:eastAsia="Arial" w:hAnsi="Arial"/>
          <w:sz w:val="18"/>
          <w:szCs w:val="18"/>
          <w:color w:val="auto"/>
        </w:rPr>
        <w:t>” means any Swap Agreement that is settled (after payment of any premium or any prepayment thereunder) through the delivery of cash and/or of Equity Interests of the Borrower and is entered into in connection with any Convertible Debt Securities in customary form, the purpose of which is to mitigate dilution upon conversion of such Convertible Debt Securities (including, but not limited to, any bond hedge transaction, warrant transaction, or capped call transaction).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5420" w:right="1960" w:hanging="4433"/>
        <w:spacing w:after="0" w:line="449" w:lineRule="auto"/>
        <w:tabs>
          <w:tab w:leader="none" w:pos="12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 or are being contested in compliance with Section 5.04; 26</w:t>
      </w:r>
    </w:p>
    <w:p>
      <w:pPr>
        <w:sectPr>
          <w:pgSz w:w="11900" w:h="16838" w:orient="portrait"/>
          <w:cols w:equalWidth="0" w:num="1">
            <w:col w:w="10960"/>
          </w:cols>
          <w:pgMar w:left="440" w:top="274" w:right="499" w:bottom="1440" w:gutter="0" w:footer="0" w:header="0"/>
        </w:sectPr>
      </w:pPr>
    </w:p>
    <w:bookmarkStart w:id="41" w:name="page42"/>
    <w:bookmarkEnd w:id="41"/>
    <w:p>
      <w:pPr>
        <w:ind w:right="400" w:firstLine="987"/>
        <w:spacing w:after="0" w:line="263"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carriers’, warehousemen’s, mechanics’, materialmen’s, repairmen’s, landlord’s and other like Liens imposed by law, arising in the ordinary course of business and securing obligations that are not overdue by more than sixty (60) days or are being contested in compliance with Section 5.04;</w:t>
      </w:r>
    </w:p>
    <w:p>
      <w:pPr>
        <w:spacing w:after="0" w:line="75" w:lineRule="exact"/>
        <w:rPr>
          <w:rFonts w:ascii="Arial" w:cs="Arial" w:eastAsia="Arial" w:hAnsi="Arial"/>
          <w:sz w:val="18"/>
          <w:szCs w:val="18"/>
          <w:color w:val="auto"/>
        </w:rPr>
      </w:pPr>
    </w:p>
    <w:p>
      <w:pPr>
        <w:ind w:firstLine="987"/>
        <w:spacing w:after="0" w:line="277" w:lineRule="auto"/>
        <w:tabs>
          <w:tab w:leader="none" w:pos="1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62"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w:t>
      </w:r>
    </w:p>
    <w:p>
      <w:pPr>
        <w:spacing w:after="0" w:line="117" w:lineRule="exact"/>
        <w:rPr>
          <w:rFonts w:ascii="Arial" w:cs="Arial" w:eastAsia="Arial" w:hAnsi="Arial"/>
          <w:sz w:val="18"/>
          <w:szCs w:val="18"/>
          <w:color w:val="auto"/>
        </w:rPr>
      </w:pPr>
    </w:p>
    <w:p>
      <w:pPr>
        <w:ind w:right="60" w:firstLine="987"/>
        <w:spacing w:after="0" w:line="263" w:lineRule="auto"/>
        <w:tabs>
          <w:tab w:leader="none" w:pos="12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leases or subleases granted to other Persons and not interfering in any material respect with the business of the lessor or sublessor;</w:t>
      </w:r>
    </w:p>
    <w:p>
      <w:pPr>
        <w:spacing w:after="0" w:line="140" w:lineRule="exact"/>
        <w:rPr>
          <w:rFonts w:ascii="Arial" w:cs="Arial" w:eastAsia="Arial" w:hAnsi="Arial"/>
          <w:sz w:val="16"/>
          <w:szCs w:val="16"/>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filings or similar filings relating to operating leases;</w:t>
      </w:r>
    </w:p>
    <w:p>
      <w:pPr>
        <w:spacing w:after="0" w:line="117" w:lineRule="exact"/>
        <w:rPr>
          <w:rFonts w:ascii="Arial" w:cs="Arial" w:eastAsia="Arial" w:hAnsi="Arial"/>
          <w:sz w:val="18"/>
          <w:szCs w:val="18"/>
          <w:color w:val="auto"/>
        </w:rPr>
      </w:pPr>
    </w:p>
    <w:p>
      <w:pPr>
        <w:ind w:right="180" w:firstLine="987"/>
        <w:spacing w:after="0" w:line="277" w:lineRule="auto"/>
        <w:tabs>
          <w:tab w:leader="none" w:pos="12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within the importation of goods;</w:t>
      </w:r>
    </w:p>
    <w:p>
      <w:pPr>
        <w:spacing w:after="0" w:line="62" w:lineRule="exact"/>
        <w:rPr>
          <w:rFonts w:ascii="Arial" w:cs="Arial" w:eastAsia="Arial" w:hAnsi="Arial"/>
          <w:sz w:val="18"/>
          <w:szCs w:val="18"/>
          <w:color w:val="auto"/>
        </w:rPr>
      </w:pPr>
    </w:p>
    <w:p>
      <w:pPr>
        <w:ind w:right="260" w:firstLine="987"/>
        <w:spacing w:after="0" w:line="286" w:lineRule="auto"/>
        <w:tabs>
          <w:tab w:leader="none" w:pos="1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licenses of intellectual property in the ordinary course of business or not materially interfering with the business of Borrower and its Subsidiaries, taken as a whole (including, intercompany licensing of intellectual property between the Borrower and any Subsidiary and between Subsidiaries in connection with cost-sharing arrangements, distribution, marketing, make-sell or other similar arrangements); and</w:t>
      </w:r>
    </w:p>
    <w:p>
      <w:pPr>
        <w:spacing w:after="0" w:line="57" w:lineRule="exact"/>
        <w:rPr>
          <w:rFonts w:ascii="Arial" w:cs="Arial" w:eastAsia="Arial" w:hAnsi="Arial"/>
          <w:sz w:val="17"/>
          <w:szCs w:val="17"/>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interest or title of a lessor or sublessor under any lease of real property or personal property;</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of the type described in clause (a) the definition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right="200" w:firstLine="987"/>
        <w:spacing w:after="0" w:line="286"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direct obligations of, or obligations the principal of and interest on which are unconditionally guaranteed by, the United States of America or any political subdivision, state or public instrumentality thereof (or by any agency thereof to the extent such obligations are backed by the full faith and credit of the United States of America), in each case maturing within one year from the date of acquisition thereof;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42" w:name="page43"/>
    <w:bookmarkEnd w:id="42"/>
    <w:p>
      <w:pPr>
        <w:ind w:right="40" w:firstLine="987"/>
        <w:spacing w:after="0" w:line="277"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 commercial paper maturing within 270 days from the date of acquisition thereof and having, at such date of acquisition, the highest credit rating obtainable from S&amp;P or from Moody’s;</w:t>
      </w:r>
    </w:p>
    <w:p>
      <w:pPr>
        <w:spacing w:after="0" w:line="62" w:lineRule="exact"/>
        <w:rPr>
          <w:rFonts w:ascii="Arial" w:cs="Arial" w:eastAsia="Arial" w:hAnsi="Arial"/>
          <w:sz w:val="18"/>
          <w:szCs w:val="18"/>
          <w:color w:val="auto"/>
        </w:rPr>
      </w:pPr>
    </w:p>
    <w:p>
      <w:pPr>
        <w:ind w:right="40" w:firstLine="987"/>
        <w:spacing w:after="0" w:line="263"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bonds issued in the United States of America maturing no more than two (2) years from the date of acquisition and, at the time of acquisition, having a rating of at least BBB from S&amp;P or at least Baa2 from Moody’s; provided, that any such investment in such bonds shall not exceed 10% of a specific bond issuance;</w:t>
      </w:r>
    </w:p>
    <w:p>
      <w:pPr>
        <w:spacing w:after="0" w:line="75" w:lineRule="exact"/>
        <w:rPr>
          <w:rFonts w:ascii="Arial" w:cs="Arial" w:eastAsia="Arial" w:hAnsi="Arial"/>
          <w:sz w:val="18"/>
          <w:szCs w:val="18"/>
          <w:color w:val="auto"/>
        </w:rPr>
      </w:pPr>
    </w:p>
    <w:p>
      <w:pPr>
        <w:ind w:right="120" w:firstLine="987"/>
        <w:spacing w:after="0" w:line="301" w:lineRule="auto"/>
        <w:tabs>
          <w:tab w:leader="none" w:pos="12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investments in certificates of deposit, time deposits, or bankers’ acceptances maturing no more than two (2) years from the date of acquisition thereof issued or guaranteed by or placed with, and money market deposit accounts issued or offered by, any bank organized under the laws of (i) the United States of America or any state thereof or (ii) a jurisdiction other than the United States of America but with a presence in the United States of America, in each case, having at the date of acquisition thereof combined capital and surplus of not less than $250,000,000;</w:t>
      </w:r>
    </w:p>
    <w:p>
      <w:pPr>
        <w:spacing w:after="0" w:line="49" w:lineRule="exact"/>
        <w:rPr>
          <w:rFonts w:ascii="Arial" w:cs="Arial" w:eastAsia="Arial" w:hAnsi="Arial"/>
          <w:sz w:val="16"/>
          <w:szCs w:val="16"/>
          <w:color w:val="auto"/>
        </w:rPr>
      </w:pPr>
    </w:p>
    <w:p>
      <w:pPr>
        <w:ind w:firstLine="987"/>
        <w:spacing w:after="0" w:line="263"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deposit accounts maintained with (i) any bank that satisfies the criteria described in clause (d)(i) above, or (ii) any other bank organized under the laws of the United States or any state thereof so long as the amount maintained with any such other bank is less than or equal to $250,000 and is insured by the Federal Deposit Insurance Corporation;</w:t>
      </w:r>
    </w:p>
    <w:p>
      <w:pPr>
        <w:spacing w:after="0" w:line="75" w:lineRule="exact"/>
        <w:rPr>
          <w:rFonts w:ascii="Arial" w:cs="Arial" w:eastAsia="Arial" w:hAnsi="Arial"/>
          <w:sz w:val="18"/>
          <w:szCs w:val="18"/>
          <w:color w:val="auto"/>
        </w:rPr>
      </w:pPr>
    </w:p>
    <w:p>
      <w:pPr>
        <w:ind w:right="80" w:firstLine="987"/>
        <w:spacing w:after="0" w:line="277" w:lineRule="auto"/>
        <w:tabs>
          <w:tab w:leader="none" w:pos="12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thirty (30) days for securities described in clause (a) above and entered into with a financial institution satisfying the criteria described in clause (d) above;</w:t>
      </w:r>
    </w:p>
    <w:p>
      <w:pPr>
        <w:spacing w:after="0" w:line="62" w:lineRule="exact"/>
        <w:rPr>
          <w:rFonts w:ascii="Arial" w:cs="Arial" w:eastAsia="Arial" w:hAnsi="Arial"/>
          <w:sz w:val="18"/>
          <w:szCs w:val="18"/>
          <w:color w:val="auto"/>
        </w:rPr>
      </w:pPr>
    </w:p>
    <w:p>
      <w:pPr>
        <w:ind w:right="240" w:firstLine="987"/>
        <w:spacing w:after="0" w:line="277"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62" w:lineRule="exact"/>
        <w:rPr>
          <w:rFonts w:ascii="Arial" w:cs="Arial" w:eastAsia="Arial" w:hAnsi="Arial"/>
          <w:sz w:val="18"/>
          <w:szCs w:val="18"/>
          <w:color w:val="auto"/>
        </w:rPr>
      </w:pPr>
    </w:p>
    <w:p>
      <w:pPr>
        <w:ind w:right="100" w:firstLine="987"/>
        <w:spacing w:after="0" w:line="279" w:lineRule="auto"/>
        <w:tabs>
          <w:tab w:leader="none" w:pos="12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investments in an aggregate amount not to exceed $500,000,000 at any time outstanding permitted by the Borrower’s investment policy as previously disclosed to the Administrative Agent and in effect on the Effective Date (and as amended, restated, supplemented or otherwise modified from time to time with the consent (such consent not to be unreasonably withheld) of the Administrative Agent; provided that changes that do not affect the tenor or quality of the investments permitted thereby shall not require such consent).</w:t>
      </w:r>
    </w:p>
    <w:p>
      <w:pPr>
        <w:spacing w:after="0" w:line="171"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Debt Domain, Intralinks, Syndtrak or a substantially similar electronic transmission system.</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3" w:name="page44"/>
    <w:bookmarkEnd w:id="43"/>
    <w:p>
      <w:pPr>
        <w:ind w:left="4" w:right="2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ind w:left="4" w:hanging="4"/>
        <w:spacing w:after="0" w:line="277" w:lineRule="auto"/>
        <w:tabs>
          <w:tab w:leader="none" w:pos="4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3" w:lineRule="exact"/>
        <w:rPr>
          <w:sz w:val="20"/>
          <w:szCs w:val="20"/>
          <w:color w:val="auto"/>
        </w:rPr>
      </w:pPr>
    </w:p>
    <w:p>
      <w:pPr>
        <w:ind w:left="4" w:right="26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Properties</w:t>
      </w:r>
      <w:r>
        <w:rPr>
          <w:rFonts w:ascii="Arial" w:cs="Arial" w:eastAsia="Arial" w:hAnsi="Arial"/>
          <w:sz w:val="17"/>
          <w:szCs w:val="17"/>
          <w:color w:val="auto"/>
        </w:rPr>
        <w:t>” means (1) those real properties (and adjacent facilities) of the Borrower and any of its Subsidiaries located at 110 West 44th Street, New York, New York 10036 and (2) any building, structure or other facility, together with the land upon which it is erected and any fixtures which are a part of the building, structure or other facility, located in the United States, and owned or leased or to be owned or leased by the Borrower or any of its Subsidiaries, and in each case the net book value of which as of that date exceeds $50,000,000, other than any such land, building, structure or other facility or portion thereof which, in the opinion of the board of directors of the Borrower (or any committee thereof duly authorized to act on behalf of such board) by resolution determines in good faith not of material importance to the total business conducted by the Borrower and its Subsidiaries, considered as one enterprise.</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 has the meaning assigned to such term in Section 3.04(b).</w:t>
      </w:r>
    </w:p>
    <w:p>
      <w:pPr>
        <w:spacing w:after="0" w:line="225"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it in Section 9.18.</w:t>
      </w:r>
    </w:p>
    <w:p>
      <w:pPr>
        <w:spacing w:after="0" w:line="225" w:lineRule="exact"/>
        <w:rPr>
          <w:sz w:val="20"/>
          <w:szCs w:val="20"/>
          <w:color w:val="auto"/>
        </w:rPr>
      </w:pPr>
    </w:p>
    <w:p>
      <w:pPr>
        <w:ind w:left="4" w:right="4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w:t>
      </w:r>
      <w:r>
        <w:rPr>
          <w:rFonts w:ascii="Arial" w:cs="Arial" w:eastAsia="Arial" w:hAnsi="Arial"/>
          <w:sz w:val="18"/>
          <w:szCs w:val="18"/>
          <w:color w:val="auto"/>
        </w:rPr>
        <w:t xml:space="preserve">” means any acquisition designated as such by the Borrower to the Administrative Agent at the time of the consummation thereof for consideration in excess of $500,000,000;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such Qualified Acquisition, no Default or Event of Default hereunder shall have occurred or be continuing or result therefrom.</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ind w:left="4" w:right="1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the Term SOFR Rate, 5:00 a.m. (Chicago time) on the day that is two Business Days preceding the date of such setting, (2) if such Benchmark is EURIBOR Rate, 11:00 a.m. Brussels time two TARGET Days preceding the date of such setting, (3) if the RFR for such Benchmark is SONIA, then three Business Days prior to such setting, (4) if the RFR for such Benchmark is Daily Simple SOFR, then four Business Days prior to such setting or (5) if such Benchmark is none of the Term SOFR Rate, the EURIBOR Rate, SONIA or Daily Simple SOFR, the time determined by the Administrative Agent in its reasonable discretion.</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w:t>
      </w:r>
    </w:p>
    <w:p>
      <w:pPr>
        <w:spacing w:after="0" w:line="225"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trustees, administrators, directors, officers, employees, agents and advisors of such Person and such Person’s Affiliates.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44" w:name="page45"/>
    <w:bookmarkEnd w:id="44"/>
    <w:p>
      <w:pPr>
        <w:ind w:left="4" w:right="60"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Dollars, the Federal Reserve Board and/or the NYFRB, the Term SOFR Administrator, as applicable,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(x) the Bank of Canada or (y) any working group or committee officially endorsed or convened by (A) the Bank of Canada, (B) any other supervisor that is responsible for supervising either (1) such Benchmark Replacement or (2) the administrator of such Benchmark Replacement, (C) a group of the Bank of Canada or any other such supervisors or (D) the Financial Stability Board or any part thereof and</w:t>
      </w:r>
    </w:p>
    <w:p>
      <w:pPr>
        <w:spacing w:after="0" w:line="6" w:lineRule="exact"/>
        <w:rPr>
          <w:sz w:val="20"/>
          <w:szCs w:val="20"/>
          <w:color w:val="auto"/>
        </w:rPr>
      </w:pPr>
    </w:p>
    <w:p>
      <w:pPr>
        <w:ind w:left="4" w:right="20" w:hanging="4"/>
        <w:spacing w:after="0" w:line="281" w:lineRule="auto"/>
        <w:tabs>
          <w:tab w:leader="none" w:pos="2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w:t>
      </w:r>
    </w:p>
    <w:p>
      <w:pPr>
        <w:spacing w:after="0" w:line="1" w:lineRule="exact"/>
        <w:rPr>
          <w:rFonts w:ascii="Arial" w:cs="Arial" w:eastAsia="Arial" w:hAnsi="Arial"/>
          <w:sz w:val="16"/>
          <w:szCs w:val="16"/>
          <w:color w:val="auto"/>
        </w:rPr>
      </w:pPr>
    </w:p>
    <w:p>
      <w:pPr>
        <w:jc w:val="both"/>
        <w:ind w:left="4" w:right="60"/>
        <w:spacing w:after="0" w:line="255" w:lineRule="auto"/>
        <w:rPr>
          <w:rFonts w:ascii="Arial" w:cs="Arial" w:eastAsia="Arial" w:hAnsi="Arial"/>
          <w:sz w:val="16"/>
          <w:szCs w:val="16"/>
          <w:color w:val="auto"/>
        </w:rPr>
      </w:pPr>
      <w:r>
        <w:rPr>
          <w:rFonts w:ascii="Arial" w:cs="Arial" w:eastAsia="Arial" w:hAnsi="Arial"/>
          <w:sz w:val="18"/>
          <w:szCs w:val="18"/>
          <w:color w:val="auto"/>
        </w:rPr>
        <w:t>(1)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Rate</w:t>
      </w:r>
      <w:r>
        <w:rPr>
          <w:rFonts w:ascii="Arial" w:cs="Arial" w:eastAsia="Arial" w:hAnsi="Arial"/>
          <w:sz w:val="17"/>
          <w:szCs w:val="17"/>
          <w:color w:val="auto"/>
        </w:rPr>
        <w:t>” means (i) with respect to any Term Benchmark Borrowing denominated in Dollars, the Adjusted Term SOFR Rate,</w:t>
      </w:r>
    </w:p>
    <w:p>
      <w:pPr>
        <w:spacing w:after="0" w:line="35" w:lineRule="exact"/>
        <w:rPr>
          <w:sz w:val="20"/>
          <w:szCs w:val="20"/>
          <w:color w:val="auto"/>
        </w:rPr>
      </w:pPr>
    </w:p>
    <w:p>
      <w:pPr>
        <w:ind w:left="4" w:right="200" w:hanging="4"/>
        <w:spacing w:after="0" w:line="255" w:lineRule="auto"/>
        <w:tabs>
          <w:tab w:leader="none" w:pos="2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any Term Benchmark Borrowing denominated in Canadian Dollars, the Adjusted CDOR Rate, (iii) with respect to any Term Benchmark Borrowing denominated in Euros, the Adjusted EURIBOR Rate or (iv) with respect to any Borrowing denominated in Sterling or Dollars, the applicable Adjusted Daily Simple RFR, as applicable.</w:t>
      </w:r>
    </w:p>
    <w:p>
      <w:pPr>
        <w:spacing w:after="0" w:line="190" w:lineRule="exact"/>
        <w:rPr>
          <w:sz w:val="20"/>
          <w:szCs w:val="20"/>
          <w:color w:val="auto"/>
        </w:rPr>
      </w:pPr>
    </w:p>
    <w:p>
      <w:pPr>
        <w:jc w:val="both"/>
        <w:ind w:left="4"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Screen Rate</w:t>
      </w:r>
      <w:r>
        <w:rPr>
          <w:rFonts w:ascii="Arial" w:cs="Arial" w:eastAsia="Arial" w:hAnsi="Arial"/>
          <w:sz w:val="18"/>
          <w:szCs w:val="18"/>
          <w:color w:val="auto"/>
        </w:rPr>
        <w:t>” means (i) with respect to any Term Benchmark Borrowing denominated in Dollars, the Term SOFR Reference Rate, (ii) with respect to any Term Benchmark Borrowing denominated in Canadian Dollars, the CDOR Screen Rate or (iii) with respect to any Term Benchmark Borrowing denominated in Euros, the EURIBOR Screen Rate.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has the meaning assigned to such term in Section 2.23(c).</w:t>
      </w:r>
    </w:p>
    <w:p>
      <w:pPr>
        <w:spacing w:after="0" w:line="225" w:lineRule="exact"/>
        <w:rPr>
          <w:sz w:val="20"/>
          <w:szCs w:val="20"/>
          <w:color w:val="auto"/>
        </w:rPr>
      </w:pPr>
    </w:p>
    <w:p>
      <w:pPr>
        <w:jc w:val="both"/>
        <w:ind w:left="4"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Revolving Credit Exposures and unused Commitments representing more than 50% of the sum of the total Revolving Credit Exposures and unused Commitments at such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Response Date</w:t>
      </w:r>
      <w:r>
        <w:rPr>
          <w:rFonts w:ascii="Arial" w:cs="Arial" w:eastAsia="Arial" w:hAnsi="Arial"/>
          <w:sz w:val="18"/>
          <w:szCs w:val="18"/>
          <w:color w:val="auto"/>
        </w:rPr>
        <w:t>” has the meaning assigned to such term in Section 2.23(a).</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Loans and its LC Exposure at such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w:t>
      </w:r>
      <w:r>
        <w:rPr>
          <w:rFonts w:ascii="Arial" w:cs="Arial" w:eastAsia="Arial" w:hAnsi="Arial"/>
          <w:sz w:val="18"/>
          <w:szCs w:val="18"/>
          <w:color w:val="auto"/>
        </w:rPr>
        <w:t>” means, for any RFR Loan denominated in (a) Sterling, SONIA and (b) Dollars, Daily Simple SOFR.</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45" w:name="page46"/>
    <w:bookmarkEnd w:id="4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RFR Administrator</w:t>
      </w:r>
      <w:r>
        <w:rPr>
          <w:rFonts w:ascii="Arial" w:cs="Arial" w:eastAsia="Arial" w:hAnsi="Arial"/>
          <w:sz w:val="18"/>
          <w:szCs w:val="18"/>
          <w:color w:val="auto"/>
        </w:rPr>
        <w:t>” means the SONIA Administrator or the SOFR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Borrowing</w:t>
      </w:r>
      <w:r>
        <w:rPr>
          <w:rFonts w:ascii="Arial" w:cs="Arial" w:eastAsia="Arial" w:hAnsi="Arial"/>
          <w:sz w:val="18"/>
          <w:szCs w:val="18"/>
          <w:color w:val="auto"/>
        </w:rPr>
        <w:t>” means, as to any Borrowing, the RFR Loans comprising such Borrowing.</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Business Day</w:t>
      </w:r>
      <w:r>
        <w:rPr>
          <w:rFonts w:ascii="Arial" w:cs="Arial" w:eastAsia="Arial" w:hAnsi="Arial"/>
          <w:sz w:val="18"/>
          <w:szCs w:val="18"/>
          <w:color w:val="auto"/>
        </w:rPr>
        <w:t>” means, for any Loan denominated in (a) Sterling, any day except for (i) a Saturday, (ii) a Sunday or (iii) a day on which banks are closed for general business in London and (c) Dollars, a U.S. Government Securities Business Day.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Day</w:t>
      </w:r>
      <w:r>
        <w:rPr>
          <w:rFonts w:ascii="Arial" w:cs="Arial" w:eastAsia="Arial" w:hAnsi="Arial"/>
          <w:sz w:val="18"/>
          <w:szCs w:val="18"/>
          <w:color w:val="auto"/>
        </w:rPr>
        <w:t>” has the meaning specified in the definition of “Daily Simple RFR”.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the Adjusted Daily Simple RFR.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business of S&amp;P Global Inc., and any successor thereto.</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the so-called Donetsk People’s Republic of Ukraine, the so-called Luhansk People’s Republic of Ukraine, the Crimea Region of Ukraine, Cuba, Iran, North Korea and Syria).</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Her Majesty’s Treasury of the United Kingdom or other relevant sanctions authorities, (b) any Person operating, organized or resident in a Sanctioned Country, (c) any Person owned or controlled by any such Person or Persons described in the foregoing clauses (a) or (b) or (d) any government that is itself the target of Sanctions (as of the date of this Agreement, the governments of Cuba, Iran, North Korea, Syria, and Venezuela).</w:t>
      </w:r>
    </w:p>
    <w:p>
      <w:pPr>
        <w:spacing w:after="0" w:line="18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Her Majesty’s Treasury of the United Kingdom, or other relevant sanctions authorities.</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agency of the U.S. government administering the Securities Act.</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“Securities Act” means the Securities Act of 1933, as amended, or any successor federal statute, and the rules and regulations of the SEC thereunder, all as the same shall be in effect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collectively, (i) the 3.300% senior notes due 2024 of the Borrower in an aggregate principal amount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$1,000,000,000, (ii) the 3.550% senior notes due 2025 of the Borrower in an aggregate principal amount of $600,000,000, (iii) the 3.700% senior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2027 of the Borrower in an aggregate principal amount of $600,000,000 and (iv) the 4.000% senior notes due 2032 of the Borrower in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$500,000,000.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6" w:name="page47"/>
    <w:bookmarkEnd w:id="4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Determination Date</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w:t>
      </w:r>
      <w:r>
        <w:rPr>
          <w:rFonts w:ascii="Arial" w:cs="Arial" w:eastAsia="Arial" w:hAnsi="Arial"/>
          <w:sz w:val="17"/>
          <w:szCs w:val="17"/>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CDOR Rate or Adjusted EURIBOR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by such parent and (b) with respect to which such parent is a Controlling Person or otherwise Controls such entity.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47" w:name="page48"/>
    <w:bookmarkEnd w:id="4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Successor Company</w:t>
      </w:r>
      <w:r>
        <w:rPr>
          <w:rFonts w:ascii="Arial" w:cs="Arial" w:eastAsia="Arial" w:hAnsi="Arial"/>
          <w:sz w:val="18"/>
          <w:szCs w:val="18"/>
          <w:color w:val="auto"/>
        </w:rPr>
        <w:t>” has the meaning assigned to it in Section 6.04.</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it in Section 9.18.</w:t>
      </w:r>
    </w:p>
    <w:p>
      <w:pPr>
        <w:spacing w:after="0" w:line="225" w:lineRule="exact"/>
        <w:rPr>
          <w:sz w:val="20"/>
          <w:szCs w:val="20"/>
          <w:color w:val="auto"/>
        </w:rPr>
      </w:pPr>
    </w:p>
    <w:p>
      <w:pPr>
        <w:ind w:right="10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following shall not be deemed a “Swap Agreement”: (i) any phantom stock or similar plan (including, any stock option plan) providing for payments only on account of services provided by current or former directors, officers, employees or consultants of the Borrower or the Subsidiaries, (ii) any stock option or warrant agreement for the purchase of Equity Interests of the Borrower, (iii) the purchase of Equity Interests or Indebtedness (including securities convertible into Equity Interests) of Borrower pursuant to delayed delivery contracts, accelerated stock repurchase agreements, forward contracts or other similar agreements and (iv) any of the foregoing to the extent that it constitutes a derivative embedded in a convertible security issued by the Borrower.</w:t>
      </w:r>
    </w:p>
    <w:p>
      <w:pPr>
        <w:spacing w:after="0" w:line="181"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Wells Fargo Bank, National Association, in its capacity as a syndication agent for the credit facility evidenced by this Agreement.</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ind w:right="2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Day</w:t>
      </w:r>
      <w:r>
        <w:rPr>
          <w:rFonts w:ascii="Arial" w:cs="Arial" w:eastAsia="Arial" w:hAnsi="Arial"/>
          <w:sz w:val="17"/>
          <w:szCs w:val="17"/>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46"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Term SOFR Rate, the Adjusted CDOR Rate or the Adjusted EURIBOR Rate.</w:t>
      </w:r>
    </w:p>
    <w:p>
      <w:pPr>
        <w:spacing w:after="0" w:line="184"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225" w:lineRule="exact"/>
        <w:rPr>
          <w:sz w:val="20"/>
          <w:szCs w:val="20"/>
          <w:color w:val="auto"/>
        </w:rPr>
      </w:pPr>
    </w:p>
    <w:p>
      <w:pPr>
        <w:jc w:val="both"/>
        <w:ind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Rate</w:t>
      </w:r>
      <w:r>
        <w:rPr>
          <w:rFonts w:ascii="Arial" w:cs="Arial" w:eastAsia="Arial" w:hAnsi="Arial"/>
          <w:sz w:val="16"/>
          <w:szCs w:val="16"/>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Term SOFR Administrator.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8" w:name="page49"/>
    <w:bookmarkEnd w:id="48"/>
    <w:p>
      <w:pPr>
        <w:ind w:left="4"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Term SOFR Reference Rate</w:t>
      </w:r>
      <w:r>
        <w:rPr>
          <w:rFonts w:ascii="Arial" w:cs="Arial" w:eastAsia="Arial" w:hAnsi="Arial"/>
          <w:sz w:val="17"/>
          <w:szCs w:val="17"/>
          <w:color w:val="auto"/>
        </w:rPr>
        <w:t>” means, for any day and time (such day, the “Term SOFR Determination Day”),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Credit Exposure</w:t>
      </w:r>
      <w:r>
        <w:rPr>
          <w:rFonts w:ascii="Arial" w:cs="Arial" w:eastAsia="Arial" w:hAnsi="Arial"/>
          <w:sz w:val="16"/>
          <w:szCs w:val="16"/>
          <w:color w:val="auto"/>
        </w:rPr>
        <w:t>” means, the sum of the outstanding principal amount of all Lenders’ Loans and their LC Exposure at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time.</w:t>
      </w:r>
    </w:p>
    <w:p>
      <w:pPr>
        <w:spacing w:after="0" w:line="211"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collectively, (a) the consummation of the Combination, (b) the occurrence of the Effective Date Refinancing, (c) the occurrence of the Existing Zynga Notes Fundamental Change Conversion and the Existing Zynga Notes Fundamental Change Repurchase, if any,</w:t>
      </w:r>
    </w:p>
    <w:p>
      <w:pPr>
        <w:ind w:left="4" w:right="60" w:hanging="4"/>
        <w:spacing w:after="0" w:line="295" w:lineRule="auto"/>
        <w:tabs>
          <w:tab w:leader="none" w:pos="2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issuance of the Senior Notes, (e) the execution, delivery and performance by the Borrower of this Agreement and the other Loan Documents and the initial borrowing of Loans and other credit extensions, the use of proceeds thereof and the issuance (including any deemed issuance) of Letters of Credit hereunder, (f) the other transactions to occur pursuant to or in connection with the Merger Agreement and the Loan Documents and (g) the payment of all fees, costs and expenses incurred or payable by the Borrower or any of its Subsidiaries in connection with the foregoing.</w:t>
      </w:r>
    </w:p>
    <w:p>
      <w:pPr>
        <w:spacing w:after="0" w:line="161" w:lineRule="exact"/>
        <w:rPr>
          <w:sz w:val="20"/>
          <w:szCs w:val="20"/>
          <w:color w:val="auto"/>
        </w:rPr>
      </w:pPr>
    </w:p>
    <w:p>
      <w:pPr>
        <w:ind w:left="4"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Term SOFR Rate, the Adjusted CDOR Rate, the Adjusted EURIBOR Rate, the Adjusted Daily Simple RFR or the Alternate Base Rate.</w:t>
      </w:r>
    </w:p>
    <w:p>
      <w:pPr>
        <w:spacing w:after="0" w:line="184"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4"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has the meaning assigned to such term in Section 3.04(a).</w:t>
      </w:r>
    </w:p>
    <w:p>
      <w:pPr>
        <w:spacing w:after="0" w:line="225" w:lineRule="exact"/>
        <w:rPr>
          <w:sz w:val="20"/>
          <w:szCs w:val="20"/>
          <w:color w:val="auto"/>
        </w:rPr>
      </w:pPr>
    </w:p>
    <w:p>
      <w:pPr>
        <w:jc w:val="both"/>
        <w:ind w:left="4"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9" w:name="page50"/>
    <w:bookmarkEnd w:id="4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it in Section 9.18.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2.17(f)(ii)(B)(3).</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Zynga</w:t>
      </w:r>
      <w:r>
        <w:rPr>
          <w:rFonts w:ascii="Arial" w:cs="Arial" w:eastAsia="Arial" w:hAnsi="Arial"/>
          <w:sz w:val="18"/>
          <w:szCs w:val="18"/>
          <w:color w:val="auto"/>
        </w:rPr>
        <w:t>” means Zynga Inc., a Delaware corporation.</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Classification of Loans and Borrowings</w:t>
      </w:r>
      <w:r>
        <w:rPr>
          <w:rFonts w:ascii="Arial" w:cs="Arial" w:eastAsia="Arial" w:hAnsi="Arial"/>
          <w:sz w:val="17"/>
          <w:szCs w:val="17"/>
          <w:color w:val="auto"/>
        </w:rPr>
        <w:t>. For purposes of this Agreement, Loans may be classified and referred to by Type (</w:t>
      </w:r>
      <w:r>
        <w:rPr>
          <w:rFonts w:ascii="Arial" w:cs="Arial" w:eastAsia="Arial" w:hAnsi="Arial"/>
          <w:sz w:val="17"/>
          <w:szCs w:val="17"/>
          <w:u w:val="single" w:color="auto"/>
          <w:color w:val="auto"/>
        </w:rPr>
        <w:t>e.g.</w:t>
      </w:r>
      <w:r>
        <w:rPr>
          <w:rFonts w:ascii="Arial" w:cs="Arial" w:eastAsia="Arial" w:hAnsi="Arial"/>
          <w:sz w:val="17"/>
          <w:szCs w:val="17"/>
          <w:color w:val="auto"/>
        </w:rPr>
        <w:t>, a “Term Benchmark Loan”). Borrowings also may be classified and referred to by Type (</w:t>
      </w:r>
      <w:r>
        <w:rPr>
          <w:rFonts w:ascii="Arial" w:cs="Arial" w:eastAsia="Arial" w:hAnsi="Arial"/>
          <w:sz w:val="17"/>
          <w:szCs w:val="17"/>
          <w:u w:val="single" w:color="auto"/>
          <w:color w:val="auto"/>
        </w:rPr>
        <w:t>e.g.</w:t>
      </w:r>
      <w:r>
        <w:rPr>
          <w:rFonts w:ascii="Arial" w:cs="Arial" w:eastAsia="Arial" w:hAnsi="Arial"/>
          <w:sz w:val="17"/>
          <w:szCs w:val="17"/>
          <w:color w:val="auto"/>
        </w:rPr>
        <w:t>, a “Term Benchmark Borrowing”).</w:t>
      </w:r>
    </w:p>
    <w:p>
      <w:pPr>
        <w:spacing w:after="0" w:line="146"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50" w:name="page51"/>
    <w:bookmarkEnd w:id="50"/>
    <w:p>
      <w:pPr>
        <w:ind w:firstLine="991"/>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Arial" w:cs="Arial" w:eastAsia="Arial" w:hAnsi="Arial"/>
          <w:sz w:val="17"/>
          <w:szCs w:val="17"/>
          <w:u w:val="single" w:color="auto"/>
          <w:color w:val="auto"/>
        </w:rPr>
        <w:t>Accounting Terms; GAAP; Pro Forma Calculations</w:t>
      </w:r>
      <w:r>
        <w:rPr>
          <w:rFonts w:ascii="Arial" w:cs="Arial" w:eastAsia="Arial" w:hAnsi="Arial"/>
          <w:sz w:val="17"/>
          <w:szCs w:val="17"/>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or expense, the Borrower, its auditors and/or its financial systems are capable of interpreting such provisions as if such change in GAAP had not occurred;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in the event that the Borrower requests such an amendment, the Administrative Agent and the Required Lenders shall negotiate in good faith to evaluate such proposed amendment. Notwithstanding any other provision contained herein, all terms of an accounting or financial nature used herein shall be construed, and all computations of amounts and ratios referred to herein shall be (i) made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1" w:lineRule="exact"/>
        <w:rPr>
          <w:sz w:val="20"/>
          <w:szCs w:val="20"/>
          <w:color w:val="auto"/>
        </w:rPr>
      </w:pPr>
    </w:p>
    <w:p>
      <w:pPr>
        <w:ind w:right="80" w:firstLine="987"/>
        <w:spacing w:after="0" w:line="269" w:lineRule="auto"/>
        <w:tabs>
          <w:tab w:leader="none" w:pos="124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pro forma computations required to be made hereunder giving effect to any acquisition or disposition,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9"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Interest Rates; Benchmark Notification</w:t>
      </w:r>
      <w:r>
        <w:rPr>
          <w:rFonts w:ascii="Arial" w:cs="Arial" w:eastAsia="Arial" w:hAnsi="Arial"/>
          <w:sz w:val="16"/>
          <w:szCs w:val="16"/>
          <w:color w:val="auto"/>
        </w:rPr>
        <w:t>. The interest rate on a Loan denominated in dollars or a Foreign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51" w:name="page52"/>
    <w:bookmarkEnd w:id="51"/>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9" w:lineRule="exact"/>
        <w:rPr>
          <w:sz w:val="20"/>
          <w:szCs w:val="20"/>
          <w:color w:val="auto"/>
        </w:rPr>
      </w:pPr>
    </w:p>
    <w:p>
      <w:pPr>
        <w:ind w:left="4" w:right="40" w:firstLine="991"/>
        <w:spacing w:after="0" w:line="275"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Dollar Amount of the stated amount of such Letter of Credit available to be drawn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other agreement related thereto, provides for one or more automatic increases in the available amount thereof, the amount of such Letter of Credit shall be deemed to be the Dollar Amount of the maximum amount of such Letter of Credit after giving effect to all such increases, whether or not such maximum amount is available to be drawn at such time.</w:t>
      </w:r>
    </w:p>
    <w:p>
      <w:pPr>
        <w:spacing w:after="0" w:line="176" w:lineRule="exact"/>
        <w:rPr>
          <w:sz w:val="20"/>
          <w:szCs w:val="20"/>
          <w:color w:val="auto"/>
        </w:rPr>
      </w:pPr>
    </w:p>
    <w:p>
      <w:pPr>
        <w:ind w:left="4" w:right="260" w:firstLine="991"/>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ARTICLE II</w:t>
      </w: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each Lender, severally and not jointly, agrees to make Loans to the Borrower in Agreed Currencies from time to time during the Availability Period in an aggregate principal amount that will not result in</w:t>
      </w:r>
    </w:p>
    <w:p>
      <w:pPr>
        <w:ind w:left="244" w:hanging="244"/>
        <w:spacing w:after="0"/>
        <w:tabs>
          <w:tab w:leader="none" w:pos="2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 to Sections 2.04 and 2.11(b), the Dollar Amount of such Lender’s Revolving Credit Exposure exceeding such Lender’s Commitment,</w:t>
      </w:r>
    </w:p>
    <w:p>
      <w:pPr>
        <w:spacing w:after="0" w:line="20" w:lineRule="exact"/>
        <w:rPr>
          <w:rFonts w:ascii="Arial" w:cs="Arial" w:eastAsia="Arial" w:hAnsi="Arial"/>
          <w:sz w:val="17"/>
          <w:szCs w:val="17"/>
          <w:color w:val="auto"/>
        </w:rPr>
      </w:pPr>
    </w:p>
    <w:p>
      <w:pPr>
        <w:ind w:left="4" w:hanging="4"/>
        <w:spacing w:after="0" w:line="253"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Sections 2.04 and 2.11(b), the Dollar Amount of the Total Revolving Credit Exposure exceeding the Aggregate Commitment or (c) subject to Sections 2.04 and 2.11(b), the Dollar Amount of the total outstanding Loans and LC Exposure, in each case denominated in Foreign Currencies, exceeding the Foreign Currency Sublimit. Within the foregoing limits and subject to the terms and conditions set forth herein, the Borrower may borrow, prepay and reborrow Loans.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52" w:name="page53"/>
    <w:bookmarkEnd w:id="52"/>
    <w:p>
      <w:pPr>
        <w:ind w:right="1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187" w:lineRule="exact"/>
        <w:rPr>
          <w:sz w:val="20"/>
          <w:szCs w:val="20"/>
          <w:color w:val="auto"/>
        </w:rPr>
      </w:pPr>
    </w:p>
    <w:p>
      <w:pPr>
        <w:ind w:right="180" w:firstLine="987"/>
        <w:spacing w:after="0" w:line="293" w:lineRule="auto"/>
        <w:tabs>
          <w:tab w:leader="none" w:pos="1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Subject to Section 2.14, each Borrowing shall be comprised, in the case of Borrowings in Dollars, entirely of ABR Loans or Term Benchmark Loans and , in the case of Borrowings in any other Agreed Currency, entirely of Term Benchmark Loans or RFR Loans, as applicable, in each case of the same Agreed Currency, as the Borrower may request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ABR Loan shall only be made in Dollars. Each Lender at its option may make any Loan by causing any domestic or foreign branch or Affiliate of such Lender to make such Loan (and the provisions of Sections 2.14, 2.15, 2.16 and 2.17 shall apply to such branch or Affiliate to the same extent as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164" w:lineRule="exact"/>
        <w:rPr>
          <w:rFonts w:ascii="Arial" w:cs="Arial" w:eastAsia="Arial" w:hAnsi="Arial"/>
          <w:sz w:val="16"/>
          <w:szCs w:val="16"/>
          <w:color w:val="auto"/>
        </w:rPr>
      </w:pPr>
    </w:p>
    <w:p>
      <w:pPr>
        <w:ind w:right="20" w:firstLine="987"/>
        <w:spacing w:after="0" w:line="254"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Term Benchmark Borrowing, such Borrowing shall be in an aggregate amount that is an integral multiple of $1,000,000 and not less than $5,000,000 (or, if such Borrowing is denominated in a Foreign Currency, the corresponding Dollar Amount). At the time that each ABR Borrowing and/or RFR Borrowing is made, such Borrowing shall be in an aggregate amount that is an integral multiple of $1,000,000 and not less than $5,000,000 (or, if such Borrowing is denominated in a Foreign Currency, the corresponding Dollar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Borrowing may be in an aggregate amount that is equal to the entire unused balance of the Aggregate Commitment or that is required to finance the reimbursement of an LC Disbursement as contemplated by Section 2.06(e).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ten (10) Term Benchmark Borrowings or RFR Borrowings outstanding.</w:t>
      </w:r>
    </w:p>
    <w:p>
      <w:pPr>
        <w:spacing w:after="0" w:line="191"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xml:space="preserve">. To request a Borrowing, the Borrower shall notify the Administrative Agent of such request by irrevocable written notice (via a written Borrowing Request signed by the Borrower) (a)(i) in the case of a Term Benchmark Borrowing denominated in Dollars, not later than 11:00 a.m., New York City time, three (3) Business Days before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Term Benchmark Borrowing denominated in Dollars to be made on the Effective Date, such request shall be delivered to the Administrative Agent not later than 11:00 a.m., New York City time, one (1) Business Day before the Effective Date, (ii) in the case of a Term Benchmark Borrowing denominated in Canadian Dollars or Euros, not later than 12:00 p.m., New York City time, three Business Days before the date of the proposed Borrowing and (iii) in the case of an RFR Borrowing denominated in Sterling, not later than 11:00 a.m., New York City time, four RFR Business Days before the date of the proposed Borrowing or (b) in the case of an ABR Borrowing, not later than 1:00 p.m., New York City time, on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notice of an ABR Borrowing to finance the reimbursement of an LC Disbursement as contemplated by Section 2.06(e) may be given not later than 10:00 a.m., New York City time, on the date of the proposed Borrowing. Each such Borrowing Request shall be irrevocable. Each such telephonic and written Borrowing Request shall specify the following information in compliance with Section 2.02:</w:t>
      </w:r>
    </w:p>
    <w:p>
      <w:pPr>
        <w:spacing w:after="0" w:line="64" w:lineRule="exact"/>
        <w:rPr>
          <w:sz w:val="20"/>
          <w:szCs w:val="20"/>
          <w:color w:val="auto"/>
        </w:rPr>
      </w:pPr>
    </w:p>
    <w:p>
      <w:pPr>
        <w:ind w:left="1080" w:hanging="221"/>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Agreed Currency and aggregate principal amount of the requested Borrowing;</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53" w:name="page54"/>
    <w:bookmarkEnd w:id="53"/>
    <w:p>
      <w:pPr>
        <w:ind w:left="1180" w:hanging="321"/>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such Borrowing is to be an ABR Borrowing, a Term Benchmark Borrowing or an RFR Borrowing;</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 Term Benchmark Borrowing, the initial Interest Period to be applicable thereto, which shall be a period contemplated by the definition of the term “Interest Period”; and</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which shall comply with the requirements of Section 2.07.</w:t>
      </w:r>
    </w:p>
    <w:p>
      <w:pPr>
        <w:spacing w:after="0" w:line="17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If no election as to the currency of a Borrowing is specified, then the requested Revolving Borrowing shall be made in Dollars. If no election as to the Type of Borrowing is specified, then the requested Borrowing shall be an ABR Borrowing made in Dollars.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Determination of Dollar Amounts</w:t>
      </w:r>
      <w:r>
        <w:rPr>
          <w:rFonts w:ascii="Arial" w:cs="Arial" w:eastAsia="Arial" w:hAnsi="Arial"/>
          <w:sz w:val="18"/>
          <w:szCs w:val="18"/>
          <w:color w:val="auto"/>
        </w:rPr>
        <w:t>. The Administrative Agent will determine the Dollar Amount of:</w:t>
      </w:r>
    </w:p>
    <w:p>
      <w:pPr>
        <w:spacing w:after="0" w:line="225" w:lineRule="exact"/>
        <w:rPr>
          <w:sz w:val="20"/>
          <w:szCs w:val="20"/>
          <w:color w:val="auto"/>
        </w:rPr>
      </w:pPr>
    </w:p>
    <w:p>
      <w:pPr>
        <w:jc w:val="both"/>
        <w:ind w:right="540" w:firstLine="987"/>
        <w:spacing w:after="0" w:line="263"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each Term Benchmark Borrowing and RFR Borrowing as of the date of such Borrowing and (ii) (x) with respect to any Term Benchmark Borrowing, the date of conversion/continuation of any Borrowing as a Term Benchmark Borrowing and (y) with respect to any RFR Borrowing, as of the last Business Day of each calendar quarter, and</w:t>
      </w:r>
    </w:p>
    <w:p>
      <w:pPr>
        <w:spacing w:after="0" w:line="183" w:lineRule="exact"/>
        <w:rPr>
          <w:rFonts w:ascii="Arial" w:cs="Arial" w:eastAsia="Arial" w:hAnsi="Arial"/>
          <w:sz w:val="18"/>
          <w:szCs w:val="18"/>
          <w:color w:val="auto"/>
        </w:rPr>
      </w:pPr>
    </w:p>
    <w:p>
      <w:pPr>
        <w:ind w:right="600" w:firstLine="987"/>
        <w:spacing w:after="0" w:line="342" w:lineRule="auto"/>
        <w:tabs>
          <w:tab w:leader="none" w:pos="12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LC Exposure as of (i) the date of each request for the issuance, amendment (including any amendment that has the effect of increasing the face amount thereof), renewal or extension of any Letter of Credit and (ii) the first Business Day of each calendar month</w:t>
      </w:r>
    </w:p>
    <w:p>
      <w:pPr>
        <w:spacing w:after="0" w:line="124"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Each day upon or as of which the Administrative Agent determines Dollar Amounts as described in the preceding clauses (a) and (b) is herein described as a “</w:t>
      </w:r>
      <w:r>
        <w:rPr>
          <w:rFonts w:ascii="Arial" w:cs="Arial" w:eastAsia="Arial" w:hAnsi="Arial"/>
          <w:sz w:val="16"/>
          <w:szCs w:val="16"/>
          <w:u w:val="single" w:color="auto"/>
          <w:color w:val="auto"/>
        </w:rPr>
        <w:t>Computation Date</w:t>
      </w:r>
      <w:r>
        <w:rPr>
          <w:rFonts w:ascii="Arial" w:cs="Arial" w:eastAsia="Arial" w:hAnsi="Arial"/>
          <w:sz w:val="16"/>
          <w:szCs w:val="16"/>
          <w:color w:val="auto"/>
        </w:rPr>
        <w:t>” with respect to each Credit Event for which a Dollar Amount is determined on or as of such day.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Borrower may request any Issuing Bank to issue Letters of Credit denominated in Agreed Currencies as the applicant thereof for the support of its or its Subsidiaries’ obligations, in a form reasonably acceptable to the Administrative Agent and such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92" w:lineRule="exact"/>
        <w:rPr>
          <w:sz w:val="20"/>
          <w:szCs w:val="20"/>
          <w:color w:val="auto"/>
        </w:rPr>
      </w:pPr>
    </w:p>
    <w:p>
      <w:pPr>
        <w:ind w:right="60" w:firstLine="987"/>
        <w:spacing w:after="0" w:line="296" w:lineRule="auto"/>
        <w:tabs>
          <w:tab w:leader="none" w:pos="124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(including any amendment that has the effect of increasing the face amount thereof), renewal or extension of an outstanding Letter of Credit), the Borrower shall hand deliver or telecopy (or transmit by electronic communication, if arrangements for doing so have been approved by the relevant Issuing Bank) to the relevant Issuing Bank and the Administrative Agent (reasonably in advance of the requested date of issuance, amendment, renewal or extension) a notice requesting the issuance of a Letter of Credit, or identifying the Letter of Credit to be amended, renewed or extended,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4" w:name="page55"/>
    <w:bookmarkEnd w:id="5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an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in each case subject to Sections 2.04 and 2.11(b), (i) the sum of (x) the aggregate undrawn Dollar Amount of all outstanding Letters of Credit issued by any Issuing Bank at such time plus (y) the aggregate Dollar Amount of all LC Disbursements made by such Issuing Bank that have not yet been reimbursed by or on behalf of the Borrower at such time shall not exceed its Letter of Credit Commitment, (ii) the Dollar Amount of LC Exposure shall not exceed the total Letter of Credit Commitments, (iii) no Lender’s Dollar Amount of Revolving Credit Exposure shall exceed its Commitment and (iv) the Dollar Amount of the total outstanding Revolving Loans and LC Exposure, in each case denominated in Foreign Currencies, shall not exceed the Foreign Currency Sublimit (in each case of the foregoing clauses (i) through (iv), except in the case of an amendment reducing the amount of an outstanding Letter of Credit or shortening the expiration date of such Letter of Credit). The Borrower may, at any time and from time to time, reduce the Letter of Credit Commitment of any Issuing Bank with the consent of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reduce the Letter of Credit commitment of any Issuing Bank if, after giving effect of such reduction, the conditions set forth in clauses (i) through (iv) of the preceding sentence shall not be satisfied.</w:t>
      </w:r>
    </w:p>
    <w:p>
      <w:pPr>
        <w:spacing w:after="0" w:line="180"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An Issuing Bank shall not be under any obligation to issue any Letter of Credit if (i)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(ii) the issuance of such Letter of Credit would violate one or more policies of such Issuing Bank applicable to letters of credit generally and in effect as of the Effective Date.</w:t>
      </w:r>
    </w:p>
    <w:p>
      <w:pPr>
        <w:spacing w:after="0" w:line="166" w:lineRule="exact"/>
        <w:rPr>
          <w:sz w:val="20"/>
          <w:szCs w:val="20"/>
          <w:color w:val="auto"/>
        </w:rPr>
      </w:pPr>
    </w:p>
    <w:p>
      <w:pPr>
        <w:ind w:firstLine="987"/>
        <w:spacing w:after="0" w:line="255" w:lineRule="auto"/>
        <w:tabs>
          <w:tab w:leader="none" w:pos="123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(or be subject to termination by notice from the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provided that if any amount is able to be drawn under any expired Letter of Credit in accordance with the definition of “LC Exposure” following the date that is five (5) Business Days prior to the Maturity Date, the Borrower shall deposit cash collateral pursuant to Section 2.06(j) in an amount equal to the amount(s) able to be so drawn.</w:t>
      </w:r>
    </w:p>
    <w:p>
      <w:pPr>
        <w:spacing w:after="0" w:line="192" w:lineRule="exact"/>
        <w:rPr>
          <w:rFonts w:ascii="Arial" w:cs="Arial" w:eastAsia="Arial" w:hAnsi="Arial"/>
          <w:sz w:val="18"/>
          <w:szCs w:val="18"/>
          <w:color w:val="auto"/>
        </w:rPr>
      </w:pPr>
    </w:p>
    <w:p>
      <w:pPr>
        <w:ind w:right="80" w:firstLine="987"/>
        <w:spacing w:after="0" w:line="296" w:lineRule="auto"/>
        <w:tabs>
          <w:tab w:leader="none" w:pos="124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relevant Issuing Bank or the Lenders, the relevant Issuing Bank hereby grants to each Lender, and each Lender hereby acquires from the relevant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5" w:name="page56"/>
    <w:bookmarkEnd w:id="55"/>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61" w:lineRule="exact"/>
        <w:rPr>
          <w:sz w:val="20"/>
          <w:szCs w:val="20"/>
          <w:color w:val="auto"/>
        </w:rPr>
      </w:pPr>
    </w:p>
    <w:p>
      <w:pPr>
        <w:ind w:firstLine="987"/>
        <w:spacing w:after="0" w:line="284" w:lineRule="auto"/>
        <w:tabs>
          <w:tab w:leader="none" w:pos="123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the relevant Issuing Bank shall make any LC Disbursement in respect of a Letter of Credit, the Borrower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Borrower, in such other Agreed Currency which was paid by such Issuing Bank pursuant to such LC Disbursement in an amount equal to such LC Disbursement) not later than 1:00 p.m., Local Time, on the date that such LC Disbursement is made, if the Borrower shall have received notice of such LC Disbursement prior to 10:00 a.m., Local Time, on such date, or, if such notice has not been received by the Borrower prior to such time on such date, then not later than 1:00 p.m., Local Time, on the Business Day immediately following the day that the Borrower receives such notice, if such notice is not received prior to such time on the day of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not less than the Dollar Amount of $1,000,000, the Borrower may, subject to the conditions to borrowing set forth herein, request in accordance with Section 2.03 that such payment be financed with (i) to the extent such LC Disbursement was made in Dollars, an ABR Borrowing or Term Benchmark Borrowing in Dollars in an amount equal to such LC Disbursement or (i) to the extent such LC Disbursement was made in a Foreign Currency, a Term Benchmark Borrowing or RFR Borrowing in such Foreign Currency, as applicable, in an amount equal to such LC Disbursement and, in each case, to the extent so financed, the Borrower’s obligation to make such payment shall be discharged and replaced by the resulting ABR Borrowing, Term Benchmark Borrowing or RFR Borrowing, as applicable.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relevant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 pursuant to this paragraph to reimburse the relevant Issuing Bank for any LC Disbursement (other than the funding of ABR Revolving Loans as contemplated above) shall not constitute a Loan and shall not relieve the Borrower of its obligation to reimburse such LC Disbursement. If the Borrower’s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the relevant 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6" w:name="page57"/>
    <w:bookmarkEnd w:id="56"/>
    <w:p>
      <w:pPr>
        <w:ind w:left="4" w:right="40" w:firstLine="987"/>
        <w:spacing w:after="0" w:line="287" w:lineRule="auto"/>
        <w:tabs>
          <w:tab w:leader="none" w:pos="122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Absolute</w:t>
      </w:r>
      <w:r>
        <w:rPr>
          <w:rFonts w:ascii="Arial" w:cs="Arial" w:eastAsia="Arial" w:hAnsi="Arial"/>
          <w:sz w:val="16"/>
          <w:szCs w:val="16"/>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2" w:lineRule="exact"/>
        <w:rPr>
          <w:rFonts w:ascii="Arial" w:cs="Arial" w:eastAsia="Arial" w:hAnsi="Arial"/>
          <w:sz w:val="16"/>
          <w:szCs w:val="16"/>
          <w:color w:val="auto"/>
        </w:rPr>
      </w:pPr>
    </w:p>
    <w:p>
      <w:pPr>
        <w:ind w:left="4" w:hanging="4"/>
        <w:spacing w:after="0" w:line="284" w:lineRule="auto"/>
        <w:tabs>
          <w:tab w:leader="none" w:pos="26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any draft or other document presented under a Letter of Credit proving to be forged, fraudulent or invalid in any respect or any statement therein being untrue or inaccurate in any respect, (iii) payment by the relevant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9" w:lineRule="exact"/>
        <w:rPr>
          <w:rFonts w:ascii="Arial" w:cs="Arial" w:eastAsia="Arial" w:hAnsi="Arial"/>
          <w:sz w:val="16"/>
          <w:szCs w:val="16"/>
          <w:color w:val="auto"/>
        </w:rPr>
      </w:pPr>
    </w:p>
    <w:p>
      <w:pPr>
        <w:ind w:left="4" w:right="20" w:firstLine="987"/>
        <w:spacing w:after="0" w:line="296" w:lineRule="auto"/>
        <w:tabs>
          <w:tab w:leader="none" w:pos="125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Disbursement Procedures</w:t>
      </w:r>
      <w:r>
        <w:rPr>
          <w:rFonts w:ascii="Arial" w:cs="Arial" w:eastAsia="Arial" w:hAnsi="Arial"/>
          <w:sz w:val="16"/>
          <w:szCs w:val="16"/>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a Letter of Credit. Each Issuing Bank shall promptly notify the Administrative Agent and the Borrower by telephone (confirmed by telecopy) of such demand for payment and whether such Issuing Bank has made or will make an LC Disbursement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 or delay in giving such notice shall not relieve the Borrower of its obligation to reimburse such Issuing Bank and the Lenders with respect to any such LC Disbursement.</w:t>
      </w:r>
    </w:p>
    <w:p>
      <w:pPr>
        <w:spacing w:after="0" w:line="161" w:lineRule="exact"/>
        <w:rPr>
          <w:rFonts w:ascii="Arial" w:cs="Arial" w:eastAsia="Arial" w:hAnsi="Arial"/>
          <w:sz w:val="16"/>
          <w:szCs w:val="16"/>
          <w:color w:val="auto"/>
        </w:rPr>
      </w:pPr>
    </w:p>
    <w:p>
      <w:pPr>
        <w:ind w:left="4" w:right="40" w:firstLine="987"/>
        <w:spacing w:after="0" w:line="272" w:lineRule="auto"/>
        <w:tabs>
          <w:tab w:leader="none" w:pos="125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any Issuing Bank shall make any LC Disbursement, then, unless the Borrower shall reimburse such LC Disbursement in full in the applicable Agreed Currency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when due pursuant to paragraph (e) of this Section, then Section 2.13(e) shall apply. Interest accrued pursuant to this paragraph shall be for the account of the relevant Issuing Bank, except that interest accrued on and after the date of payment by any Lender pursuant to paragraph (e) of this Section to reimburse such Issuing Bank shall be for the account of such Lender to the extent of such payment.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274" w:right="479" w:bottom="1440" w:gutter="0" w:footer="0" w:header="0"/>
        </w:sectPr>
      </w:pPr>
    </w:p>
    <w:bookmarkStart w:id="57" w:name="page58"/>
    <w:bookmarkEnd w:id="57"/>
    <w:p>
      <w:pPr>
        <w:ind w:firstLine="987"/>
        <w:spacing w:after="0" w:line="269" w:lineRule="auto"/>
        <w:tabs>
          <w:tab w:leader="none" w:pos="120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Replacement and Resignation of Issuing Banks</w:t>
      </w:r>
      <w:r>
        <w:rPr>
          <w:rFonts w:ascii="Arial" w:cs="Arial" w:eastAsia="Arial" w:hAnsi="Arial"/>
          <w:sz w:val="17"/>
          <w:szCs w:val="17"/>
          <w:color w:val="auto"/>
        </w:rPr>
        <w:t>. (i) Any Issuing Bank may be replaced at any time by written agreement among the Borrower, the Administrative Agent, the replaced Issuing Bank and the successor Issuing Bank. The Administrative Agent shall notify the Lenders of any such replacement of any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such successor Issuing Bank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85" w:lineRule="exact"/>
        <w:rPr>
          <w:rFonts w:ascii="Arial" w:cs="Arial" w:eastAsia="Arial" w:hAnsi="Arial"/>
          <w:sz w:val="17"/>
          <w:szCs w:val="17"/>
          <w:color w:val="auto"/>
        </w:rPr>
      </w:pPr>
    </w:p>
    <w:p>
      <w:pPr>
        <w:ind w:right="200" w:firstLine="987"/>
        <w:spacing w:after="0" w:line="263" w:lineRule="auto"/>
        <w:tabs>
          <w:tab w:leader="none" w:pos="12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(and conditioned upon) the successful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84" w:lineRule="exact"/>
        <w:rPr>
          <w:sz w:val="20"/>
          <w:szCs w:val="20"/>
          <w:color w:val="auto"/>
        </w:rPr>
      </w:pPr>
    </w:p>
    <w:p>
      <w:pPr>
        <w:ind w:right="20" w:firstLine="987"/>
        <w:spacing w:after="0" w:line="284" w:lineRule="auto"/>
        <w:tabs>
          <w:tab w:leader="none" w:pos="120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total LC Exposure) demanding the deposit of cash collateral pursuant to this paragraph or if any amount is drawn under any expired Letter of Credit in accordance with the definition of “LC Exposure”, the Borrower shall deposit in an account with the Administrative Agent, in the name of the Administrative Agent and for the benefit of the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100% of the Dollar Amount of the LC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portions of such amount attributable to undrawn Foreign Currency Letters of Credit or LC Disbursements in a Foreign Currency that the Borrower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For the purposes of this paragraph, the Foreign Currency LC Exposure shall be calculated using the applicable Exchange Rate on the date notice demanding cash collateralization is delivered to the Borrower. The Borrower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total LC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8" w:name="page59"/>
    <w:bookmarkEnd w:id="58"/>
    <w:p>
      <w:pPr>
        <w:ind w:right="60" w:firstLine="987"/>
        <w:spacing w:after="0" w:line="287" w:lineRule="auto"/>
        <w:tabs>
          <w:tab w:leader="none" w:pos="124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Issuing Bank Agreements</w:t>
      </w:r>
      <w:r>
        <w:rPr>
          <w:rFonts w:ascii="Arial" w:cs="Arial" w:eastAsia="Arial" w:hAnsi="Arial"/>
          <w:sz w:val="16"/>
          <w:szCs w:val="16"/>
          <w:color w:val="auto"/>
        </w:rPr>
        <w:t>. Each Issuing Bank agrees that, unless otherwise requested by the Administrative Agent, such Issuing Bank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LC Disbursement, the date of such LC Disbursement and the amount of such LC Disbursement, (iv) on any Business Day on which any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w:t>
      </w:r>
    </w:p>
    <w:p>
      <w:pPr>
        <w:spacing w:after="0" w:line="167" w:lineRule="exact"/>
        <w:rPr>
          <w:rFonts w:ascii="Arial" w:cs="Arial" w:eastAsia="Arial" w:hAnsi="Arial"/>
          <w:sz w:val="16"/>
          <w:szCs w:val="16"/>
          <w:color w:val="auto"/>
        </w:rPr>
      </w:pPr>
    </w:p>
    <w:p>
      <w:pPr>
        <w:ind w:firstLine="987"/>
        <w:spacing w:after="0" w:line="253" w:lineRule="auto"/>
        <w:tabs>
          <w:tab w:leader="none" w:pos="120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Account of Subsidiaries</w:t>
      </w:r>
      <w:r>
        <w:rPr>
          <w:rFonts w:ascii="Arial" w:cs="Arial" w:eastAsia="Arial" w:hAnsi="Arial"/>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96"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(a) Each Lender shall make each Loan to be made by it hereunder on the proposed date thereof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3:00 p.m., Local Time, in the city of the Administrative Agent’s Foreign Currency Payment Office for such currency and at such Foreign Currency Payment Office for such currency. Except in respect of the provisions of this Agreement covering the reimbursement of Letters of Credit, the Administrative Agent will make such Loans available to the Borrower by promptly crediting the amounts so received, in like funds, to (x) an account of the Borrower designated by the Borrower in the applicable Borrowing Request, in the case of Loans denominated in Dollars and (y) an account of the Borrower in the relevant jurisdiction and designated by the Borrower in the applicable Borrowing Request, in the case of Loans denominated in a Foreign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Loans made to finance the reimbursement of an LC Disbursement as provided in Section 2.06(e) shall be remitted by the Administrative Agent to the relevant Issuing Bank.</w:t>
      </w:r>
    </w:p>
    <w:p>
      <w:pPr>
        <w:spacing w:after="0" w:line="11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9" w:name="page60"/>
    <w:bookmarkEnd w:id="59"/>
    <w:p>
      <w:pPr>
        <w:ind w:right="80" w:firstLine="987"/>
        <w:spacing w:after="0" w:line="288" w:lineRule="auto"/>
        <w:tabs>
          <w:tab w:leader="none" w:pos="1246"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Alternative Currencies, in accordance with such market practice, in each case, as applicable. If such Lender pays such amount to the Administrative Agent, then such amount shall constitute such Lender’s Loan included in such Borrowing.</w:t>
      </w:r>
    </w:p>
    <w:p>
      <w:pPr>
        <w:spacing w:after="0" w:line="168"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Interest Elections</w:t>
      </w:r>
      <w:r>
        <w:rPr>
          <w:rFonts w:ascii="Arial" w:cs="Arial" w:eastAsia="Arial" w:hAnsi="Arial"/>
          <w:sz w:val="17"/>
          <w:szCs w:val="17"/>
          <w:color w:val="auto"/>
        </w:rPr>
        <w:t>. (a) 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78" w:lineRule="exact"/>
        <w:rPr>
          <w:sz w:val="20"/>
          <w:szCs w:val="20"/>
          <w:color w:val="auto"/>
        </w:rPr>
      </w:pPr>
    </w:p>
    <w:p>
      <w:pPr>
        <w:ind w:firstLine="987"/>
        <w:spacing w:after="0" w:line="287" w:lineRule="auto"/>
        <w:tabs>
          <w:tab w:leader="none" w:pos="1246"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make an election pursuant to this Section, the Borrower shall notify the Administrative Agent of such election (by telephone or irrevocable written notice in the case of a Borrowing denominated in Dollars or by irrevocable written notice (via an Interest Election Request signed by the Borrower) in the case of a Borrowing denominated in a Foreign Currency) by the time that a Borrowing Request would be required under</w:t>
      </w:r>
    </w:p>
    <w:p>
      <w:pPr>
        <w:spacing w:after="0" w:line="2" w:lineRule="exact"/>
        <w:rPr>
          <w:rFonts w:ascii="Arial" w:cs="Arial" w:eastAsia="Arial" w:hAnsi="Arial"/>
          <w:sz w:val="16"/>
          <w:szCs w:val="16"/>
          <w:color w:val="auto"/>
        </w:rPr>
      </w:pPr>
    </w:p>
    <w:p>
      <w:pPr>
        <w:spacing w:after="0" w:line="271" w:lineRule="auto"/>
        <w:rPr>
          <w:rFonts w:ascii="Arial" w:cs="Arial" w:eastAsia="Arial" w:hAnsi="Arial"/>
          <w:sz w:val="16"/>
          <w:szCs w:val="16"/>
          <w:color w:val="auto"/>
        </w:rPr>
      </w:pPr>
      <w:r>
        <w:rPr>
          <w:rFonts w:ascii="Arial" w:cs="Arial" w:eastAsia="Arial" w:hAnsi="Arial"/>
          <w:sz w:val="17"/>
          <w:szCs w:val="17"/>
          <w:color w:val="auto"/>
        </w:rPr>
        <w:t>Section 2.03 if the Borrower were requesting a Borrowing of the Type resulting from such election to be made on the effective date of such election. Each such telephonic Interest Election Request shall be irrevocable and shall be confirmed promptly by a written Interest Election Request (delivered by telecopy or electronic mail) which shall be signed by the Borrower. Notwithstanding any contrary provision herein, this Section shall not be construed to permit the Borrower to (i) change the currency of any Borrowing, (ii) elect an Interest Period for Term Benchmark Loans that does not comply with Section 2.02(d) or (iii) convert any Borrowing to a Borrowing of a Type not available under such Borrowing.</w:t>
      </w:r>
    </w:p>
    <w:p>
      <w:pPr>
        <w:spacing w:after="0" w:line="178" w:lineRule="exact"/>
        <w:rPr>
          <w:rFonts w:ascii="Arial" w:cs="Arial" w:eastAsia="Arial" w:hAnsi="Arial"/>
          <w:sz w:val="16"/>
          <w:szCs w:val="16"/>
          <w:color w:val="auto"/>
        </w:rPr>
      </w:pPr>
    </w:p>
    <w:p>
      <w:pPr>
        <w:ind w:left="1240" w:hanging="253"/>
        <w:spacing w:after="0"/>
        <w:tabs>
          <w:tab w:leader="none" w:pos="12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2.02:</w:t>
      </w:r>
    </w:p>
    <w:p>
      <w:pPr>
        <w:spacing w:after="0" w:line="128" w:lineRule="exact"/>
        <w:rPr>
          <w:rFonts w:ascii="Arial" w:cs="Arial" w:eastAsia="Arial" w:hAnsi="Arial"/>
          <w:sz w:val="17"/>
          <w:szCs w:val="17"/>
          <w:color w:val="auto"/>
        </w:rPr>
      </w:pPr>
    </w:p>
    <w:p>
      <w:pPr>
        <w:ind w:left="440" w:right="340" w:firstLine="419"/>
        <w:spacing w:after="0" w:line="286" w:lineRule="auto"/>
        <w:tabs>
          <w:tab w:leader="none" w:pos="107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Agreed Currency and principal amount of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60" w:name="page61"/>
    <w:bookmarkEnd w:id="60"/>
    <w:p>
      <w:pPr>
        <w:ind w:left="1180" w:hanging="321"/>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the resulting Borrowing is to be an ABR Borrowing or a Term Benchmark Borrowing or an RFR Borrowing; and</w:t>
      </w:r>
    </w:p>
    <w:p>
      <w:pPr>
        <w:spacing w:after="0" w:line="117" w:lineRule="exact"/>
        <w:rPr>
          <w:rFonts w:ascii="Arial" w:cs="Arial" w:eastAsia="Arial" w:hAnsi="Arial"/>
          <w:sz w:val="18"/>
          <w:szCs w:val="18"/>
          <w:color w:val="auto"/>
        </w:rPr>
      </w:pPr>
    </w:p>
    <w:p>
      <w:pPr>
        <w:ind w:left="440" w:right="500" w:firstLine="419"/>
        <w:spacing w:after="0" w:line="277" w:lineRule="auto"/>
        <w:tabs>
          <w:tab w:leader="none" w:pos="11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any such Interest Election Request requests a Term Benchmark Borrowing but does not specify an Interest Period, then the Borrower shall be deemed to have selected an Interest Period of one month’s duration.</w:t>
      </w:r>
    </w:p>
    <w:p>
      <w:pPr>
        <w:spacing w:after="0" w:line="170" w:lineRule="exact"/>
        <w:rPr>
          <w:sz w:val="20"/>
          <w:szCs w:val="20"/>
          <w:color w:val="auto"/>
        </w:rPr>
      </w:pPr>
    </w:p>
    <w:p>
      <w:pPr>
        <w:ind w:right="260" w:firstLine="987"/>
        <w:spacing w:after="0" w:line="277" w:lineRule="auto"/>
        <w:tabs>
          <w:tab w:leader="none" w:pos="12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ind w:firstLine="987"/>
        <w:spacing w:after="0" w:line="269" w:lineRule="auto"/>
        <w:tabs>
          <w:tab w:leader="none" w:pos="12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(i) in the case of a Borrowing denominated in Dollars, such Borrowing shall be converted to a Term Benchmark Borrowing with an Interest Period of one month and (ii) in the case of a Borrowing denominated in a Foreign Currency in respect of which the Borrower shall have failed to deliver an Interest Election Request prior to the third (3rd) Business Day preceding the end of such Interest Period, such Borrowing shall automatically continue as a Term Benchmark Borrowing in the same Agreed Currency with an Interest Period of one month unless such Term Benchmark Borrowing is or was repaid in accordance with Section 2.11. Notwithstanding any contrary provision hereof, if an Event of Default has occurred and is continuing and the Administrative Agent, at the request of the Required Lenders, so notifies the Borrower, then, so long as an Event of Default is continuing (i) no outstanding Borrowing denominated in Dollars may be converted to or continued as a Term Benchmark Borrowing, (ii) unless repaid, each Term Benchmark Borrowing denominated in Dollars shall be converted to an ABR Borrowing at the end of the Interest Period applicable thereto and (iii) unless repaid, each Term Benchmark Borrowing denominated in a Foreign Currency shall automatically be continued as a Term Benchmark Borrowing with an Interest Period of one month.</w:t>
      </w:r>
    </w:p>
    <w:p>
      <w:pPr>
        <w:spacing w:after="0" w:line="179"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 (a) Unless previously terminated, the Commitments shall terminate on the Maturity Date.</w:t>
      </w:r>
    </w:p>
    <w:p>
      <w:pPr>
        <w:spacing w:after="0" w:line="170" w:lineRule="exact"/>
        <w:rPr>
          <w:sz w:val="20"/>
          <w:szCs w:val="20"/>
          <w:color w:val="auto"/>
        </w:rPr>
      </w:pPr>
    </w:p>
    <w:p>
      <w:pPr>
        <w:ind w:right="60" w:firstLine="987"/>
        <w:spacing w:after="0" w:line="259"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$5,000,000 and not less than $10,000,000 and (ii) the Borrower shall not terminate or reduce the Commitments if, after giving effect to any concurrent prepayment of the Loans in accordance with Section 2.11, the Dollar Amount of the Total Revolving Credit Exposure would exceed the Aggregate Commitment.</w:t>
      </w:r>
    </w:p>
    <w:p>
      <w:pPr>
        <w:spacing w:after="0" w:line="186" w:lineRule="exact"/>
        <w:rPr>
          <w:rFonts w:ascii="Arial" w:cs="Arial" w:eastAsia="Arial" w:hAnsi="Arial"/>
          <w:sz w:val="18"/>
          <w:szCs w:val="18"/>
          <w:color w:val="auto"/>
        </w:rPr>
      </w:pPr>
    </w:p>
    <w:p>
      <w:pPr>
        <w:ind w:right="180" w:firstLine="987"/>
        <w:spacing w:after="0" w:line="271" w:lineRule="auto"/>
        <w:tabs>
          <w:tab w:leader="none" w:pos="12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Commitments delivered by the Borrower may state that such notice is conditioned upon the effectiveness of other credit facilities or other transactions,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61" w:name="page62"/>
    <w:bookmarkEnd w:id="61"/>
    <w:p>
      <w:pPr>
        <w:ind w:right="16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(a) The Borrower hereby unconditionally promises to pay to the Administrative Agent for the account of each Lender the then unpaid principal amount of each Loan on the Maturity Date in the currency of such Loan.</w:t>
      </w:r>
    </w:p>
    <w:p>
      <w:pPr>
        <w:spacing w:after="0" w:line="124" w:lineRule="exact"/>
        <w:rPr>
          <w:sz w:val="20"/>
          <w:szCs w:val="20"/>
          <w:color w:val="auto"/>
        </w:rPr>
      </w:pPr>
    </w:p>
    <w:p>
      <w:pPr>
        <w:ind w:right="200" w:firstLine="987"/>
        <w:spacing w:after="0" w:line="263" w:lineRule="auto"/>
        <w:tabs>
          <w:tab w:leader="none" w:pos="12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right="220" w:firstLine="987"/>
        <w:spacing w:after="0" w:line="259" w:lineRule="auto"/>
        <w:tabs>
          <w:tab w:leader="none" w:pos="1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Agreed Currency and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right="20" w:firstLine="987"/>
        <w:spacing w:after="0" w:line="311" w:lineRule="auto"/>
        <w:tabs>
          <w:tab w:leader="none" w:pos="12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48" w:lineRule="exact"/>
        <w:rPr>
          <w:rFonts w:ascii="Arial" w:cs="Arial" w:eastAsia="Arial" w:hAnsi="Arial"/>
          <w:sz w:val="16"/>
          <w:szCs w:val="16"/>
          <w:color w:val="auto"/>
        </w:rPr>
      </w:pPr>
    </w:p>
    <w:p>
      <w:pPr>
        <w:ind w:right="40" w:firstLine="987"/>
        <w:spacing w:after="0" w:line="257" w:lineRule="auto"/>
        <w:tabs>
          <w:tab w:leader="none" w:pos="1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Lender may request that Loans made by it be evidenced by a promissory note. In such event, the Borrower shall prepare, execute and deliver to such Lender a promissory note payable to such Lender or its registered assigns and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(or such other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its registered assigns.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8" w:lineRule="auto"/>
        <w:tabs>
          <w:tab w:leader="none" w:pos="12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Borrower shall have the right at any time and from time to time to prepay any Borrowing in whole or in part, subject to prior notice in accordance with the provisions of this Section 2.11(a). The Borrower shall notify the Administrative Agent by telephone (confirmed by telecopy or electronic mail) of any prepayment hereunder (i) in the case of prepayment of a Term Benchmark Borrowing, not later than 11:00 a.m., Local Time, three (3) Business Days (in the case of a Eurocurrency Borrowing denominated in Dollars) or four (4) Business Days (in the case of a Eurocurrency Borrowing denominated in a Foreign Currency), in each case before the date of prepayment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(i) accrued interest to the extent required by Section 2.13 and (ii) break funding payments pursuant to Section 2.16.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62" w:name="page63"/>
    <w:bookmarkEnd w:id="62"/>
    <w:p>
      <w:pPr>
        <w:ind w:left="4" w:right="60" w:firstLine="987"/>
        <w:spacing w:after="0" w:line="283" w:lineRule="auto"/>
        <w:tabs>
          <w:tab w:leader="none" w:pos="1250"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(i) other than as a result of fluctuations in currency exchange rates, (A) the sum of the aggregate principal Dollar Amount of all of the Revolving Credit Exposures (calculated, with respect to those Credit Events denominated in Foreign Currencies, as of the most recent Computation Date with respect to each such Credit Event) exceeds the Aggregate Commitment or (B) the sum of the aggregate principal Dollar Amount of all of the outstanding Revolving Credit Exposures denominated in Foreign Currencies (the “</w:t>
      </w:r>
      <w:r>
        <w:rPr>
          <w:rFonts w:ascii="Arial" w:cs="Arial" w:eastAsia="Arial" w:hAnsi="Arial"/>
          <w:sz w:val="16"/>
          <w:szCs w:val="16"/>
          <w:u w:val="single" w:color="auto"/>
          <w:color w:val="auto"/>
        </w:rPr>
        <w:t>Foreign Currency Exposure</w:t>
      </w:r>
      <w:r>
        <w:rPr>
          <w:rFonts w:ascii="Arial" w:cs="Arial" w:eastAsia="Arial" w:hAnsi="Arial"/>
          <w:sz w:val="16"/>
          <w:szCs w:val="16"/>
          <w:color w:val="auto"/>
        </w:rPr>
        <w:t>”) (so calculated), as of the most recent Computation Date with respect to each such Credit Event, exceeds the Foreign Currency Sublimit or (ii) solely as a result of fluctuations in currency exchange rates, (A) the sum of the aggregate principal Dollar Amount of all of the Revolving Credit Exposures (so calculated) exceeds 105% of the Aggregate Commitment or (B) the Foreign Currency Exposure, as of the most recent Computation Date with respect to each such Credit Event, exceeds 105% of the Foreign Currency Sublimit, the Borrower shall in each case immediately repay Borrowings or cash collateralize LC Exposure in an account with the Administrative Agent pursuant to Section 2.06(j), as applicable, in an aggregate principal amount sufficient to cause</w:t>
      </w:r>
    </w:p>
    <w:p>
      <w:pPr>
        <w:spacing w:after="0" w:line="5" w:lineRule="exact"/>
        <w:rPr>
          <w:rFonts w:ascii="Arial" w:cs="Arial" w:eastAsia="Arial" w:hAnsi="Arial"/>
          <w:sz w:val="16"/>
          <w:szCs w:val="16"/>
          <w:color w:val="auto"/>
        </w:rPr>
      </w:pPr>
    </w:p>
    <w:p>
      <w:pPr>
        <w:ind w:left="4" w:right="280" w:hanging="4"/>
        <w:spacing w:after="0" w:line="260" w:lineRule="auto"/>
        <w:tabs>
          <w:tab w:leader="none" w:pos="2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Dollar Amount of all Revolving Credit Exposures (so calculated) to be less than or equal to the Aggregate Commitment and (y) the Foreign Currency Exposure to be less than or equal to the Foreign Currency Sublimit, as applicable.</w:t>
      </w:r>
    </w:p>
    <w:p>
      <w:pPr>
        <w:spacing w:after="0" w:line="185" w:lineRule="exact"/>
        <w:rPr>
          <w:sz w:val="20"/>
          <w:szCs w:val="20"/>
          <w:color w:val="auto"/>
        </w:rPr>
      </w:pPr>
    </w:p>
    <w:p>
      <w:pPr>
        <w:ind w:left="4" w:right="140" w:firstLine="991"/>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The Borrower agrees to pay to the Administrative Agent for the account of each Lender a commitment fee, which shall accrue at the Applicable Rate on the Available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195" w:lineRule="exact"/>
        <w:rPr>
          <w:sz w:val="20"/>
          <w:szCs w:val="20"/>
          <w:color w:val="auto"/>
        </w:rPr>
      </w:pPr>
    </w:p>
    <w:p>
      <w:pPr>
        <w:ind w:left="4" w:firstLine="987"/>
        <w:spacing w:after="0" w:line="286" w:lineRule="auto"/>
        <w:tabs>
          <w:tab w:leader="none" w:pos="125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Borrower agrees to pay (i) to the Administrative Agent for the account of each Lender a participation fee with respect to its participations in Letters of Credit, which shall accrue at the same Applicable Rate used to determine the interest rate applicable to Term Benchmark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relevant Issuing Bank for its own account a fronting fee, which shall accrue at a rate per annum separately agreed upon by the Borrower and such Issuing Bank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w:t>
      </w:r>
      <w:r>
        <w:rPr>
          <w:rFonts w:ascii="Arial" w:cs="Arial" w:eastAsia="Arial" w:hAnsi="Arial"/>
          <w:sz w:val="13"/>
          <w:szCs w:val="13"/>
          <w:color w:val="auto"/>
        </w:rPr>
        <w:t>rd</w:t>
      </w:r>
      <w:r>
        <w:rPr>
          <w:rFonts w:ascii="Arial" w:cs="Arial" w:eastAsia="Arial" w:hAnsi="Arial"/>
          <w:sz w:val="16"/>
          <w:szCs w:val="16"/>
          <w:color w:val="auto"/>
        </w:rPr>
        <w:t xml:space="preserve">) Business Day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74" w:right="459" w:bottom="1440" w:gutter="0" w:footer="0" w:header="0"/>
        </w:sectPr>
      </w:pPr>
    </w:p>
    <w:bookmarkStart w:id="63" w:name="page64"/>
    <w:bookmarkEnd w:id="63"/>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184" w:lineRule="exact"/>
        <w:rPr>
          <w:sz w:val="20"/>
          <w:szCs w:val="20"/>
          <w:color w:val="auto"/>
        </w:rPr>
      </w:pPr>
    </w:p>
    <w:p>
      <w:pPr>
        <w:ind w:firstLine="987"/>
        <w:spacing w:after="0" w:line="291" w:lineRule="auto"/>
        <w:tabs>
          <w:tab w:leader="none" w:pos="123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Borrower agrees to pay (x) to the Administrative Agent, for its own account, fees payable in the amounts and at the times separately agreed upon between the Borrower and the Administrative Agent and (y) such other fees as separately agreed upon between the Borrower and</w:t>
      </w:r>
    </w:p>
    <w:p>
      <w:pPr>
        <w:spacing w:after="0"/>
        <w:rPr>
          <w:rFonts w:ascii="Arial" w:cs="Arial" w:eastAsia="Arial" w:hAnsi="Arial"/>
          <w:sz w:val="16"/>
          <w:szCs w:val="16"/>
          <w:color w:val="auto"/>
        </w:rPr>
      </w:pPr>
      <w:r>
        <w:rPr>
          <w:rFonts w:ascii="Arial" w:cs="Arial" w:eastAsia="Arial" w:hAnsi="Arial"/>
          <w:sz w:val="18"/>
          <w:szCs w:val="18"/>
          <w:color w:val="auto"/>
        </w:rPr>
        <w:t>JPMCB.</w:t>
      </w:r>
    </w:p>
    <w:p>
      <w:pPr>
        <w:spacing w:after="0" w:line="210" w:lineRule="exact"/>
        <w:rPr>
          <w:rFonts w:ascii="Arial" w:cs="Arial" w:eastAsia="Arial" w:hAnsi="Arial"/>
          <w:sz w:val="16"/>
          <w:szCs w:val="16"/>
          <w:color w:val="auto"/>
        </w:rPr>
      </w:pPr>
    </w:p>
    <w:p>
      <w:pPr>
        <w:ind w:right="140" w:firstLine="987"/>
        <w:spacing w:after="0" w:line="286" w:lineRule="auto"/>
        <w:tabs>
          <w:tab w:leader="none" w:pos="12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fees payable hereunder shall be paid on the dates due, in Dollars (except as otherwise expressly provided in this Section 2.12) and immediately available funds, to the Administrative Agent (or to each Issuing Bank, in the case of fees payable to it) for distribution, in the case of commitment fees and participation fees, to the Lenders. Fees paid shall not be refundable under any circumstances.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Interest</w:t>
      </w:r>
      <w:r>
        <w:rPr>
          <w:rFonts w:ascii="Arial" w:cs="Arial" w:eastAsia="Arial" w:hAnsi="Arial"/>
          <w:sz w:val="16"/>
          <w:szCs w:val="16"/>
          <w:color w:val="auto"/>
        </w:rPr>
        <w:t>. (a) The Loans comprising each ABR Borrowing shall bear interest at the Alternate Base Rate plus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right="360" w:firstLine="987"/>
        <w:spacing w:after="0" w:line="308" w:lineRule="auto"/>
        <w:tabs>
          <w:tab w:leader="none" w:pos="124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Loans comprising each Term Benchmark Borrowing shall bear interest at the Adjusted Term SOFR Rate, the Adjusted CDOR Rate or the Adjusted EURIBOR Rate, as applicable, for the Interest Period in effect for such Borrowing plus the Applicable Rate.</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RFR Loan shall bear interest at a rate per annum equal to the applicable Adjusted Daily Simple RFR plus the Applicable Rate.</w:t>
      </w:r>
    </w:p>
    <w:p>
      <w:pPr>
        <w:spacing w:after="0" w:line="248" w:lineRule="exact"/>
        <w:rPr>
          <w:rFonts w:ascii="Arial" w:cs="Arial" w:eastAsia="Arial" w:hAnsi="Arial"/>
          <w:sz w:val="16"/>
          <w:szCs w:val="16"/>
          <w:color w:val="auto"/>
        </w:rPr>
      </w:pPr>
    </w:p>
    <w:p>
      <w:pPr>
        <w:ind w:right="140" w:firstLine="987"/>
        <w:spacing w:after="0" w:line="296" w:lineRule="auto"/>
        <w:tabs>
          <w:tab w:leader="none" w:pos="124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Notwithstanding the foregoing and to the extent permitted by law, upon the occurrence and during the continuance of an Event of Default arising under any of </w:t>
      </w:r>
      <w:r>
        <w:rPr>
          <w:rFonts w:ascii="Arial" w:cs="Arial" w:eastAsia="Arial" w:hAnsi="Arial"/>
          <w:sz w:val="16"/>
          <w:szCs w:val="16"/>
          <w:u w:val="single" w:color="auto"/>
          <w:color w:val="auto"/>
        </w:rPr>
        <w:t>Sections 7.11(a)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any overdue principal of, and all accrued and unpaid interest on, all Loans (and any overdue fee or any other amount payable under this Agreement)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 2.13.</w:t>
      </w:r>
    </w:p>
    <w:p>
      <w:pPr>
        <w:spacing w:after="0" w:line="161" w:lineRule="exact"/>
        <w:rPr>
          <w:rFonts w:ascii="Arial" w:cs="Arial" w:eastAsia="Arial" w:hAnsi="Arial"/>
          <w:sz w:val="16"/>
          <w:szCs w:val="16"/>
          <w:color w:val="auto"/>
        </w:rPr>
      </w:pPr>
    </w:p>
    <w:p>
      <w:pPr>
        <w:ind w:right="60" w:firstLine="987"/>
        <w:spacing w:after="0" w:line="296" w:lineRule="auto"/>
        <w:tabs>
          <w:tab w:leader="none" w:pos="12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61" w:lineRule="exact"/>
        <w:rPr>
          <w:rFonts w:ascii="Arial" w:cs="Arial" w:eastAsia="Arial" w:hAnsi="Arial"/>
          <w:sz w:val="16"/>
          <w:szCs w:val="16"/>
          <w:color w:val="auto"/>
        </w:rPr>
      </w:pPr>
    </w:p>
    <w:p>
      <w:pPr>
        <w:ind w:right="160" w:firstLine="987"/>
        <w:spacing w:after="0" w:line="271" w:lineRule="auto"/>
        <w:tabs>
          <w:tab w:leader="none" w:pos="12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Interest computed by reference to the Term SOFR Rate, the EURIBOR Rate or Daily Simple RFR with respect to Dollars hereunder shall be computed on the basis of a year of 360 days. Interest computed by reference to the CDOR Screen Rate, the Daily Simple RFR with respect to Sterling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CDOR Screen Rate, Adjusted CDOR Rate, EURIBOR Rate, Adjusted EURIBOR Rate, Adjusted Daily Simple RFR or Daily Simple RFR shall be determined by the Administrative Agent, and such determination shall be conclusive absent manifest error.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4" w:name="page65"/>
    <w:bookmarkEnd w:id="64"/>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Subject to clauses (b), (c), (d), (e) and (f)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if:</w:t>
      </w:r>
    </w:p>
    <w:p>
      <w:pPr>
        <w:spacing w:after="0" w:line="117" w:lineRule="exact"/>
        <w:rPr>
          <w:rFonts w:ascii="Arial" w:cs="Arial" w:eastAsia="Arial" w:hAnsi="Arial"/>
          <w:sz w:val="18"/>
          <w:szCs w:val="18"/>
          <w:color w:val="auto"/>
        </w:rPr>
      </w:pPr>
    </w:p>
    <w:p>
      <w:pPr>
        <w:ind w:left="444" w:right="20" w:firstLine="948"/>
        <w:spacing w:after="0" w:line="273" w:lineRule="auto"/>
        <w:tabs>
          <w:tab w:leader="none" w:pos="1611"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CDOR Screen Rate, the Adjusted CDOR Rate, the EURIBOR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Daily Simple RFR or RFR for the applicable Agreed Currency; or</w:t>
      </w:r>
    </w:p>
    <w:p>
      <w:pPr>
        <w:spacing w:after="0" w:line="69" w:lineRule="exact"/>
        <w:rPr>
          <w:rFonts w:ascii="Arial" w:cs="Arial" w:eastAsia="Arial" w:hAnsi="Arial"/>
          <w:sz w:val="17"/>
          <w:szCs w:val="17"/>
          <w:color w:val="auto"/>
        </w:rPr>
      </w:pPr>
    </w:p>
    <w:p>
      <w:pPr>
        <w:ind w:left="444" w:firstLine="948"/>
        <w:spacing w:after="0" w:line="273" w:lineRule="auto"/>
        <w:tabs>
          <w:tab w:leader="none" w:pos="1661"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(A) prior to the commencement of any Interest Period for a Term Benchmark Borrowing, the Adjusted Term SOFR Rate, the Adjusted CDOR Rate or the Adjusted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Adjusted Daily Simple RFR for the applicable Agreed Currency will not adequately and fairly reflect the cost to such Lenders (or Lender) of making or maintaining their Loans (or its Loan) included in such Borrowing for the applicable Agreed Currency;</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then the Administrative Agent shall give notice thereof to the Borrower and the Lenders by telephone, telecopy or electronic mail as promptly as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practicable thereafter and, until (x) the Administrative Agent notifies the Borrower and the Lenders that the circumstances giving rise to such notice no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longer exist with respect to the relevant Benchmark and (y) the Borrower delivers a new Interest Election Request in accordance with the terms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2.08 or a new Borrowing Request in accordance with the terms of Section 2.03, (A) for Loans denominated in Dollars, (1) any Interest Election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Request that requests the conversion of any Borrowing to, or continuation of any Borrowing as, a Term Benchmark Borrowing and any Borrowing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Request that requests a Term Benchmark Borrowing shall instead be deemed to be an Interest Election Request or a Borrowing Request, as applicable,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(x) an RFR Borrowing denominated in Dollars so long as the Adjusted Daily Simple RFR for Dollar Borrowings is not also the subject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2.14(a)(i) or (ii) above or (y) an ABR Borrowing if the Adjusted Daily Simple RFR for Dollar Borrowings also is the subject of Section 2.14(a)</w:t>
      </w:r>
    </w:p>
    <w:p>
      <w:pPr>
        <w:spacing w:after="0" w:line="32" w:lineRule="exact"/>
        <w:rPr>
          <w:sz w:val="20"/>
          <w:szCs w:val="20"/>
          <w:color w:val="auto"/>
        </w:rPr>
      </w:pPr>
    </w:p>
    <w:p>
      <w:pPr>
        <w:ind w:left="4" w:hanging="4"/>
        <w:spacing w:after="0" w:line="287" w:lineRule="auto"/>
        <w:tabs>
          <w:tab w:leader="none" w:pos="219"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or (ii) above and (2) any Borrowing Request that requests an RFR Borrowing shall instead be deemed to be a Borrowing Request, as applicable, for an ABR Borrowing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4"/>
          </w:cols>
          <w:pgMar w:left="436" w:top="274" w:right="479" w:bottom="1440" w:gutter="0" w:footer="0" w:header="0"/>
        </w:sectPr>
      </w:pPr>
    </w:p>
    <w:bookmarkStart w:id="65" w:name="page66"/>
    <w:bookmarkEnd w:id="65"/>
    <w:p>
      <w:pPr>
        <w:ind w:left="4" w:right="1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Election Request in accordance with the terms of Section 2.08 or a new Borrowing Request in accordance with the terms of Section 2.03,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Adjusted Daily Simple RFR for Dollar Borrowings is not also the subject of Section 2.14(a)(i) or (ii) above or</w:t>
      </w:r>
    </w:p>
    <w:p>
      <w:pPr>
        <w:spacing w:after="0" w:line="1" w:lineRule="exact"/>
        <w:rPr>
          <w:sz w:val="20"/>
          <w:szCs w:val="20"/>
          <w:color w:val="auto"/>
        </w:rPr>
      </w:pPr>
    </w:p>
    <w:p>
      <w:pPr>
        <w:ind w:left="264" w:hanging="264"/>
        <w:spacing w:after="0"/>
        <w:tabs>
          <w:tab w:leader="none" w:pos="264"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ABR Loan if the Adjusted Daily Simple RFR for Dollar Borrowings also is the subject of Section 2.14(a)(i) or (ii) above, on such day, and</w:t>
      </w:r>
    </w:p>
    <w:p>
      <w:pPr>
        <w:spacing w:after="0" w:line="20" w:lineRule="exact"/>
        <w:rPr>
          <w:rFonts w:ascii="Arial" w:cs="Arial" w:eastAsia="Arial" w:hAnsi="Arial"/>
          <w:sz w:val="17"/>
          <w:szCs w:val="17"/>
          <w:color w:val="auto"/>
        </w:rPr>
      </w:pPr>
    </w:p>
    <w:p>
      <w:pPr>
        <w:ind w:left="4" w:right="2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(2) any RFR Loan shall on and from such day be converted by the Administrative Agent to, and shall constitute an ABR Loan and (B) for Loans denominated in a Foreign Currency, (1) 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w:t>
      </w:r>
    </w:p>
    <w:p>
      <w:pPr>
        <w:spacing w:after="0" w:line="182" w:lineRule="exact"/>
        <w:rPr>
          <w:rFonts w:ascii="Arial" w:cs="Arial" w:eastAsia="Arial" w:hAnsi="Arial"/>
          <w:sz w:val="17"/>
          <w:szCs w:val="17"/>
          <w:color w:val="auto"/>
        </w:rPr>
      </w:pPr>
    </w:p>
    <w:p>
      <w:pPr>
        <w:ind w:left="4" w:firstLine="987"/>
        <w:spacing w:after="0" w:line="287" w:lineRule="auto"/>
        <w:tabs>
          <w:tab w:leader="none" w:pos="1250"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1" w:lineRule="exact"/>
        <w:rPr>
          <w:rFonts w:ascii="Arial" w:cs="Arial" w:eastAsia="Arial" w:hAnsi="Arial"/>
          <w:sz w:val="16"/>
          <w:szCs w:val="16"/>
          <w:color w:val="auto"/>
        </w:rPr>
      </w:pPr>
    </w:p>
    <w:p>
      <w:pPr>
        <w:jc w:val="both"/>
        <w:ind w:left="4" w:right="100" w:firstLine="987"/>
        <w:spacing w:after="0" w:line="259" w:lineRule="auto"/>
        <w:tabs>
          <w:tab w:leader="none" w:pos="12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66" w:name="page67"/>
    <w:bookmarkEnd w:id="66"/>
    <w:p>
      <w:pPr>
        <w:ind w:left="1244" w:hanging="253"/>
        <w:spacing w:after="0"/>
        <w:tabs>
          <w:tab w:leader="none" w:pos="1244" w:val="left"/>
        </w:tabs>
        <w:numPr>
          <w:ilvl w:val="1"/>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will promptly notify the Borrower and the Lenders of (i) any occurrence of a Benchmark Transition Event,</w:t>
      </w:r>
    </w:p>
    <w:p>
      <w:pPr>
        <w:spacing w:after="0" w:line="46" w:lineRule="exact"/>
        <w:rPr>
          <w:rFonts w:ascii="Arial" w:cs="Arial" w:eastAsia="Arial" w:hAnsi="Arial"/>
          <w:sz w:val="16"/>
          <w:szCs w:val="16"/>
          <w:color w:val="auto"/>
        </w:rPr>
      </w:pPr>
    </w:p>
    <w:p>
      <w:pPr>
        <w:ind w:left="4" w:hanging="4"/>
        <w:spacing w:after="0" w:line="252" w:lineRule="auto"/>
        <w:tabs>
          <w:tab w:leader="none" w:pos="2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 w:right="60" w:firstLine="987"/>
        <w:spacing w:after="0" w:line="288" w:lineRule="auto"/>
        <w:tabs>
          <w:tab w:leader="none" w:pos="12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at any time (including in connection with the implementation of a Benchmark Replacement), (i) if the then-current Benchmark is a term rate (including the Term SOFR Rate, CDOR Screen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8" w:lineRule="exact"/>
        <w:rPr>
          <w:rFonts w:ascii="Arial" w:cs="Arial" w:eastAsia="Arial" w:hAnsi="Arial"/>
          <w:sz w:val="16"/>
          <w:szCs w:val="16"/>
          <w:color w:val="auto"/>
        </w:rPr>
      </w:pPr>
    </w:p>
    <w:p>
      <w:pPr>
        <w:ind w:left="4" w:firstLine="987"/>
        <w:spacing w:after="0" w:line="283" w:lineRule="auto"/>
        <w:tabs>
          <w:tab w:leader="none" w:pos="12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(1)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(A) for Loans denominated in Dollars, (1) any Term Benchmark Loan shall on the last day of the Interest Period applicable to such Loan (or the next succeeding Business Day if such day is not a Business Day), be converted by the Administrative Agent to, and shall constitute,</w:t>
      </w:r>
    </w:p>
    <w:p>
      <w:pPr>
        <w:spacing w:after="0" w:line="1" w:lineRule="exact"/>
        <w:rPr>
          <w:rFonts w:ascii="Arial" w:cs="Arial" w:eastAsia="Arial" w:hAnsi="Arial"/>
          <w:sz w:val="16"/>
          <w:szCs w:val="16"/>
          <w:color w:val="auto"/>
        </w:rPr>
      </w:pPr>
    </w:p>
    <w:p>
      <w:pPr>
        <w:ind w:left="4" w:right="100" w:hanging="4"/>
        <w:spacing w:after="0" w:line="253"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(or the next</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67" w:name="page68"/>
    <w:bookmarkEnd w:id="6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succeeding Business Day if such day is not a Business Day)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be prepaid by the Borrower on such day or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17" w:lineRule="exact"/>
        <w:rPr>
          <w:sz w:val="20"/>
          <w:szCs w:val="20"/>
          <w:color w:val="auto"/>
        </w:rPr>
      </w:pPr>
    </w:p>
    <w:p>
      <w:pPr>
        <w:ind w:left="1080" w:hanging="221"/>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liquidity or similar requirement (including any compulsory loan</w:t>
      </w:r>
    </w:p>
    <w:p>
      <w:pPr>
        <w:spacing w:after="0" w:line="34" w:lineRule="exact"/>
        <w:rPr>
          <w:rFonts w:ascii="Arial" w:cs="Arial" w:eastAsia="Arial" w:hAnsi="Arial"/>
          <w:sz w:val="17"/>
          <w:szCs w:val="17"/>
          <w:color w:val="auto"/>
        </w:rPr>
      </w:pPr>
    </w:p>
    <w:p>
      <w:pPr>
        <w:jc w:val="both"/>
        <w:ind w:left="440"/>
        <w:spacing w:after="0" w:line="255" w:lineRule="auto"/>
        <w:rPr>
          <w:rFonts w:ascii="Arial" w:cs="Arial" w:eastAsia="Arial" w:hAnsi="Arial"/>
          <w:sz w:val="17"/>
          <w:szCs w:val="17"/>
          <w:color w:val="auto"/>
        </w:rPr>
      </w:pPr>
      <w:r>
        <w:rPr>
          <w:rFonts w:ascii="Arial" w:cs="Arial" w:eastAsia="Arial" w:hAnsi="Arial"/>
          <w:sz w:val="18"/>
          <w:szCs w:val="18"/>
          <w:color w:val="auto"/>
        </w:rPr>
        <w:t>requirement, insurance charge or other assessment) against assets of, deposits with or for the account of, or credit extended by, any Lender (except any such reserve requirement reflected in the Adjusted Term SOFR Rate, Adjusted CDOR Rate or Adjusted EURIBOR Rate, as applicable) or any Issuing Bank;</w:t>
      </w:r>
    </w:p>
    <w:p>
      <w:pPr>
        <w:spacing w:after="0" w:line="81" w:lineRule="exact"/>
        <w:rPr>
          <w:rFonts w:ascii="Arial" w:cs="Arial" w:eastAsia="Arial" w:hAnsi="Arial"/>
          <w:sz w:val="17"/>
          <w:szCs w:val="17"/>
          <w:color w:val="auto"/>
        </w:rPr>
      </w:pPr>
    </w:p>
    <w:p>
      <w:pPr>
        <w:ind w:left="440" w:right="380" w:firstLine="419"/>
        <w:spacing w:after="0" w:line="342" w:lineRule="auto"/>
        <w:tabs>
          <w:tab w:leader="none" w:pos="1128" w:val="left"/>
        </w:tabs>
        <w:numPr>
          <w:ilvl w:val="0"/>
          <w:numId w:val="57"/>
        </w:numPr>
        <w:rPr>
          <w:rFonts w:ascii="Arial" w:cs="Arial" w:eastAsia="Arial" w:hAnsi="Arial"/>
          <w:sz w:val="16"/>
          <w:szCs w:val="16"/>
          <w:color w:val="auto"/>
        </w:rPr>
      </w:pPr>
      <w:r>
        <w:rPr>
          <w:rFonts w:ascii="Arial" w:cs="Arial" w:eastAsia="Arial" w:hAnsi="Arial"/>
          <w:sz w:val="16"/>
          <w:szCs w:val="16"/>
          <w:color w:val="auto"/>
        </w:rPr>
        <w:t>impose on any Lender or any Issuing Bank or the applicable market for the applicable Agreed Currency any other condition, cost or expense (other than Taxes) affecting this Agreement or Loans made by such Lender or any Letter of Credit or participation therein; or</w:t>
      </w:r>
    </w:p>
    <w:p>
      <w:pPr>
        <w:spacing w:after="0" w:line="15" w:lineRule="exact"/>
        <w:rPr>
          <w:rFonts w:ascii="Arial" w:cs="Arial" w:eastAsia="Arial" w:hAnsi="Arial"/>
          <w:sz w:val="16"/>
          <w:szCs w:val="16"/>
          <w:color w:val="auto"/>
        </w:rPr>
      </w:pPr>
    </w:p>
    <w:p>
      <w:pPr>
        <w:ind w:left="440" w:right="20" w:firstLine="419"/>
        <w:spacing w:after="0" w:line="263" w:lineRule="auto"/>
        <w:tabs>
          <w:tab w:leader="none" w:pos="11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with respect to its loans, letters of credit, commitments, or other obligations, or its deposits, reserves, other liabilities or capital attributable thereto;</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178" w:lineRule="exact"/>
        <w:rPr>
          <w:sz w:val="20"/>
          <w:szCs w:val="20"/>
          <w:color w:val="auto"/>
        </w:rPr>
      </w:pPr>
    </w:p>
    <w:p>
      <w:pPr>
        <w:ind w:firstLine="987"/>
        <w:spacing w:after="0" w:line="296" w:lineRule="auto"/>
        <w:tabs>
          <w:tab w:leader="none" w:pos="12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8" w:name="page69"/>
    <w:bookmarkEnd w:id="68"/>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84" w:lineRule="exact"/>
        <w:rPr>
          <w:sz w:val="20"/>
          <w:szCs w:val="20"/>
          <w:color w:val="auto"/>
        </w:rPr>
      </w:pPr>
    </w:p>
    <w:p>
      <w:pPr>
        <w:ind w:right="100" w:firstLine="987"/>
        <w:spacing w:after="0" w:line="259" w:lineRule="auto"/>
        <w:tabs>
          <w:tab w:leader="none" w:pos="12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after receipt thereof.</w:t>
      </w:r>
    </w:p>
    <w:p>
      <w:pPr>
        <w:spacing w:after="0" w:line="186" w:lineRule="exact"/>
        <w:rPr>
          <w:rFonts w:ascii="Arial" w:cs="Arial" w:eastAsia="Arial" w:hAnsi="Arial"/>
          <w:sz w:val="18"/>
          <w:szCs w:val="18"/>
          <w:color w:val="auto"/>
        </w:rPr>
      </w:pPr>
    </w:p>
    <w:p>
      <w:pPr>
        <w:ind w:right="20" w:firstLine="987"/>
        <w:spacing w:after="0" w:line="293" w:lineRule="auto"/>
        <w:tabs>
          <w:tab w:leader="none" w:pos="12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an Issuing Bank pursuant to this Section for any increased costs or reductions incurred more than 270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64"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(a) With respect to Loans that are Term Benchmark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and is revoked in accordance therewith), (iv) the assignment of any Term Benchmark Loan other than on the last day of the Interest Period applicable thereto as a result of a request by the Borrower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or (v)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-318135</wp:posOffset>
            </wp:positionV>
            <wp:extent cx="285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ind w:firstLine="987"/>
        <w:spacing w:after="0" w:line="253" w:lineRule="auto"/>
        <w:tabs>
          <w:tab w:leader="none" w:pos="1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With respect to Loans that are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and is revoked in accordance therewith), (iii) the assignment of any RFR Loan other than on the Interest Payment Date applicable thereto as a result of a request by the Borrower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9" w:name="page70"/>
    <w:bookmarkEnd w:id="69"/>
    <w:p>
      <w:pPr>
        <w:ind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w:t>
      </w:r>
      <w:r>
        <w:rPr>
          <w:rFonts w:ascii="Arial" w:cs="Arial" w:eastAsia="Arial" w:hAnsi="Arial"/>
          <w:sz w:val="18"/>
          <w:szCs w:val="18"/>
          <w:color w:val="auto"/>
        </w:rPr>
        <w:t>.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any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2.17) each Lender (or, in the case of a payment made to the Administrative Agent for its own account, the Administrative Agent) receives an amount equal to the sum it would have received had no such deduction or withholding been made.</w:t>
      </w:r>
    </w:p>
    <w:p>
      <w:pPr>
        <w:spacing w:after="0" w:line="196" w:lineRule="exact"/>
        <w:rPr>
          <w:sz w:val="20"/>
          <w:szCs w:val="20"/>
          <w:color w:val="auto"/>
        </w:rPr>
      </w:pPr>
    </w:p>
    <w:p>
      <w:pPr>
        <w:ind w:right="180" w:firstLine="987"/>
        <w:spacing w:after="0" w:line="277" w:lineRule="auto"/>
        <w:tabs>
          <w:tab w:leader="none" w:pos="124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 shall timely pay to the relevant Governmental Authority in accordance with applicable law, or at the option of the Administrative Agent timely reimburse it for, Other Taxes.</w:t>
      </w:r>
    </w:p>
    <w:p>
      <w:pPr>
        <w:spacing w:after="0" w:line="170" w:lineRule="exact"/>
        <w:rPr>
          <w:rFonts w:ascii="Arial" w:cs="Arial" w:eastAsia="Arial" w:hAnsi="Arial"/>
          <w:sz w:val="18"/>
          <w:szCs w:val="18"/>
          <w:color w:val="auto"/>
        </w:rPr>
      </w:pPr>
    </w:p>
    <w:p>
      <w:pPr>
        <w:ind w:right="240" w:firstLine="987"/>
        <w:spacing w:after="0" w:line="259" w:lineRule="auto"/>
        <w:tabs>
          <w:tab w:leader="none" w:pos="123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right="140" w:firstLine="987"/>
        <w:spacing w:after="0" w:line="273" w:lineRule="auto"/>
        <w:tabs>
          <w:tab w:leader="none" w:pos="124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each Recipient, within 10 days after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7" w:lineRule="exact"/>
        <w:rPr>
          <w:rFonts w:ascii="Arial" w:cs="Arial" w:eastAsia="Arial" w:hAnsi="Arial"/>
          <w:sz w:val="17"/>
          <w:szCs w:val="17"/>
          <w:color w:val="auto"/>
        </w:rPr>
      </w:pPr>
    </w:p>
    <w:p>
      <w:pPr>
        <w:ind w:left="1240" w:hanging="253"/>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54" w:lineRule="auto"/>
        <w:tabs>
          <w:tab w:leader="none" w:pos="121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70" w:name="page71"/>
    <w:bookmarkEnd w:id="70"/>
    <w:p>
      <w:pPr>
        <w:ind w:left="261" w:hanging="261"/>
        <w:spacing w:after="0"/>
        <w:tabs>
          <w:tab w:leader="none" w:pos="261"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w:t>
      </w:r>
    </w:p>
    <w:p>
      <w:pPr>
        <w:spacing w:after="0" w:line="117" w:lineRule="exact"/>
        <w:rPr>
          <w:rFonts w:ascii="Arial" w:cs="Arial" w:eastAsia="Arial" w:hAnsi="Arial"/>
          <w:sz w:val="18"/>
          <w:szCs w:val="18"/>
          <w:color w:val="auto"/>
        </w:rPr>
      </w:pPr>
    </w:p>
    <w:p>
      <w:pPr>
        <w:ind w:left="121" w:firstLine="408"/>
        <w:spacing w:after="0" w:line="259" w:lineRule="auto"/>
        <w:tabs>
          <w:tab w:leader="none" w:pos="81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121" w:right="140" w:firstLine="408"/>
        <w:spacing w:after="0" w:line="286" w:lineRule="auto"/>
        <w:tabs>
          <w:tab w:leader="none" w:pos="806" w:val="left"/>
        </w:tabs>
        <w:numPr>
          <w:ilvl w:val="1"/>
          <w:numId w:val="62"/>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57" w:lineRule="exact"/>
        <w:rPr>
          <w:sz w:val="20"/>
          <w:szCs w:val="20"/>
          <w:color w:val="auto"/>
        </w:rPr>
      </w:pPr>
    </w:p>
    <w:p>
      <w:pPr>
        <w:ind w:left="561" w:right="60" w:firstLine="8"/>
        <w:spacing w:after="0" w:line="263" w:lineRule="auto"/>
        <w:tabs>
          <w:tab w:leader="none" w:pos="815"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executed originals of IRS Form W-8BEN or IRS Form W-8BEN-E, as applicable, establishing an applicable exemption from, or reduction of, U.S. federal withholding Tax pursuant to such tax treaty;</w:t>
      </w:r>
    </w:p>
    <w:p>
      <w:pPr>
        <w:spacing w:after="0" w:line="75" w:lineRule="exact"/>
        <w:rPr>
          <w:rFonts w:ascii="Arial" w:cs="Arial" w:eastAsia="Arial" w:hAnsi="Arial"/>
          <w:sz w:val="18"/>
          <w:szCs w:val="18"/>
          <w:color w:val="auto"/>
        </w:rPr>
      </w:pPr>
    </w:p>
    <w:p>
      <w:pPr>
        <w:ind w:left="821" w:hanging="252"/>
        <w:spacing w:after="0"/>
        <w:tabs>
          <w:tab w:leader="none" w:pos="821"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ind w:left="821" w:hanging="252"/>
        <w:spacing w:after="0"/>
        <w:tabs>
          <w:tab w:leader="none" w:pos="821"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561" w:right="8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(x) a certificate substantially in the form of </w:t>
      </w:r>
      <w:r>
        <w:rPr>
          <w:rFonts w:ascii="Arial" w:cs="Arial" w:eastAsia="Arial" w:hAnsi="Arial"/>
          <w:sz w:val="17"/>
          <w:szCs w:val="17"/>
          <w:u w:val="single" w:color="auto"/>
          <w:color w:val="auto"/>
        </w:rPr>
        <w:t>Exhibit F-1</w:t>
      </w:r>
      <w:r>
        <w:rPr>
          <w:rFonts w:ascii="Arial" w:cs="Arial" w:eastAsia="Arial" w:hAnsi="Arial"/>
          <w:sz w:val="17"/>
          <w:szCs w:val="17"/>
          <w:color w:val="auto"/>
        </w:rPr>
        <w:t xml:space="preserve"> to the effect that such Foreign Lender is not a “bank” within the meaning of Section 881(c)(3)(A) of the Code, a “10 percent shareholder” of the Borrower within the meaning of Section 881(c)(3)(B) of the Code, or a “controlled foreign corporation” related to any Borrower as described in Section 881(c)(3)(C) of the Code and no payments under any Loan Documents are effectively connected with such Lender’s conduct of a U.S. trade or business (a “</w:t>
      </w:r>
      <w:r>
        <w:rPr>
          <w:rFonts w:ascii="Arial" w:cs="Arial" w:eastAsia="Arial" w:hAnsi="Arial"/>
          <w:sz w:val="17"/>
          <w:szCs w:val="17"/>
          <w:u w:val="single" w:color="auto"/>
          <w:color w:val="auto"/>
        </w:rPr>
        <w:t>U.S. 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and (y) executed originals of IRS Form W-8BEN or IRS Form W-8BEN-E, as applicable; or</w:t>
      </w:r>
    </w:p>
    <w:p>
      <w:pPr>
        <w:spacing w:after="0" w:line="70" w:lineRule="exact"/>
        <w:rPr>
          <w:rFonts w:ascii="Arial" w:cs="Arial" w:eastAsia="Arial" w:hAnsi="Arial"/>
          <w:sz w:val="16"/>
          <w:szCs w:val="16"/>
          <w:color w:val="auto"/>
        </w:rPr>
      </w:pPr>
    </w:p>
    <w:p>
      <w:pPr>
        <w:ind w:left="561" w:right="120" w:firstLine="8"/>
        <w:spacing w:after="0" w:line="254" w:lineRule="auto"/>
        <w:tabs>
          <w:tab w:leader="none" w:pos="815"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(for example, where the Lender is a partnership or a participating Lender), executed originals of IRS Form W-8IMY, accompanied by IRS Form W-8ECI, IRS Form W-8BEN or IRS Form W-8BEN-E, a U.S. Tax Compliance Certificate substantially in the form of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F-3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F-4</w:t>
      </w:r>
      <w:r>
        <w:rPr>
          <w:rFonts w:ascii="Arial" w:cs="Arial" w:eastAsia="Arial" w:hAnsi="Arial"/>
          <w:sz w:val="18"/>
          <w:szCs w:val="18"/>
          <w:color w:val="auto"/>
        </w:rPr>
        <w:t xml:space="preserve"> on behalf of such direct and indirect partner(s);</w:t>
      </w:r>
    </w:p>
    <w:p>
      <w:pPr>
        <w:spacing w:after="0" w:line="86" w:lineRule="exact"/>
        <w:rPr>
          <w:rFonts w:ascii="Arial" w:cs="Arial" w:eastAsia="Arial" w:hAnsi="Arial"/>
          <w:sz w:val="18"/>
          <w:szCs w:val="18"/>
          <w:color w:val="auto"/>
        </w:rPr>
      </w:pPr>
    </w:p>
    <w:p>
      <w:pPr>
        <w:ind w:left="121" w:right="120" w:firstLine="408"/>
        <w:spacing w:after="0" w:line="293" w:lineRule="auto"/>
        <w:tabs>
          <w:tab w:leader="none" w:pos="80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documentation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if any, required to be made; and</w:t>
      </w:r>
    </w:p>
    <w:p>
      <w:pPr>
        <w:spacing w:after="0" w:line="97" w:lineRule="exact"/>
        <w:rPr>
          <w:sz w:val="20"/>
          <w:szCs w:val="20"/>
          <w:color w:val="auto"/>
        </w:rPr>
      </w:pPr>
    </w:p>
    <w:p>
      <w:pPr>
        <w:ind w:left="4561"/>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141"/>
          </w:cols>
          <w:pgMar w:left="1299" w:top="274" w:right="459" w:bottom="1440" w:gutter="0" w:footer="0" w:header="0"/>
        </w:sectPr>
      </w:pPr>
    </w:p>
    <w:bookmarkStart w:id="71" w:name="page72"/>
    <w:bookmarkEnd w:id="71"/>
    <w:p>
      <w:pPr>
        <w:ind w:left="980" w:right="20" w:firstLine="408"/>
        <w:spacing w:after="0" w:line="289" w:lineRule="auto"/>
        <w:tabs>
          <w:tab w:leader="none" w:pos="1676"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payment made to a Lender under any Loan Document would be subject to U.S. federal withholding Tax imposed by FATCA if such Lender were to fail to comply with any requirements of FATCA (including those contained in Section 1471(b) or 1472(b) of the Code, as applicable), such Lender shall deliver to the Borrower and the Administrative Agent on or prior to the date on which such Lender becomes a Lender under this Agreement (and from time to time thereafter upon the reasonable request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and to determine the amount, if any, to deduct and withhold from such payment. Solely for purposes of this clause (D), “FATCA” shall include any amendments made to FATCA after the date of this Agreement.</w:t>
      </w:r>
    </w:p>
    <w:p>
      <w:pPr>
        <w:spacing w:after="0" w:line="16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Each Lender agrees that if any documentation it previously delivered expires or becomes obsolete or inaccurate in any respect, it shall update such documentation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Section 2.17(f). Notwithstanding any other provision of this Section 2.17(f), a Lender shall not be required to deliver any documentation that such Lender is not legally eligible to deliver.</w:t>
      </w:r>
    </w:p>
    <w:p>
      <w:pPr>
        <w:spacing w:after="0" w:line="188" w:lineRule="exact"/>
        <w:rPr>
          <w:sz w:val="20"/>
          <w:szCs w:val="20"/>
          <w:color w:val="auto"/>
        </w:rPr>
      </w:pPr>
    </w:p>
    <w:p>
      <w:pPr>
        <w:ind w:firstLine="987"/>
        <w:spacing w:after="0" w:line="268" w:lineRule="auto"/>
        <w:tabs>
          <w:tab w:leader="none" w:pos="124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2.17(g) (plus any penalties, interest or other charges imposed by the relevant Governmental Authority) in the event that such indemnified party is required to repay such refund to such Governmental Authority. Notwithstanding anything to the contrary in this Section 2.17(g), in no event will the indemnified party be required to pay any amount to an indemnifying party pursuant to this Section 2.17(g)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2.17(g) shall not be construed to require any indemnified party to make available its Tax returns (or any other information relating to its Taxes that it deems confidential) to the indemnifying party or any other Person.</w:t>
      </w:r>
    </w:p>
    <w:p>
      <w:pPr>
        <w:spacing w:after="0" w:line="186" w:lineRule="exact"/>
        <w:rPr>
          <w:rFonts w:ascii="Arial" w:cs="Arial" w:eastAsia="Arial" w:hAnsi="Arial"/>
          <w:sz w:val="17"/>
          <w:szCs w:val="17"/>
          <w:color w:val="auto"/>
        </w:rPr>
      </w:pPr>
    </w:p>
    <w:p>
      <w:pPr>
        <w:ind w:right="180" w:firstLine="987"/>
        <w:spacing w:after="0" w:line="263"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72" w:name="page73"/>
    <w:bookmarkEnd w:id="7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w:t>
      </w: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 Section 2.17, the term “Lender” includes each Issuing Bank and the term “applicable law” includes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FATCA.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5" w:lineRule="auto"/>
        <w:tabs>
          <w:tab w:leader="none" w:pos="12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hereunder (whether of principal, interest, fees or reimbursement of LC Disbursements, or of amounts payable under Section 2.15, 2.16 or 2.17, or otherwise) prior to (i) in the case of payments denominated in Dollars, 2:00 p.m., New York City time, and (ii) in the case of payments denominated in a Foreign Currency, 2:00 p.m., Local Time, in the city of the Administrative Agent’s Foreign Currency Payment Office for such currency, in each case on the date when due or the date fixed for any prepayment hereunder,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383 Madison Avenue, New York, New York, or, in the case of a Credit Event denominated in a Foreign Currency, the Administrative Agent’s Foreign Currency Payment Office for such currency, except payments to be made directly to Issuing Banks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clause (a),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Amount (as of the date of repayment) of such payment due, it being the intention of the parties hereto that the Borrower takes all risks of the imposition of any such currency control or exchange regulations.</w:t>
      </w:r>
    </w:p>
    <w:p>
      <w:pPr>
        <w:spacing w:after="0" w:line="168" w:lineRule="exact"/>
        <w:rPr>
          <w:rFonts w:ascii="Arial" w:cs="Arial" w:eastAsia="Arial" w:hAnsi="Arial"/>
          <w:sz w:val="16"/>
          <w:szCs w:val="16"/>
          <w:color w:val="auto"/>
        </w:rPr>
      </w:pPr>
    </w:p>
    <w:p>
      <w:pPr>
        <w:ind w:right="20" w:firstLine="987"/>
        <w:spacing w:after="0" w:line="275" w:lineRule="auto"/>
        <w:tabs>
          <w:tab w:leader="none" w:pos="1246"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76" w:lineRule="exact"/>
        <w:rPr>
          <w:rFonts w:ascii="Arial" w:cs="Arial" w:eastAsia="Arial" w:hAnsi="Arial"/>
          <w:sz w:val="17"/>
          <w:szCs w:val="17"/>
          <w:color w:val="auto"/>
        </w:rPr>
      </w:pPr>
    </w:p>
    <w:p>
      <w:pPr>
        <w:ind w:right="200" w:firstLine="987"/>
        <w:spacing w:after="0" w:line="296" w:lineRule="auto"/>
        <w:tabs>
          <w:tab w:leader="none" w:pos="12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73" w:name="page74"/>
    <w:bookmarkEnd w:id="7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of principal of and accrued interest on their respective Loans and participations in LC Disbursements;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For purposes of clause (b)(i) of the definition of “Excluded Taxes,” a participation acquired pursuant to this Section 2.18(c) shall be treated as having been acquired on the earlier date(s) on which the applicable Lender acquired the applicable interest in the Commitment(s) or Loan(s) to which such participation relates.</w:t>
      </w:r>
    </w:p>
    <w:p>
      <w:pPr>
        <w:spacing w:after="0" w:line="182" w:lineRule="exact"/>
        <w:rPr>
          <w:sz w:val="20"/>
          <w:szCs w:val="20"/>
          <w:color w:val="auto"/>
        </w:rPr>
      </w:pPr>
    </w:p>
    <w:p>
      <w:pPr>
        <w:ind w:firstLine="987"/>
        <w:spacing w:after="0" w:line="291" w:lineRule="auto"/>
        <w:tabs>
          <w:tab w:leader="none" w:pos="12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each of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166" w:lineRule="exact"/>
        <w:rPr>
          <w:rFonts w:ascii="Arial" w:cs="Arial" w:eastAsia="Arial" w:hAnsi="Arial"/>
          <w:sz w:val="16"/>
          <w:szCs w:val="16"/>
          <w:color w:val="auto"/>
        </w:rPr>
      </w:pPr>
    </w:p>
    <w:p>
      <w:pPr>
        <w:ind w:right="60" w:firstLine="987"/>
        <w:spacing w:after="0" w:line="273" w:lineRule="auto"/>
        <w:tabs>
          <w:tab w:leader="none" w:pos="1236"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2.06(d) or (e), 2.07(b), 2.18(d) or 9.03(c), then the Administrative Agent may, in its discretion (notwithstanding any contrary provision hereof), (i) apply any amounts thereafter received by the Administrative Agent for the account of such Lender and for the benefit of the Administrative Agent or the Issuing Banks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78"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 (a) If any Lender requests compensation under Section 2.15, or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4" w:name="page75"/>
    <w:bookmarkEnd w:id="74"/>
    <w:p>
      <w:pPr>
        <w:ind w:right="80" w:firstLine="987"/>
        <w:spacing w:after="0" w:line="286" w:lineRule="auto"/>
        <w:tabs>
          <w:tab w:leader="none" w:pos="1246"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and notwithstanding anything in Section 9.04 to the contrary, such assignment and delegation shall be deemed effective with respect to such Lender whether or not such Lender enters into an Assignment and Assumption;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71"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Expansion Option</w:t>
      </w:r>
      <w:r>
        <w:rPr>
          <w:rFonts w:ascii="Arial" w:cs="Arial" w:eastAsia="Arial" w:hAnsi="Arial"/>
          <w:sz w:val="16"/>
          <w:szCs w:val="16"/>
          <w:color w:val="auto"/>
        </w:rPr>
        <w:t>. The Borrower may from time to time elect to increase the Commitments in minimum increments of $25,000,000 so long as, after giving effect thereto, the aggregate amount of such increases does not exceed the greater of (x) $250,000,000 and (y) 35% of Consolidated Adjusted EBITDA. The Borrower may arrange for any such increase to be provided by one or more Lenders (each Lender so agreeing to an increase in its Commitment,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to increase their existing Commitments or extend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Augmenting Lender shall be subject to the approval of the Borrower and the Administrative Agent, (ii) no Augmenting Lender shall be an Ineligible Institution and (iii) (x) in the case of an Increasing Lender, the Borrower and such Increasing Lender execute an agreement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(y) in the case of an Augmenting Lender, the Borrower and such Augmenting Lender execute an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No consent of any Lender (other than the Lenders participating in the increase) shall be required for any increase in Commitments pursuant to this Section 2.20. Increases and new Commitments created pursuant to this Section 2.20 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shall become effective under this paragraph unless, (i) on the proposed date of the effectiveness of such increase, (A) the conditions set forth in paragraphs (a) and (b) of Section 4.02 (without giving effect to the first parenthetical in Section 4.02(a)) shall be satisfied or waived by the Required Lenders and the Administrative Agent shall have received a certificate to that effect dated such date and executed by a Financial Officer of the Borrower and (B) the Borrower shall be in compliance (on a pro forma basis) with the covenant contained in Section 6.05 and (ii) the Administrative Agent shall have received documents consistent with those delivered on the Effective Date as to the corporate power and authority of the Borrower to borrow hereunder after giving effect to such increase. On the effective date of any increase in the Commitments,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5" w:name="page76"/>
    <w:bookmarkEnd w:id="75"/>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payments to such other Lenders, each Lender’s portion of the outstanding Loans of all the Lenders to equal its Applicable Percentage of such outstanding Loans, and (ii) the Borrower shall be deemed to have repaid and reborrowed all outstanding Loans as of the date of any increase in the Commitments (with such reborrowing to consist of the Types of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Nothing contained in this Section 2.20 shall constitute, or otherwise be deemed to be, a commitment on the part of any Lender to increase its Commitment hereunder at any time.</w:t>
      </w:r>
    </w:p>
    <w:p>
      <w:pPr>
        <w:spacing w:after="0" w:line="178"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from the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the Borrower.</w:t>
      </w:r>
    </w:p>
    <w:p>
      <w:pPr>
        <w:spacing w:after="0" w:line="17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240" w:hanging="253"/>
        <w:spacing w:after="0"/>
        <w:tabs>
          <w:tab w:leader="none" w:pos="12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Commitment of such Defaulting Lender pursuant to Section 2.12(a);</w:t>
      </w:r>
    </w:p>
    <w:p>
      <w:pPr>
        <w:spacing w:after="0" w:line="236" w:lineRule="exact"/>
        <w:rPr>
          <w:rFonts w:ascii="Arial" w:cs="Arial" w:eastAsia="Arial" w:hAnsi="Arial"/>
          <w:sz w:val="17"/>
          <w:szCs w:val="17"/>
          <w:color w:val="auto"/>
        </w:rPr>
      </w:pPr>
    </w:p>
    <w:p>
      <w:pPr>
        <w:ind w:right="100" w:firstLine="987"/>
        <w:spacing w:after="0" w:line="291" w:lineRule="auto"/>
        <w:tabs>
          <w:tab w:leader="none" w:pos="1246"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any Issuing Bank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LC Exposure with respect to such Defaulting Lender in accordance with this Section 2.22; </w:t>
      </w:r>
      <w:r>
        <w:rPr>
          <w:rFonts w:ascii="Arial" w:cs="Arial" w:eastAsia="Arial" w:hAnsi="Arial"/>
          <w:sz w:val="16"/>
          <w:szCs w:val="16"/>
          <w:u w:val="single" w:color="auto"/>
          <w:color w:val="auto"/>
        </w:rPr>
        <w:t>fourth</w:t>
      </w:r>
      <w:r>
        <w:rPr>
          <w:rFonts w:ascii="Arial" w:cs="Arial" w:eastAsia="Arial" w:hAnsi="Arial"/>
          <w:sz w:val="16"/>
          <w:szCs w:val="16"/>
          <w:color w:val="auto"/>
        </w:rPr>
        <w:t>, as the Borrower may request (so long as no Default or Event of Default exists), to the funding of any Loan in respect of which such Defaulting Lender has failed to fund its portion thereof as required by this Agreement, as determined by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6" w:name="page77"/>
    <w:bookmarkEnd w:id="76"/>
    <w:p>
      <w:pPr>
        <w:ind w:right="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2.22;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the payment of any amounts owing to the Lenders or the Issuing Banks as a result of any judgment of a court of competent jurisdiction obtained by any Lender against such Defaulting Lender as a result of such Defaulting Lender’s breach of its obligations under this Agreement or under any other Loan Document;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Arial" w:cs="Arial" w:eastAsia="Arial" w:hAnsi="Arial"/>
          <w:sz w:val="17"/>
          <w:szCs w:val="17"/>
          <w:u w:val="single" w:color="auto"/>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2.22 shall be deemed paid to and redirected by such Defaulting Lender, and each Lender irrevocably consents hereto.</w:t>
      </w:r>
    </w:p>
    <w:p>
      <w:pPr>
        <w:spacing w:after="0" w:line="191" w:lineRule="exact"/>
        <w:rPr>
          <w:sz w:val="20"/>
          <w:szCs w:val="20"/>
          <w:color w:val="auto"/>
        </w:rPr>
      </w:pPr>
    </w:p>
    <w:p>
      <w:pPr>
        <w:jc w:val="both"/>
        <w:ind w:firstLine="987"/>
        <w:spacing w:after="0" w:line="279" w:lineRule="auto"/>
        <w:tabs>
          <w:tab w:leader="none" w:pos="1236"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the Commitments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any LC Exposure exists at the time such Lender becomes a Defaulting Lender then:</w:t>
      </w:r>
    </w:p>
    <w:p>
      <w:pPr>
        <w:spacing w:after="0" w:line="117" w:lineRule="exact"/>
        <w:rPr>
          <w:rFonts w:ascii="Arial" w:cs="Arial" w:eastAsia="Arial" w:hAnsi="Arial"/>
          <w:sz w:val="18"/>
          <w:szCs w:val="18"/>
          <w:color w:val="auto"/>
        </w:rPr>
      </w:pPr>
    </w:p>
    <w:p>
      <w:pPr>
        <w:ind w:left="440" w:right="120" w:firstLine="419"/>
        <w:spacing w:after="0" w:line="259" w:lineRule="auto"/>
        <w:tabs>
          <w:tab w:leader="none" w:pos="10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or any part of the LC Exposure of such Defaulting Lender shall be reallocated among the non-Defaulting Lenders in accordance with their respective Applicable Percentages but only to the extent that (x) the sum of all non-Defaulting Lenders’ Revolving Credit Exposures plus such Defaulting Lender’s LC Exposure does not exceed the total of all non-Defaulting Lenders’ Commitments and (y) no Default has occurred and is continuing at such time;</w:t>
      </w:r>
    </w:p>
    <w:p>
      <w:pPr>
        <w:spacing w:after="0" w:line="78" w:lineRule="exact"/>
        <w:rPr>
          <w:rFonts w:ascii="Arial" w:cs="Arial" w:eastAsia="Arial" w:hAnsi="Arial"/>
          <w:sz w:val="18"/>
          <w:szCs w:val="18"/>
          <w:color w:val="auto"/>
        </w:rPr>
      </w:pPr>
    </w:p>
    <w:p>
      <w:pPr>
        <w:ind w:left="440" w:right="60" w:firstLine="419"/>
        <w:spacing w:after="0" w:line="279" w:lineRule="auto"/>
        <w:tabs>
          <w:tab w:leader="none" w:pos="11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reallocation described in clause (i) above cannot, or can only partially, be effected, the Borrower shall within two (2) Business Days following notice by the Administrative Agent cash collateralize for the benefit of each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7" w:name="page78"/>
    <w:bookmarkEnd w:id="77"/>
    <w:p>
      <w:pPr>
        <w:ind w:left="440" w:right="40" w:firstLine="419"/>
        <w:spacing w:after="0" w:line="263" w:lineRule="auto"/>
        <w:tabs>
          <w:tab w:leader="none" w:pos="1178"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75" w:lineRule="exact"/>
        <w:rPr>
          <w:rFonts w:ascii="Arial" w:cs="Arial" w:eastAsia="Arial" w:hAnsi="Arial"/>
          <w:sz w:val="18"/>
          <w:szCs w:val="18"/>
          <w:color w:val="auto"/>
        </w:rPr>
      </w:pPr>
    </w:p>
    <w:p>
      <w:pPr>
        <w:ind w:left="440" w:right="200" w:firstLine="419"/>
        <w:spacing w:after="0" w:line="342" w:lineRule="auto"/>
        <w:tabs>
          <w:tab w:leader="none" w:pos="1168"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73"/>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Exposure is neither reallocated nor cash collateralized pursuant to clause (i) or</w:t>
      </w:r>
    </w:p>
    <w:p>
      <w:pPr>
        <w:spacing w:after="0" w:line="34" w:lineRule="exact"/>
        <w:rPr>
          <w:rFonts w:ascii="Arial" w:cs="Arial" w:eastAsia="Arial" w:hAnsi="Arial"/>
          <w:sz w:val="17"/>
          <w:szCs w:val="17"/>
          <w:color w:val="auto"/>
        </w:rPr>
      </w:pPr>
    </w:p>
    <w:p>
      <w:pPr>
        <w:ind w:left="700" w:hanging="264"/>
        <w:spacing w:after="0"/>
        <w:tabs>
          <w:tab w:leader="none" w:pos="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above, then, without prejudice to any rights or remedies of the relevant Issuing Bank or any other Lender hereunder, all letter of credit fees</w:t>
      </w:r>
    </w:p>
    <w:p>
      <w:pPr>
        <w:spacing w:after="0" w:line="32" w:lineRule="exact"/>
        <w:rPr>
          <w:rFonts w:ascii="Arial" w:cs="Arial" w:eastAsia="Arial" w:hAnsi="Arial"/>
          <w:sz w:val="16"/>
          <w:szCs w:val="16"/>
          <w:color w:val="auto"/>
        </w:rPr>
      </w:pPr>
    </w:p>
    <w:p>
      <w:pPr>
        <w:ind w:left="440" w:right="40"/>
        <w:spacing w:after="0" w:line="260" w:lineRule="auto"/>
        <w:rPr>
          <w:rFonts w:ascii="Arial" w:cs="Arial" w:eastAsia="Arial" w:hAnsi="Arial"/>
          <w:sz w:val="16"/>
          <w:szCs w:val="16"/>
          <w:color w:val="auto"/>
        </w:rPr>
      </w:pPr>
      <w:r>
        <w:rPr>
          <w:rFonts w:ascii="Arial" w:cs="Arial" w:eastAsia="Arial" w:hAnsi="Arial"/>
          <w:sz w:val="18"/>
          <w:szCs w:val="18"/>
          <w:color w:val="auto"/>
        </w:rPr>
        <w:t>payable under Section 2.12(b) with respect to such Defaulting Lender’s LC Exposure shall be payable to such Issuing Bank until and to the extent that such LC Exposure is reallocated and/or cash collateralized; and</w:t>
      </w:r>
    </w:p>
    <w:p>
      <w:pPr>
        <w:spacing w:after="0" w:line="185" w:lineRule="exact"/>
        <w:rPr>
          <w:rFonts w:ascii="Arial" w:cs="Arial" w:eastAsia="Arial" w:hAnsi="Arial"/>
          <w:sz w:val="16"/>
          <w:szCs w:val="16"/>
          <w:color w:val="auto"/>
        </w:rPr>
      </w:pPr>
    </w:p>
    <w:p>
      <w:pPr>
        <w:ind w:right="40" w:firstLine="987"/>
        <w:spacing w:after="0" w:line="257" w:lineRule="auto"/>
        <w:tabs>
          <w:tab w:leader="none" w:pos="1236" w:val="left"/>
        </w:tabs>
        <w:numPr>
          <w:ilvl w:val="2"/>
          <w:numId w:val="74"/>
        </w:numPr>
        <w:rPr>
          <w:rFonts w:ascii="Arial" w:cs="Arial" w:eastAsia="Arial" w:hAnsi="Arial"/>
          <w:sz w:val="18"/>
          <w:szCs w:val="18"/>
          <w:color w:val="auto"/>
        </w:rPr>
      </w:pPr>
      <w:r>
        <w:rPr>
          <w:rFonts w:ascii="Arial" w:cs="Arial" w:eastAsia="Arial" w:hAnsi="Arial"/>
          <w:sz w:val="18"/>
          <w:szCs w:val="18"/>
          <w:color w:val="auto"/>
        </w:rPr>
        <w:t>so long as such Lender is a Defaulting Lender, the relevant Issuing Bank shall not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2.22(d), and participating interests in any newly issued or increased Letter of Credit shall be allocated among non-Defaulting Lenders in a manner consistent with Section 2.22(d)(i) (and such Defaulting Lender shall not participate therein).</w:t>
      </w:r>
    </w:p>
    <w:p>
      <w:pPr>
        <w:spacing w:after="0" w:line="188"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If (i) a Bankruptcy Event or Bail-In Action with respect to a Parent of any Lender shall occur following the date hereof and for so long as such event shall continue or (ii) any Issuing Bank has actual knowledge that any Lender has defaulted in fulfilling its obligations under one or more other agreements in which such Lender commits to extend credit, no Issuing Bank shall be required to issue, amend or increase any Letter of Credit, unless the relevant Issuing Bank shall have entered into arrangements with the Borrower or such Lender, satisfactory to such Issuing Bank to defease any risk to it in respect of such Lender hereunder.</w:t>
      </w:r>
    </w:p>
    <w:p>
      <w:pPr>
        <w:spacing w:after="0" w:line="188"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In the event that the Administrative Agent, the Borrower and each Issuing Bank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5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2.23. </w:t>
      </w:r>
      <w:r>
        <w:rPr>
          <w:rFonts w:ascii="Arial" w:cs="Arial" w:eastAsia="Arial" w:hAnsi="Arial"/>
          <w:sz w:val="17"/>
          <w:szCs w:val="17"/>
          <w:u w:val="single" w:color="auto"/>
          <w:color w:val="auto"/>
        </w:rPr>
        <w:t>Extension Option</w:t>
      </w:r>
      <w:r>
        <w:rPr>
          <w:rFonts w:ascii="Arial" w:cs="Arial" w:eastAsia="Arial" w:hAnsi="Arial"/>
          <w:sz w:val="17"/>
          <w:szCs w:val="17"/>
          <w:color w:val="auto"/>
        </w:rPr>
        <w:t>. (a) The Borrower may, by delivering an Extension Request to the Administrative Agent (who shall promptly deliver a copy to each of the Lenders), not less than 30 days in advance of the Maturity Date in effect at such time (the “</w:t>
      </w:r>
      <w:r>
        <w:rPr>
          <w:rFonts w:ascii="Arial" w:cs="Arial" w:eastAsia="Arial" w:hAnsi="Arial"/>
          <w:sz w:val="17"/>
          <w:szCs w:val="17"/>
          <w:u w:val="single" w:color="auto"/>
          <w:color w:val="auto"/>
        </w:rPr>
        <w:t>Existing Maturity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request that the Lenders extend the Existing Maturity Date to the first anniversary of such Existing Maturity Date. Each Lender, acting in its sole discretion, shall, by written notice to the Administrative Agent given not later than the date that is the 15th day after the date of the Extension Request, or if such date is not a Business Day, the immediately following Business Day (the “</w:t>
      </w:r>
      <w:r>
        <w:rPr>
          <w:rFonts w:ascii="Arial" w:cs="Arial" w:eastAsia="Arial" w:hAnsi="Arial"/>
          <w:sz w:val="17"/>
          <w:szCs w:val="17"/>
          <w:u w:val="single" w:color="auto"/>
          <w:color w:val="auto"/>
        </w:rPr>
        <w:t>Response Date</w:t>
      </w:r>
      <w:r>
        <w:rPr>
          <w:rFonts w:ascii="Arial" w:cs="Arial" w:eastAsia="Arial" w:hAnsi="Arial"/>
          <w:sz w:val="17"/>
          <w:szCs w:val="17"/>
          <w:color w:val="auto"/>
        </w:rPr>
        <w:t>”), advise the Administrative Agent in writing whether or not such Lender agrees to the requested extension. Each Lender that advises the Administrative Agent that it will not extend the Existing Maturity Date is referred to herein as a “</w:t>
      </w:r>
      <w:r>
        <w:rPr>
          <w:rFonts w:ascii="Arial" w:cs="Arial" w:eastAsia="Arial" w:hAnsi="Arial"/>
          <w:sz w:val="17"/>
          <w:szCs w:val="17"/>
          <w:u w:val="single" w:color="auto"/>
          <w:color w:val="auto"/>
        </w:rPr>
        <w:t>Non-Extending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any Lender that does not advise the Administrative Agent of its consent to such requested extension by the Response Date and any Lender that is a Defaulting Lender on the Response Date shall be deemed to be a Non-Extending Lender. The Administrative Agent shall notify the Borrower, in writing, of the Lenders’ elections promptly following the Response Date. The election of any Lender to agree to such an extension shall not obligate any other Lender to so agree. The Maturity Date may be extended no more than two times pursuant to this Section 2.23.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8" w:name="page79"/>
    <w:bookmarkEnd w:id="78"/>
    <w:p>
      <w:pPr>
        <w:ind w:right="2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 If, by the Response Date, Lenders holding Commitments that represent 50% or more of the total Commitments shall constitute Non-Extending Lenders, then the Existing Maturity Date shall not be extended and the outstanding principal balance of all Loans and other amounts payable hereunder shall be payable, and the Commitments shall terminate, on the Existing Maturity Date in effect prior to such extension.</w:t>
      </w:r>
    </w:p>
    <w:p>
      <w:pPr>
        <w:spacing w:after="0" w:line="149" w:lineRule="exact"/>
        <w:rPr>
          <w:sz w:val="20"/>
          <w:szCs w:val="20"/>
          <w:color w:val="auto"/>
        </w:rPr>
      </w:pPr>
    </w:p>
    <w:p>
      <w:pPr>
        <w:ind w:right="80" w:firstLine="436"/>
        <w:spacing w:after="0" w:line="254"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by the Response Date, Lenders holding Commitments that represent more than 50% of the total Commitments shall have agreed to extend the Existing Maturity Date (each such consenting Lender,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then, effective as of the applicable date of effectiveness of such maturity extension, the Maturity Date for such Extending Lenders shall be extended to the first anniversary of the Existing Maturity Date (subject to satisfaction of the conditions set forth in Section 2.23(d)). In the event of such extension, the Commitment of each Non-Extending Lender shall terminate on the Existing Maturity Date in effect for such Non-Extending Lender prior to such extension and the outstanding principal balance of all Loans and other amounts payable hereunder to such Non-Extending Lender shall become due and payable on such Existing Maturity Date and, subject to Section 2.23(c) below, the total Commitments hereunder shall be reduced by the Commitments of the Non-Extending Lenders so terminated on such Existing Maturity Date.</w:t>
      </w:r>
    </w:p>
    <w:p>
      <w:pPr>
        <w:spacing w:after="0" w:line="192" w:lineRule="exact"/>
        <w:rPr>
          <w:sz w:val="20"/>
          <w:szCs w:val="20"/>
          <w:color w:val="auto"/>
        </w:rPr>
      </w:pPr>
    </w:p>
    <w:p>
      <w:pPr>
        <w:ind w:right="80" w:firstLine="436"/>
        <w:spacing w:after="0" w:line="269" w:lineRule="auto"/>
        <w:tabs>
          <w:tab w:leader="none" w:pos="685"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event of any extension of the Existing Maturity Date pursuant to Section 2.23(b)(ii), the Borrower shall have the right on or before the Existing Maturity Date, at its own expense, to require any Non-Extending Lender to transfer and assign without recourse (in accordance with and subject to the restrictions contained in Section 9.04) all its interests, rights (other than its rights to payments pursuant to Section 2.15, Section 2.16, Section 2.17 or Section 9.03 arising prior to the effectiveness of such assignment) and obligations under this Agreement to one or more banks or other financial institutions identified to the Non-Extending Lender by the Borrower, which may include any existing Lender (each a “</w:t>
      </w:r>
      <w:r>
        <w:rPr>
          <w:rFonts w:ascii="Arial" w:cs="Arial" w:eastAsia="Arial" w:hAnsi="Arial"/>
          <w:sz w:val="17"/>
          <w:szCs w:val="17"/>
          <w:u w:val="single" w:color="auto"/>
          <w:color w:val="auto"/>
        </w:rPr>
        <w:t>Replacement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Replacement Lender, if not already a Lender hereunder, shall be subject to the approval of the Administrative Agent and each Issuing Bank (such approvals to not be unreasonably withheld) to the extent the consent of the Administrative Agent or the Issuing Banks would be required to effect an assignment under Section 9.04(b), (ii) such assignment shall become effective as of a date specified by the Borrower (which shall not be later than the Existing Maturity Date in effect for such Non-Extending Lender prior to the effective date of the requested extension) and (iii) the Replacement Lender shall pay to such Non-Extending Lender in immediately available funds on the effective date of such assignment the principal of and interest accrued to the date of payment on the outstanding principal amount Loans made by it hereunder and all other amounts accrued and unpaid for its account or otherwise owed to it hereunder on such date.</w:t>
      </w:r>
    </w:p>
    <w:p>
      <w:pPr>
        <w:spacing w:after="0" w:line="178" w:lineRule="exact"/>
        <w:rPr>
          <w:rFonts w:ascii="Arial" w:cs="Arial" w:eastAsia="Arial" w:hAnsi="Arial"/>
          <w:sz w:val="17"/>
          <w:szCs w:val="17"/>
          <w:color w:val="auto"/>
        </w:rPr>
      </w:pPr>
    </w:p>
    <w:p>
      <w:pPr>
        <w:ind w:firstLine="436"/>
        <w:spacing w:after="0" w:line="290"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a condition precedent to each such extension of the Existing Maturity Date pursuant to Section 2.23(b)(ii), (x) both before and immediately after giving effect to such extension, (A) the representations and warranties of the Borrower set forth in this Agreement shall be true and correct in all material respects (except that any such representation or warranty that is qualified as to “materiality” or “Material Adverse Effect” shall be true and correct in all respects) and (B) no Default shall have occurred and be continuing and (y) the Borrower shall (i) deliver to the Administrative Agent a certificate of the Borrower dated as of the Existing Maturity Date signed by a Financial Officer of the Borrower certifying that, as of such date, the conditions set forth in clause (x) above are satisfied, (ii) deliver to the Administrative Agent (1) documentation entered into by the Borrower, the Administrative Agent and each Extending Lender and Replacement Lender providing for such amendments to this Agreement as the Administrative Agent determines to be reasonably necessary to evidence such extension and (2) such other approvals, opinions or documents as any Lender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40" w:top="274" w:right="499" w:bottom="1440" w:gutter="0" w:footer="0" w:header="0"/>
        </w:sectPr>
      </w:pPr>
    </w:p>
    <w:bookmarkStart w:id="79" w:name="page80"/>
    <w:bookmarkEnd w:id="7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participating in such extension may reasonably request through the Administrative Agent and (iii) first make such prepayments of the outstanding Loans and second provide such cash collateral (or make such other arrangements satisfactory to the applicable Issuing Bank) with respect to the outstanding Letters of Credit as shall be required such that, after giving effect to the termination of the Commitments of the Non-Extending Lenders pursuant to Section 2.23(b) and any assignment pursuant to Section 2.23(c), the aggregate Revolving Credit Exposure less the face amount of any Letter of Credit supported by any such cash collateral (or other satisfactory arrangements) so provided does not exceed the aggregate amount of Commitments being extended.</w:t>
      </w:r>
    </w:p>
    <w:p>
      <w:pPr>
        <w:spacing w:after="0" w:line="192" w:lineRule="exact"/>
        <w:rPr>
          <w:sz w:val="20"/>
          <w:szCs w:val="20"/>
          <w:color w:val="auto"/>
        </w:rPr>
      </w:pPr>
    </w:p>
    <w:p>
      <w:pPr>
        <w:jc w:val="both"/>
        <w:ind w:firstLine="436"/>
        <w:spacing w:after="0" w:line="263"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the avoidance of doubt, (i) no consent of any Lender (other than the existing Lenders participating in the extension of the Existing Maturity Date) shall be required for any extension of the Maturity Date pursuant to this Section 2.23 and (ii) the operation of this Section 2.23 in accordance with its terms is not an amendment subject to Section 9.02.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18" w:lineRule="exact"/>
        <w:rPr>
          <w:sz w:val="20"/>
          <w:szCs w:val="20"/>
          <w:color w:val="auto"/>
        </w:rPr>
      </w:pPr>
    </w:p>
    <w:p>
      <w:pPr>
        <w:ind w:left="4360"/>
        <w:spacing w:after="0"/>
        <w:rPr>
          <w:sz w:val="20"/>
          <w:szCs w:val="20"/>
          <w:color w:val="auto"/>
        </w:rPr>
      </w:pPr>
      <w:r>
        <w:rPr>
          <w:rFonts w:ascii="Arial" w:cs="Arial" w:eastAsia="Arial" w:hAnsi="Arial"/>
          <w:sz w:val="18"/>
          <w:szCs w:val="18"/>
          <w:u w:val="single" w:color="auto"/>
          <w:color w:val="auto"/>
        </w:rPr>
        <w:t>Representations and Warranties</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Borrower represents and warrants to the Lenders, in each case after giving effect to the Transactions, that:</w:t>
      </w:r>
    </w:p>
    <w:p>
      <w:pPr>
        <w:spacing w:after="0" w:line="211"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Subsidiaries</w:t>
      </w:r>
      <w:r>
        <w:rPr>
          <w:rFonts w:ascii="Arial" w:cs="Arial" w:eastAsia="Arial" w:hAnsi="Arial"/>
          <w:sz w:val="16"/>
          <w:szCs w:val="16"/>
          <w:color w:val="auto"/>
        </w:rPr>
        <w:t xml:space="preserve">. The Borrower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As of the Effective Date, </w:t>
      </w:r>
      <w:r>
        <w:rPr>
          <w:rFonts w:ascii="Arial" w:cs="Arial" w:eastAsia="Arial" w:hAnsi="Arial"/>
          <w:sz w:val="16"/>
          <w:szCs w:val="16"/>
          <w:u w:val="single" w:color="auto"/>
          <w:color w:val="auto"/>
        </w:rPr>
        <w:t>Schedule 3.01</w:t>
      </w:r>
      <w:r>
        <w:rPr>
          <w:rFonts w:ascii="Arial" w:cs="Arial" w:eastAsia="Arial" w:hAnsi="Arial"/>
          <w:sz w:val="16"/>
          <w:szCs w:val="16"/>
          <w:color w:val="auto"/>
        </w:rPr>
        <w:t xml:space="preserve"> to the Disclosure Letter identifies each Subsidiary, noting whether such Subsidiary is a Material Domestic Subsidiary, the jurisdiction of its incorporation or organization, as the case may be, the percentage of issued and outstanding shares of each class of its capital stock or other equity interests owned by the Borrower and the other Subsidiaries and, if such percentage is not 100% (excluding directors’ qualifying shares as required by law or shares held by nominees on behalf of the Borrower or any Subsidiary as required by law), a description of each class issued and outstanding. As of the Effective Date, all of the outstanding shares of capital stock and other equity interests of each Material Domestic Subsidiary are validly issued and outstanding and fully paid and nonassessable (to the extent such concepts exists and/or is applicable) and all such shares and other equity interests indicated on </w:t>
      </w:r>
      <w:r>
        <w:rPr>
          <w:rFonts w:ascii="Arial" w:cs="Arial" w:eastAsia="Arial" w:hAnsi="Arial"/>
          <w:sz w:val="16"/>
          <w:szCs w:val="16"/>
          <w:u w:val="single" w:color="auto"/>
          <w:color w:val="auto"/>
        </w:rPr>
        <w:t>Schedule 3.01</w:t>
      </w:r>
      <w:r>
        <w:rPr>
          <w:rFonts w:ascii="Arial" w:cs="Arial" w:eastAsia="Arial" w:hAnsi="Arial"/>
          <w:sz w:val="16"/>
          <w:szCs w:val="16"/>
          <w:color w:val="auto"/>
        </w:rPr>
        <w:t xml:space="preserve"> to the Disclosure Letter as owned by the Borrower or another Subsidiary are owned, beneficially and of record, by the Borrower or any Subsidiary free and clear of all Liens (other than Permitted Encumbrances). Except as set forth in </w:t>
      </w:r>
      <w:r>
        <w:rPr>
          <w:rFonts w:ascii="Arial" w:cs="Arial" w:eastAsia="Arial" w:hAnsi="Arial"/>
          <w:sz w:val="16"/>
          <w:szCs w:val="16"/>
          <w:u w:val="single" w:color="auto"/>
          <w:color w:val="auto"/>
        </w:rPr>
        <w:t>Schedule 3.01</w:t>
      </w:r>
      <w:r>
        <w:rPr>
          <w:rFonts w:ascii="Arial" w:cs="Arial" w:eastAsia="Arial" w:hAnsi="Arial"/>
          <w:sz w:val="16"/>
          <w:szCs w:val="16"/>
          <w:color w:val="auto"/>
        </w:rPr>
        <w:t xml:space="preserve"> to the Disclosure Letter, as of the Effective Date there are no outstanding commitments or other obligations of the Material Domestic Subsidiaries to issue, and no options, warrants or other rights of any Person to acquire, any shares of any class of capital stock or other equity interests of such Material Domestic Subsidiary.</w:t>
      </w:r>
    </w:p>
    <w:p>
      <w:pPr>
        <w:spacing w:after="0" w:line="171"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the Borrower’s organizational powers and have been duly authorized by all necessary organizational actions and, if required, actions by equity holders. The Loan Documents to which the Borrower is a party have been duly executed and delivered by the Borrower and constitute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80" w:name="page81"/>
    <w:bookmarkEnd w:id="80"/>
    <w:p>
      <w:pPr>
        <w:ind w:right="8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Except to the extent reasonably expected to result in a Material Adverse Effect (other than with respect to violation of the charter, by-laws or organizational documents of the Borrower), the Transactions (a) do not require any consent or approval of, registration or filing with, or any other action by, any Governmental Authority, except such as have been obtained or made and are in full force and effect or as set forth on </w:t>
      </w:r>
      <w:r>
        <w:rPr>
          <w:rFonts w:ascii="Arial" w:cs="Arial" w:eastAsia="Arial" w:hAnsi="Arial"/>
          <w:sz w:val="16"/>
          <w:szCs w:val="16"/>
          <w:u w:val="single" w:color="auto"/>
          <w:color w:val="auto"/>
        </w:rPr>
        <w:t>Schedule 3.03</w:t>
      </w:r>
      <w:r>
        <w:rPr>
          <w:rFonts w:ascii="Arial" w:cs="Arial" w:eastAsia="Arial" w:hAnsi="Arial"/>
          <w:sz w:val="16"/>
          <w:szCs w:val="16"/>
          <w:color w:val="auto"/>
        </w:rPr>
        <w:t xml:space="preserve"> to the Disclosure Letter, (b) will not violate any applicable law or regulation or the charter, by-laws or other organizational documents of the Borrower or any order of any Governmental Authority, (c) will not violate or result in a default under any indenture, material agreement or other material instrument binding upon the Borrower or its assets, or give rise to a right thereunder to require any payment to be made by the Borrower, and (d) will not result in the creation or imposition of any Lien on any asset of the Borrower.</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Financial Condition; No Material Adverse Change</w:t>
      </w:r>
      <w:r>
        <w:rPr>
          <w:rFonts w:ascii="Arial" w:cs="Arial" w:eastAsia="Arial" w:hAnsi="Arial"/>
          <w:sz w:val="17"/>
          <w:szCs w:val="17"/>
          <w:color w:val="auto"/>
        </w:rPr>
        <w:t>. (a) The Borrower has heretofore furnished to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Agent and the Lenders (i) the audited consolidated financial statements of the Borrower, Zynga, and their respective Subsidiaries consisting of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sheets as of and for March 31, 2022 and March 31, 2021 (in the case of the Borrower) and December 31, 2021 and December 31, 2020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Zynga) and the related statements of income and cash flows for such fiscal years, in each case, prepared in accordance with GAAP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and (ii) the unaudited consolidated financial statements of Zynga and its subsidiaries consisting of balance sheets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for the fiscal quarter ended March 31, 2022 (the last date of the last such applicable fiscal year or fiscal quarter, the “</w:t>
      </w:r>
      <w:r>
        <w:rPr>
          <w:rFonts w:ascii="Arial" w:cs="Arial" w:eastAsia="Arial" w:hAnsi="Arial"/>
          <w:sz w:val="16"/>
          <w:szCs w:val="16"/>
          <w:u w:val="single" w:color="auto"/>
          <w:color w:val="auto"/>
        </w:rPr>
        <w:t>Financial Statements Date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related statements of income and cash flows for the portion of the fiscal year then ended, in each case, prepared in accordance with GAAP in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 respects or except as set forth therein (the “</w:t>
      </w:r>
      <w:r>
        <w:rPr>
          <w:rFonts w:ascii="Arial" w:cs="Arial" w:eastAsia="Arial" w:hAnsi="Arial"/>
          <w:sz w:val="17"/>
          <w:szCs w:val="17"/>
          <w:u w:val="single" w:color="auto"/>
          <w:color w:val="auto"/>
        </w:rPr>
        <w:t>Unaudited Financial Statements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foregoing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representation is deemed satisfied as of the date hereof by the prior public filing with the SEC of the Audited Financial Statements and the Unaudited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by the Borrower and Zynga, as applicable.). Such financial statements have been prepared in good faith, based on assumptions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believed by the Borrower to be reasonable as of the date of delivery thereof, and present fairly, in all material respects, the financial position and results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operations and cash flows of the Borrower and its consolidated Subsidiaries (other than Zynga and its consolidated Subsidiaries) and Zynga and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Subsidiaries, as applicable, as of such dates and for such periods in accordance with GAAP, subject to year-end audit adjustments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absence of footnotes in the case of the statements referred to in clause (ii) above.</w:t>
      </w:r>
    </w:p>
    <w:p>
      <w:pPr>
        <w:spacing w:after="0" w:line="211" w:lineRule="exact"/>
        <w:rPr>
          <w:sz w:val="20"/>
          <w:szCs w:val="20"/>
          <w:color w:val="auto"/>
        </w:rPr>
      </w:pPr>
    </w:p>
    <w:p>
      <w:pPr>
        <w:ind w:right="20" w:firstLine="987"/>
        <w:spacing w:after="0" w:line="290" w:lineRule="auto"/>
        <w:tabs>
          <w:tab w:leader="none" w:pos="1246"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unaudited pro forma consolidated balance sheet for the Borrower prepared as of the Financial Statements Date, prepared so as to give effect to the Transaction as if the Transactions had occurred as of such date or at the beginning of such period, as applicable (which need not be prepared in compliance with Regulations S-X of the Securities Act of 1933, as amended (the “</w:t>
      </w:r>
      <w:r>
        <w:rPr>
          <w:rFonts w:ascii="Arial" w:cs="Arial" w:eastAsia="Arial" w:hAnsi="Arial"/>
          <w:sz w:val="16"/>
          <w:szCs w:val="16"/>
          <w:u w:val="single" w:color="auto"/>
          <w:color w:val="auto"/>
        </w:rPr>
        <w:t>Pro Forma Financial Statements</w:t>
      </w:r>
      <w:r>
        <w:rPr>
          <w:rFonts w:ascii="Arial" w:cs="Arial" w:eastAsia="Arial" w:hAnsi="Arial"/>
          <w:sz w:val="16"/>
          <w:szCs w:val="16"/>
          <w:color w:val="auto"/>
        </w:rPr>
        <w:t xml:space="preserve">”)), copies of which have heretofore been furnished to the Administrative Agent and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representation is deemed satisfied as of the date hereof by the prior public filing with the SEC of the Pro Forma Financial Statements by the Borrower. The Pro Forma Financial Statements have been prepared in good faith, based on assumptions believed by the Borrower to be reasonable as of the date of delivery thereof, and present fairly in all material respects on a pro forma basis the estimated financial position of the Borrower and its Subsidiaries as at the Financial Statements Date disclosed therein and their estimated results of operations for the period covered thereby.</w:t>
      </w:r>
    </w:p>
    <w:p>
      <w:pPr>
        <w:spacing w:after="0" w:line="165" w:lineRule="exact"/>
        <w:rPr>
          <w:rFonts w:ascii="Arial" w:cs="Arial" w:eastAsia="Arial" w:hAnsi="Arial"/>
          <w:sz w:val="16"/>
          <w:szCs w:val="16"/>
          <w:color w:val="auto"/>
        </w:rPr>
      </w:pPr>
    </w:p>
    <w:p>
      <w:pPr>
        <w:ind w:left="1240" w:hanging="253"/>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Since March 31, 2022, there has been no Material Adverse Effect.</w:t>
      </w:r>
    </w:p>
    <w:p>
      <w:pPr>
        <w:spacing w:after="0" w:line="225"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Each of the Borrower and its Subsidiaries has good title to, or valid leasehold interests in, all its real and personal property material to its business, except to the extent the insufficiency of such title or interests, individually or in the aggregate, could not reasonably be expected to result in a Material Adverse Effect.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440" w:top="274" w:right="519" w:bottom="1440" w:gutter="0" w:footer="0" w:header="0"/>
        </w:sectPr>
      </w:pPr>
    </w:p>
    <w:bookmarkStart w:id="81" w:name="page82"/>
    <w:bookmarkEnd w:id="81"/>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3.06. </w:t>
      </w:r>
      <w:r>
        <w:rPr>
          <w:rFonts w:ascii="Arial" w:cs="Arial" w:eastAsia="Arial" w:hAnsi="Arial"/>
          <w:sz w:val="18"/>
          <w:szCs w:val="18"/>
          <w:u w:val="single" w:color="auto"/>
          <w:color w:val="auto"/>
        </w:rPr>
        <w:t>Litigation, Environmental and Labor Matters</w:t>
      </w:r>
      <w:r>
        <w:rPr>
          <w:rFonts w:ascii="Arial" w:cs="Arial" w:eastAsia="Arial" w:hAnsi="Arial"/>
          <w:sz w:val="18"/>
          <w:szCs w:val="18"/>
          <w:color w:val="auto"/>
        </w:rPr>
        <w:t>. (a) There are no actions, suits or proceedings by or before any arbitrator or Governmental Authority pending against or, to the knowledge of the Borrower, threatened in writing against the Borrower or any of its Subsidiaries as to which there is a reasonable possibility of an adverse determination and that, if adversely determined, could reasonably be expected, individually or in the aggregate, to result in a Material Adverse Effect.</w:t>
      </w:r>
    </w:p>
    <w:p>
      <w:pPr>
        <w:spacing w:after="0" w:line="187" w:lineRule="exact"/>
        <w:rPr>
          <w:sz w:val="20"/>
          <w:szCs w:val="20"/>
          <w:color w:val="auto"/>
        </w:rPr>
      </w:pPr>
    </w:p>
    <w:p>
      <w:pPr>
        <w:jc w:val="both"/>
        <w:ind w:right="120" w:firstLine="987"/>
        <w:spacing w:after="0" w:line="301" w:lineRule="auto"/>
        <w:tabs>
          <w:tab w:leader="none" w:pos="12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57" w:lineRule="exact"/>
        <w:rPr>
          <w:rFonts w:ascii="Arial" w:cs="Arial" w:eastAsia="Arial" w:hAnsi="Arial"/>
          <w:sz w:val="16"/>
          <w:szCs w:val="16"/>
          <w:color w:val="auto"/>
        </w:rPr>
      </w:pPr>
    </w:p>
    <w:p>
      <w:pPr>
        <w:ind w:firstLine="987"/>
        <w:spacing w:after="0" w:line="288" w:lineRule="auto"/>
        <w:tabs>
          <w:tab w:leader="none" w:pos="1236"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There are no strikes, lockouts or slowdowns against the Borrower or any of its Subsidiaries pending or, to their knowledge, threatened in writing that could reasonably be expected, individually or in the aggregate, to result in a Material Adverse Effect. The hours worked by and payments made to employees of the Borrower and its Subsidiaries have not been in violation of the Fair Labor Standards Act or any other applicable Federal, state, local or foreign law relating to such matters, to the extent such violations, individually or in the aggregate, could not reasonably be expected to result in a Material Adverse Effect. All material payments due from the Borrower or any of its Subsidiaries, or for which any claim may be made against the Borrower or any of its Subsidiaries, on account of wages and employee health and welfare insurance and other benefits, have been paid or accrued as liabilities on the books of the Borrower or such Subsidiary, except where the failure to do so, individually or in the aggregate, could not reasonably be expected to result in a Material Adverse Effect. The consummation of the Transactions will not give rise to any right of termination or right of renegotiation on the part of any union under any collective bargaining agreement under which the Borrower or any of its Subsidiaries is bound that could reasonably be expected, individually or in the aggregate, to result in a Material Adverse Effect.</w:t>
      </w:r>
    </w:p>
    <w:p>
      <w:pPr>
        <w:spacing w:after="0" w:line="168"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indentures, agreements and other instruments binding upon it or its property, except, in each case, where the failure to do so, individually or in the aggregate, could not reasonably be expected to result in a Material Adverse Effect.</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of its Subsidiaries is an “investment company” as defined in, or subject to regulation under, the Investment Company Act of 1940.</w:t>
      </w:r>
    </w:p>
    <w:p>
      <w:pPr>
        <w:spacing w:after="0" w:line="170"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in accordance with GAAP or (b) to the extent that the failure to do so, individually or in the aggregate, could not reasonably be expected to result in a Material Adverse Effect.</w:t>
      </w:r>
    </w:p>
    <w:p>
      <w:pPr>
        <w:spacing w:after="0" w:line="188"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82" w:name="page83"/>
    <w:bookmarkEnd w:id="82"/>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Neither the Lender Presentation nor any of the other reports, financial statements, certificates or other written or formally presented information furnished by or on behalf of the Borrower or any Subsidiary to the Administrative Agent or any Lender in connection with the negotiation of this Agreement or delivered hereunder (as modified or supplemented by other information so furnished) contains, when furnished and taken as a whole, and taken as a whole with the Borrower’s filings with the SEC, any material misstatement of fact or omits to state any material fact necessary to make the statements therein, in the light of the circumstances under which they were made, not materially misleading at such time (after giving effect to all supplements so furnished from time to time) in light of the circumstances under which such information or data was furnished.</w:t>
      </w:r>
    </w:p>
    <w:p>
      <w:pPr>
        <w:spacing w:after="0" w:line="19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(i) any Loan or (ii) to the knowledge of the Borrower, any Subsidiary, or their respective directors, officers and employees, any Letter of Credit, in each case, have been used or will be used directly by the Borrower or its Subsidiaries for any purpose that entails a violation of any of the Regulations of the Federal Reserve Board, including Regulations T, U and X.</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w:t>
      </w:r>
    </w:p>
    <w:p>
      <w:pPr>
        <w:spacing w:after="0" w:line="225"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(a) The Borrower has implemented and maintains in effect policies and procedures for compliance by the Borrower, its Subsidiaries and their respective directors, officers and employees with Anti-Corruption Laws and applicable Sanctions. The Borrower and its Subsidiaries and, to the knowledge of the Borrower and its Subsidiaries, their respective directors, officers, employees, agents and affiliates, are in compliance in all material respects with Anti-Corruption Laws and applicable Sanctions. None of the Borrower, any Subsidiary or, to the knowledge of the Borrower or such Subsidiary, any of their respective directors, officers, employees, agents or affiliates is a Sanctioned Person.</w:t>
      </w:r>
    </w:p>
    <w:p>
      <w:pPr>
        <w:spacing w:after="0" w:line="192" w:lineRule="exact"/>
        <w:rPr>
          <w:sz w:val="20"/>
          <w:szCs w:val="20"/>
          <w:color w:val="auto"/>
        </w:rPr>
      </w:pPr>
    </w:p>
    <w:p>
      <w:pPr>
        <w:ind w:left="980" w:right="160" w:firstLine="7"/>
        <w:spacing w:after="0" w:line="499" w:lineRule="auto"/>
        <w:tabs>
          <w:tab w:leader="none" w:pos="12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No Borrowing or Letter of Credit, use of proceeds or the Transactions will violate any Anti-Corruption Law or applicable Sanctions. SECTION 3.15.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The Borrower is not an Affected Financial Institution.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IV</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Effective Date</w:t>
      </w:r>
      <w:r>
        <w:rPr>
          <w:rFonts w:ascii="Arial" w:cs="Arial" w:eastAsia="Arial" w:hAnsi="Arial"/>
          <w:sz w:val="16"/>
          <w:szCs w:val="16"/>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6" w:lineRule="exact"/>
        <w:rPr>
          <w:sz w:val="20"/>
          <w:szCs w:val="20"/>
          <w:color w:val="auto"/>
        </w:rPr>
      </w:pPr>
    </w:p>
    <w:p>
      <w:pPr>
        <w:ind w:left="440" w:right="60" w:firstLine="419"/>
        <w:spacing w:after="0" w:line="279" w:lineRule="auto"/>
        <w:tabs>
          <w:tab w:leader="none" w:pos="1108"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The Administrative Agent (or its counsel) shall have received (i) from each party hereto either (A) a counterpart of this Agreement signed on behalf of such party or (B) written evidence (which may include telecopy or electronic transmission of a signed signature page of this Agreement) that such party has signed a counterpart of this Agreement and (ii) duly executed copies of the Loan Documents and such other legal opinions, certificates, documents, instruments and agreements described in the list of closing documents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40"/>
          </w:cols>
          <w:pgMar w:left="440" w:top="274" w:right="519" w:bottom="1440" w:gutter="0" w:footer="0" w:header="0"/>
        </w:sectPr>
      </w:pPr>
    </w:p>
    <w:bookmarkStart w:id="83" w:name="page84"/>
    <w:bookmarkEnd w:id="83"/>
    <w:p>
      <w:pPr>
        <w:ind w:right="80" w:firstLine="419"/>
        <w:spacing w:after="0" w:line="286" w:lineRule="auto"/>
        <w:tabs>
          <w:tab w:leader="none" w:pos="678" w:val="left"/>
        </w:tabs>
        <w:numPr>
          <w:ilvl w:val="0"/>
          <w:numId w:val="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a customary written opinion (addressed to the Administrative Agent and the Lenders and dated the Effective Date) of Willkie Farr &amp; Gallagher LLP, counsel for the Borrower, covering customary matters relating to the Borrower, the Loan Documents and the Transactions. The Borrower hereby requests such counsel to deliver such opinion.</w:t>
      </w:r>
    </w:p>
    <w:p>
      <w:pPr>
        <w:spacing w:after="0" w:line="57" w:lineRule="exact"/>
        <w:rPr>
          <w:rFonts w:ascii="Arial" w:cs="Arial" w:eastAsia="Arial" w:hAnsi="Arial"/>
          <w:sz w:val="17"/>
          <w:szCs w:val="17"/>
          <w:color w:val="auto"/>
        </w:rPr>
      </w:pPr>
    </w:p>
    <w:p>
      <w:pPr>
        <w:ind w:right="40" w:firstLine="419"/>
        <w:spacing w:after="0" w:line="311" w:lineRule="auto"/>
        <w:tabs>
          <w:tab w:leader="none" w:pos="6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Lenders shall have received the Audited Financial Statements, the Unaudited Financial Statements and the Pro Forma Financial Statements. For the avoidance of doubt, this condition is deemed satisfied by the public filing of the Audited Financial Statements, the Unaudited Financial Statements, and the Pro Forma Financial Statements by the Borrower and Zynga as of the date hereof.</w:t>
      </w:r>
    </w:p>
    <w:p>
      <w:pPr>
        <w:spacing w:after="0" w:line="40" w:lineRule="exact"/>
        <w:rPr>
          <w:rFonts w:ascii="Arial" w:cs="Arial" w:eastAsia="Arial" w:hAnsi="Arial"/>
          <w:sz w:val="16"/>
          <w:szCs w:val="16"/>
          <w:color w:val="auto"/>
        </w:rPr>
      </w:pPr>
    </w:p>
    <w:p>
      <w:pPr>
        <w:ind w:right="80" w:firstLine="419"/>
        <w:spacing w:after="0" w:line="263" w:lineRule="auto"/>
        <w:tabs>
          <w:tab w:leader="none" w:pos="67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such documents and certificates relating to the organization, existence and good standing of the Borrower, the authorization of the Transactions and any other legal matters relating to the Borrower, the Loan Documents or the Transactions described in the list of closing documents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0" w:firstLine="419"/>
        <w:spacing w:after="0" w:line="308" w:lineRule="auto"/>
        <w:tabs>
          <w:tab w:leader="none" w:pos="66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dated the Effective Date and signed by the Chief Executive Officer or a Financial Officer of the Borrower, confirming compliance with the conditions set forth in paragraph (i) of this Section 4.01.</w:t>
      </w:r>
    </w:p>
    <w:p>
      <w:pPr>
        <w:spacing w:after="0" w:line="38" w:lineRule="exact"/>
        <w:rPr>
          <w:rFonts w:ascii="Arial" w:cs="Arial" w:eastAsia="Arial" w:hAnsi="Arial"/>
          <w:sz w:val="17"/>
          <w:szCs w:val="17"/>
          <w:color w:val="auto"/>
        </w:rPr>
      </w:pPr>
    </w:p>
    <w:p>
      <w:pPr>
        <w:jc w:val="both"/>
        <w:ind w:right="100" w:firstLine="419"/>
        <w:spacing w:after="0" w:line="263"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Lenders, the Administrative Agent and the Arrangers shall have received all fees and other amounts due and payable on or prior to the Effective Date, including, to the extent invoiced at least three (3) Business Days prior to the Effective Date, reimbursement or payment of all reasonable out-of-pocket expenses required to be reimbursed or paid by the Borrower hereunder.</w:t>
      </w:r>
    </w:p>
    <w:p>
      <w:pPr>
        <w:spacing w:after="0" w:line="75" w:lineRule="exact"/>
        <w:rPr>
          <w:rFonts w:ascii="Arial" w:cs="Arial" w:eastAsia="Arial" w:hAnsi="Arial"/>
          <w:sz w:val="18"/>
          <w:szCs w:val="18"/>
          <w:color w:val="auto"/>
        </w:rPr>
      </w:pPr>
    </w:p>
    <w:p>
      <w:pPr>
        <w:ind w:firstLine="419"/>
        <w:spacing w:after="0" w:line="263" w:lineRule="auto"/>
        <w:tabs>
          <w:tab w:leader="none" w:pos="67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Administrative Agent shall have received customary evidence that the Effective Date Refinancing shall have occurred or, substantially concurrently with the initial Borrowing under the Facilities, shall occur (other than any Effective Date Refinancing to be made on an Existing Zynga Notes Fundamental Change Settlement Date).</w:t>
      </w:r>
    </w:p>
    <w:p>
      <w:pPr>
        <w:spacing w:after="0" w:line="75" w:lineRule="exact"/>
        <w:rPr>
          <w:rFonts w:ascii="Arial" w:cs="Arial" w:eastAsia="Arial" w:hAnsi="Arial"/>
          <w:sz w:val="18"/>
          <w:szCs w:val="18"/>
          <w:color w:val="auto"/>
        </w:rPr>
      </w:pPr>
    </w:p>
    <w:p>
      <w:pPr>
        <w:ind w:right="80" w:firstLine="419"/>
        <w:spacing w:after="0" w:line="291" w:lineRule="auto"/>
        <w:tabs>
          <w:tab w:leader="none" w:pos="678"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The Administrative Agent shall have received, at least five (5)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(5)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58" w:lineRule="exact"/>
        <w:rPr>
          <w:rFonts w:ascii="Arial" w:cs="Arial" w:eastAsia="Arial" w:hAnsi="Arial"/>
          <w:sz w:val="16"/>
          <w:szCs w:val="16"/>
          <w:color w:val="auto"/>
        </w:rPr>
      </w:pPr>
    </w:p>
    <w:p>
      <w:pPr>
        <w:ind w:right="60" w:firstLine="419"/>
        <w:spacing w:after="0" w:line="296" w:lineRule="auto"/>
        <w:tabs>
          <w:tab w:leader="none" w:pos="638"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Merger Agreement shall not have been altered, amended or otherwise changed or supplemented or any provision waived or consented to in a manner that, when taken as a whole, is materially adverse to the Lenders (including any reduction in the acquisition consideration that does not meet the criteria below) without the prior written consent of the Arrangers (such consent not to be unreasonably withheld, delayed or conditioned); it being understood that (i) any change in the Cash Consideration (as defined in the Merger Agreement as in effect on January 9, 2022 (the “</w:t>
      </w:r>
      <w:r>
        <w:rPr>
          <w:rFonts w:ascii="Arial" w:cs="Arial" w:eastAsia="Arial" w:hAnsi="Arial"/>
          <w:sz w:val="16"/>
          <w:szCs w:val="16"/>
          <w:u w:val="single" w:color="auto"/>
          <w:color w:val="auto"/>
        </w:rPr>
        <w:t>Original Signing Date</w:t>
      </w:r>
      <w:r>
        <w:rPr>
          <w:rFonts w:ascii="Arial" w:cs="Arial" w:eastAsia="Arial" w:hAnsi="Arial"/>
          <w:sz w:val="16"/>
          <w:szCs w:val="16"/>
          <w:color w:val="auto"/>
        </w:rPr>
        <w:t>”) not exceeding a 10% increase or decrease in the aggregate Cash Consideration to be paid</w:t>
      </w:r>
    </w:p>
    <w:p>
      <w:pPr>
        <w:spacing w:after="0" w:line="9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00"/>
          </w:cols>
          <w:pgMar w:left="880" w:top="274" w:right="519" w:bottom="1440" w:gutter="0" w:footer="0" w:header="0"/>
        </w:sectPr>
      </w:pPr>
    </w:p>
    <w:bookmarkStart w:id="84" w:name="page85"/>
    <w:bookmarkEnd w:id="84"/>
    <w:p>
      <w:pPr>
        <w:ind w:left="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Merger Agreement as in effect on the Original Signing Date will be deemed to not be materially adverse to the interests of the Lenders and will not require the prior written consent of the Arrangers, (ii) any increase in the Stock Consideration (as defined in the Merger Agreement as in effect on the Original Signing Date) will be deemed to not be materially adverse to the interests of the Lenders and will not require the prior written consent of the Arrangers, and (iii) any reduction in the Merger Consideration (as defined in the Merger Agreement as in effect on the Original Signing Date) will be deemed to not be materially adverse to the interests of the Lenders and will not require the prior written consent of the Arrangers as long as the ratio of Cash Consideration to Stock Consideration is not increased from the ratio pursuant to the Merger Agreement as in effect on the Original Signing Date as a result of such reduction. The Combination shall be consummated substantially concurrently with the effectiveness of the Commitments in accordance in all material respects with the Merger Agreement as such terms may be altered, amended or otherwise changed, supplemented, waived or consented to in accordance with the immediately preceding sentence.</w:t>
      </w:r>
    </w:p>
    <w:p>
      <w:pPr>
        <w:spacing w:after="0" w:line="58" w:lineRule="exact"/>
        <w:rPr>
          <w:sz w:val="20"/>
          <w:szCs w:val="20"/>
          <w:color w:val="auto"/>
        </w:rPr>
      </w:pPr>
    </w:p>
    <w:p>
      <w:pPr>
        <w:ind w:left="440" w:firstLine="419"/>
        <w:spacing w:after="0" w:line="283" w:lineRule="auto"/>
        <w:tabs>
          <w:tab w:leader="none" w:pos="1078"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Except (i) as disclosed in the Disclosure Schedules (as defined, for purposes of this clause (l), in the Merger Agreement as in effect on the Original Signing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mere inclusion of an item in the Disclosure Schedules as an exception to a representation or warranty shall not be deemed an admission by the Target (as defined, for purposes of this clause (j), in the Merger Agreement as in effect on the Original Signing Date) that such item represents a material exception or fact, event or circumstance or that such item would reasonably be likely to result in a Company Material Adverse Effect (as defined, for purposes of this clause (j), in the Merger Agreement as in effect on the Original Signing Date) on the Target and (y) any disclosures made with respect to a section of Article III of the Merger Agreement shall be deemed to qualify (A) any other section of Article III of the Merger Agreement specifically referenced or cross-referenced and (B) other sections of Article III of the Merger Agreement to the extent it is reasonably apparent on its face (notwithstanding the absence of a specific cross-reference) from a reading of the disclosure that such disclosure applies to such other sections or (ii) as disclosed in any Company SEC Reports (as defined, for purposes of this clause (j), in the Merger Agreement as in effect on the Original Signing Date) publicly filed by the Target since December 31, 2018 and prior to the Original Signing Date (other than (x) any information that is contained solely in the “Risk Factors” section of such Company SEC Reports and</w:t>
      </w:r>
    </w:p>
    <w:p>
      <w:pPr>
        <w:spacing w:after="0" w:line="3" w:lineRule="exact"/>
        <w:rPr>
          <w:rFonts w:ascii="Arial" w:cs="Arial" w:eastAsia="Arial" w:hAnsi="Arial"/>
          <w:sz w:val="16"/>
          <w:szCs w:val="16"/>
          <w:color w:val="auto"/>
        </w:rPr>
      </w:pPr>
    </w:p>
    <w:p>
      <w:pPr>
        <w:ind w:left="440" w:right="120" w:hanging="4"/>
        <w:spacing w:after="0" w:line="277" w:lineRule="auto"/>
        <w:tabs>
          <w:tab w:leader="none" w:pos="69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forward-looking statements, or other statements that are similarly predictive or forward-looking in nature, in each case, contained in such Company SEC Reports), there has not been any effect, change, event, circumstance, condition, occurrence or development that has or would reasonably be likely to have, either individually or in the aggregate, a Company Material Adverse Effect on the Target.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Banks to issue, amend, increase, renew or extend (but not reduce or shorten) any Letter of Credit (other than any amendment solely to reduce the amount of an outstanding Letter of Credit or to shorten the expiration date of such Letter of Credit), is subject to the satisfaction of the following conditions:</w:t>
      </w:r>
    </w:p>
    <w:p>
      <w:pPr>
        <w:spacing w:after="0" w:line="79" w:lineRule="exact"/>
        <w:rPr>
          <w:sz w:val="20"/>
          <w:szCs w:val="20"/>
          <w:color w:val="auto"/>
        </w:rPr>
      </w:pPr>
    </w:p>
    <w:p>
      <w:pPr>
        <w:ind w:left="440" w:right="100" w:firstLine="419"/>
        <w:spacing w:after="0" w:line="311" w:lineRule="auto"/>
        <w:tabs>
          <w:tab w:leader="none" w:pos="110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 set forth in this Agreement (other than, at any time following the Effective Date, the representations and warranties contained in Section 3.04(b) and Section 3.06) shall be true and correct in all material respects (except that any representation and warranty that is qualified by materiality or Material Adverse Effect shall be true and correct in all respects) on and as of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5" w:name="page86"/>
    <w:bookmarkEnd w:id="85"/>
    <w:p>
      <w:pPr>
        <w:ind w:left="44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such Borrowing or the date of such issuance, amendment, increase, renewal or extension of such Letter of Credit, as applicable, except, in each case, to the extent such representation and warranty specifically refer to an earlier date, in which case it shall be true and correct in all material respects (except that any representation and warranty that is qualified by materiality or Material Adverse Effect shall be true and correct in all respects) as of such earlier date.</w:t>
      </w:r>
    </w:p>
    <w:p>
      <w:pPr>
        <w:spacing w:after="0" w:line="79" w:lineRule="exact"/>
        <w:rPr>
          <w:sz w:val="20"/>
          <w:szCs w:val="20"/>
          <w:color w:val="auto"/>
        </w:rPr>
      </w:pPr>
    </w:p>
    <w:p>
      <w:pPr>
        <w:ind w:left="440" w:right="320" w:firstLine="419"/>
        <w:spacing w:after="0" w:line="277" w:lineRule="auto"/>
        <w:tabs>
          <w:tab w:leader="none" w:pos="11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such issuance, amendment, increase, renewal or extension of such Letter of Credit, as applicable, no Default or Event of Default shall have occurred and be continuing.</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Administrative Agent shall have received a duly completed Borrowing Request.</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Each Borrowing and each issuance, amendment, increase, renewal or extension (but not reduction or shortening) of a Letter of Credit shall be deemed to constitute a representation and warranty by the Borrower on the date thereof as to the matters specified in paragraphs (a) and (b) of this Section.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or terminated (in each case without any pending draw), or otherwise become subject to cash collateralization or other arrangements reasonably satisfactory to the Administrative Agent, and all LC Disbursements shall have been reimbursed, the Borrower covenants and agrees with the Lenders that: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and each Lender:</w:t>
      </w:r>
    </w:p>
    <w:p>
      <w:pPr>
        <w:spacing w:after="0" w:line="129" w:lineRule="exact"/>
        <w:rPr>
          <w:sz w:val="20"/>
          <w:szCs w:val="20"/>
          <w:color w:val="auto"/>
        </w:rPr>
      </w:pPr>
    </w:p>
    <w:p>
      <w:pPr>
        <w:ind w:left="440" w:right="160" w:firstLine="419"/>
        <w:spacing w:after="0" w:line="271" w:lineRule="auto"/>
        <w:tabs>
          <w:tab w:leader="none" w:pos="1108" w:val="left"/>
        </w:tabs>
        <w:numPr>
          <w:ilvl w:val="0"/>
          <w:numId w:val="87"/>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and without any qualification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86" w:name="page87"/>
    <w:bookmarkEnd w:id="86"/>
    <w:p>
      <w:pPr>
        <w:ind w:left="440" w:right="20" w:firstLine="419"/>
        <w:spacing w:after="0" w:line="271" w:lineRule="auto"/>
        <w:tabs>
          <w:tab w:leader="none" w:pos="1118" w:val="left"/>
        </w:tabs>
        <w:numPr>
          <w:ilvl w:val="1"/>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forty-five (45) days after the end of each of the first three fiscal quarters of each fiscal year of the Borrower (or, if earlier, by the date that the Quarterly Report on Form 10-Q of the Borrower for such fiscal quarter would be required to be filed under the rules and regulations of the SEC, giving effect to any automatic extension available thereunder for the filing of such form),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70" w:lineRule="exact"/>
        <w:rPr>
          <w:rFonts w:ascii="Arial" w:cs="Arial" w:eastAsia="Arial" w:hAnsi="Arial"/>
          <w:sz w:val="17"/>
          <w:szCs w:val="17"/>
          <w:color w:val="auto"/>
        </w:rPr>
      </w:pPr>
    </w:p>
    <w:p>
      <w:pPr>
        <w:ind w:left="440" w:right="120" w:firstLine="419"/>
        <w:spacing w:after="0" w:line="287" w:lineRule="auto"/>
        <w:tabs>
          <w:tab w:leader="none" w:pos="1108" w:val="left"/>
        </w:tabs>
        <w:numPr>
          <w:ilvl w:val="1"/>
          <w:numId w:val="88"/>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or (b) above, a Compliance Certificate of a Financial Officer of the Borrower (i) certifying as to whether a Default has occurred and, if a Default has occurred, specifying the details thereof and any action taken or proposed to be taken with respect thereto, (ii) setting forth reasonably detailed calculations demonstrating compliance with Section 6.05 and</w:t>
      </w:r>
    </w:p>
    <w:p>
      <w:pPr>
        <w:spacing w:after="0" w:line="2" w:lineRule="exact"/>
        <w:rPr>
          <w:rFonts w:ascii="Arial" w:cs="Arial" w:eastAsia="Arial" w:hAnsi="Arial"/>
          <w:sz w:val="16"/>
          <w:szCs w:val="16"/>
          <w:color w:val="auto"/>
        </w:rPr>
      </w:pPr>
    </w:p>
    <w:p>
      <w:pPr>
        <w:ind w:left="440" w:right="260" w:hanging="4"/>
        <w:spacing w:after="0" w:line="260" w:lineRule="auto"/>
        <w:tabs>
          <w:tab w:leader="none" w:pos="7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setting forth reasonably detailed calculations demonstrating the Leverage Ratio for the period of four (4) consecutive fiscal quarters ending with the end of the applicable fiscal quarter or fiscal year for which such financial statements are be delivered;</w:t>
      </w:r>
    </w:p>
    <w:p>
      <w:pPr>
        <w:spacing w:after="0" w:line="77" w:lineRule="exact"/>
        <w:rPr>
          <w:rFonts w:ascii="Arial" w:cs="Arial" w:eastAsia="Arial" w:hAnsi="Arial"/>
          <w:sz w:val="18"/>
          <w:szCs w:val="18"/>
          <w:color w:val="auto"/>
        </w:rPr>
      </w:pPr>
    </w:p>
    <w:p>
      <w:pPr>
        <w:ind w:left="440" w:right="20" w:firstLine="419"/>
        <w:spacing w:after="0" w:line="286" w:lineRule="auto"/>
        <w:tabs>
          <w:tab w:leader="none" w:pos="1118" w:val="left"/>
        </w:tabs>
        <w:numPr>
          <w:ilvl w:val="1"/>
          <w:numId w:val="89"/>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periodic and other reports and proxy statements filed by the Borrower or any Subsidiary with the SEC, or any Governmental Authority succeeding to any or all of the functions of said Commission (excluding any filing filed confidentially with the SEC or any analogous Governmental Authority in any relevant jurisdiction); and</w:t>
      </w:r>
    </w:p>
    <w:p>
      <w:pPr>
        <w:spacing w:after="0" w:line="57" w:lineRule="exact"/>
        <w:rPr>
          <w:rFonts w:ascii="Arial" w:cs="Arial" w:eastAsia="Arial" w:hAnsi="Arial"/>
          <w:sz w:val="17"/>
          <w:szCs w:val="17"/>
          <w:color w:val="auto"/>
        </w:rPr>
      </w:pPr>
    </w:p>
    <w:p>
      <w:pPr>
        <w:ind w:left="440" w:right="140" w:firstLine="419"/>
        <w:spacing w:after="0" w:line="271" w:lineRule="auto"/>
        <w:tabs>
          <w:tab w:leader="none" w:pos="1108" w:val="left"/>
        </w:tabs>
        <w:numPr>
          <w:ilvl w:val="1"/>
          <w:numId w:val="89"/>
        </w:numPr>
        <w:rPr>
          <w:rFonts w:ascii="Arial" w:cs="Arial" w:eastAsia="Arial" w:hAnsi="Arial"/>
          <w:sz w:val="17"/>
          <w:szCs w:val="17"/>
          <w:color w:val="auto"/>
        </w:rPr>
      </w:pPr>
      <w:r>
        <w:rPr>
          <w:rFonts w:ascii="Arial" w:cs="Arial" w:eastAsia="Arial" w:hAnsi="Arial"/>
          <w:sz w:val="17"/>
          <w:szCs w:val="17"/>
          <w:color w:val="auto"/>
        </w:rPr>
        <w:t>promptly following any request therefor, (i) such other information regarding the operations, business affairs and financial condition of the Borrower or any Subsidiary as the Administrative Agent or any Lender may reasonably request acting in good faith (other than any such information that (X) constitutes non-financial trade secrets or non-financial proprietary information, (Y) in respect of which disclosure to the Administrative Agent or any Lender (or their respective representatives or contractors) is prohibited by any laws, rules, regulations or orders or any Governmental Authority or any agreement binding on the Borrower or its Subsidiaries or (Z) that is subject to attorney-client or similar privilege or constitutes attorney work product)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70"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 xml:space="preserve">Documents required to be delivered pursuant to clauses (a), (b) and (d) of this Section 5.01 may be delivered electronically and if so delivered, shall be deemed to have been delivered on the date on which such documents are filed for public availability on the SEC’s Electronic Data Gathering and Retrieval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upon request, provide to the Administrative Agent by electronic mail electronic versions (i.e., soft copies, or links to access such documents) of such documents.</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to the Administrative Agent and each Lender prompt written notice of the following:</w:t>
      </w:r>
    </w:p>
    <w:p>
      <w:pPr>
        <w:spacing w:after="0" w:line="170" w:lineRule="exact"/>
        <w:rPr>
          <w:sz w:val="20"/>
          <w:szCs w:val="20"/>
          <w:color w:val="auto"/>
        </w:rPr>
      </w:pPr>
    </w:p>
    <w:p>
      <w:pPr>
        <w:ind w:left="1240" w:hanging="253"/>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right="600" w:firstLine="987"/>
        <w:spacing w:after="0" w:line="277" w:lineRule="auto"/>
        <w:tabs>
          <w:tab w:leader="none" w:pos="12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the Borrower or any Subsidiary thereof that could reasonably be expected to result in a Material Adverse Effect;</w:t>
      </w:r>
    </w:p>
    <w:p>
      <w:pPr>
        <w:spacing w:after="0" w:line="170" w:lineRule="exact"/>
        <w:rPr>
          <w:rFonts w:ascii="Arial" w:cs="Arial" w:eastAsia="Arial" w:hAnsi="Arial"/>
          <w:sz w:val="18"/>
          <w:szCs w:val="18"/>
          <w:color w:val="auto"/>
        </w:rPr>
      </w:pPr>
    </w:p>
    <w:p>
      <w:pPr>
        <w:ind w:right="500" w:firstLine="987"/>
        <w:spacing w:after="0" w:line="277"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87" w:name="page88"/>
    <w:bookmarkEnd w:id="8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any other development that results in, or could reasonably be expected to result in, a Material Adverse Effect.</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Borrower will, and will cause each of its Subsidiaries to, do or cause to be done all things necessary to (i) preserve, renew and keep in full force and effect its legal existence and the rights, qualifications, licenses, permits, privileges, franchises, governmental authorizations and intellectual property rights material to the conduct of its business and (ii) maintain all requisite authority to conduct its business in each jurisdiction in which its business is conducted, except (other than in the case of legal existence with respect to the Borrower), in the case of each of clauses (i) and (ii), where the failure to do so could not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6.04.</w:t>
      </w:r>
    </w:p>
    <w:p>
      <w:pPr>
        <w:spacing w:after="0" w:line="164"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Borrower will, and will cause each of its Subsidiaries to, pay its obligations, including Tax liabilities,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individually or in the aggregate, could not reasonably be expected to result in a Material Adverse Effect.</w:t>
      </w:r>
    </w:p>
    <w:p>
      <w:pPr>
        <w:spacing w:after="0" w:line="176" w:lineRule="exact"/>
        <w:rPr>
          <w:sz w:val="20"/>
          <w:szCs w:val="20"/>
          <w:color w:val="auto"/>
        </w:rPr>
      </w:pPr>
    </w:p>
    <w:p>
      <w:pPr>
        <w:jc w:val="both"/>
        <w:ind w:right="40" w:firstLine="991"/>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The Borrower will, and will cause each of its Subsidiaries to, (a) keep and maintain all property material to the conduct of its business in good working order and condition, ordinary wear and tear excepted, except where the failure to do so could not reasonably be expected to result in a Material Adverse Effect,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8"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The Borrower will, and will cause each of its Subsidiaries to, keep proper books of record and account in which full, true and correct entries are made in all material respects and sufficient to prepare financial statements in accordance with GAAP. The Borrower will, and will cause each of its Subsidiaries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(but not more than once per calendar year unless an Event of Default exists). The Borrower acknowledges that the Administrative Agent, after exercising its rights of inspection, may prepare and distribute to the Lenders certain reports pertaining to the Borrower and its Subsidiaries’ assets for internal use by the Administrative Agent and the Lenders. Notwithstanding the foregoing, neither the Borrower nor its Subsidiaries shall be required to disclose or discuss, or permit the inspection, examination or making of extracts of any document, book, record or other matter that (i) constitutes non-financial trade secrets or non-financial proprietary information (which, for the avoidance of doubt, shall include all development studios of the Borrower and its Subsidiaries), (ii) in respect of which disclosure to the Administrative Agent, such Lender or their representatives is then prohibited by applicable law or any agreement binding on Borrower or its Subsidiaries or (iii) is protected from disclosure by the attorney-client privilege or the attorney work product privilege.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88" w:name="page89"/>
    <w:bookmarkEnd w:id="88"/>
    <w:p>
      <w:pPr>
        <w:ind w:left="4"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of its Subsidiaries to, comply with all laws, rules, regulations and orders of any Governmental Authority applicable to it or its property (including without limitation Environmental Laws), except where the failure to do so, individually or in the aggregate, could not reasonably be expected to result in a Material Adverse Effect. The Borrower will maintain in effect and implement policies and procedures for compliance by the Borrower, its Subsidiaries and their respective directors, officers, employees and agents with Anti-Corruption Laws and applicable Sanctions.</w:t>
      </w:r>
    </w:p>
    <w:p>
      <w:pPr>
        <w:spacing w:after="0" w:line="188"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will be used for general corporate purposes of the Borrower and its Subsidiaries, including, without limitation, working capital, acquisitions, capital expenditures, any dividend or other distribution, repurchases of stock and repayments of Indebtedness, in each case to the extent permitted or not prohibited under this Agreement. No part of the proceeds of any Loan will be used, whether directly or indirectly by the Borrower and its Subsidiaries, for any purpose that entails a violation of any of the Regulations of the Federal Reserve Board, including Regulations T, U and X. The Borrower will not request any Borrowing or Letter of Credit, and the Borrower shall not use, and shall procure that its Subsidiaries and, to the knowledge of the Borrower or any Subsidiary, their respective directors, officers and employees, shall not use directly or, to the knowledge of the Borrower or any Subsidiary, indirectly the proceeds of any Borrowing or Letter of Credit (i) in furtherance of an offer, payment, promise to pay, or authorization of the payment or giving of money, or anything else of value, to any Person in material violation of any Anti-Corruption Laws, (ii)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or (iii) in any other manner that would result in the violation of any Sanctions by any Person (including any Person participating in the Loans, whether as Administrative Agent, Lender, Issuing Bank, Arranger, Syndication Agent, underwriter, advisor, investor or otherwise).</w:t>
      </w:r>
    </w:p>
    <w:p>
      <w:pPr>
        <w:spacing w:after="0" w:line="186"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Post-Closing Obligations</w:t>
      </w:r>
      <w:r>
        <w:rPr>
          <w:rFonts w:ascii="Arial" w:cs="Arial" w:eastAsia="Arial" w:hAnsi="Arial"/>
          <w:sz w:val="16"/>
          <w:szCs w:val="16"/>
          <w:color w:val="auto"/>
        </w:rPr>
        <w:t>. In the event that, on the date that is 90 days following the Effective Date, an aggregate principal amount of Existing Zynga Notes greater than or equal to $250,000,000 remain outstanding, then on or prior to such 90th day, Zynga shall (a) duly execute and deliver to the Administrative Agent a guaranty, in form and substance reasonably satisfactory to the Administrative Agent, guaranteeing the Borrower’s obligations under the Loan Documents, together with such documents and certificates relating to the organization, existence and good standing of Zynga, the authorization of entering into such guaranty and other legal matters relating thereto, in form and substance reasonably satisfactory to the Administrative Agent and (b) upon the request of the Administrative Agent in its sole discretion, a signed copy of a favorable opinion, addressed to the Administrative Agent, of counsel for the Loan Parties acceptable to the Administrative Agent, as to the matters contained in clause</w:t>
      </w:r>
    </w:p>
    <w:p>
      <w:pPr>
        <w:spacing w:after="0" w:line="2" w:lineRule="exact"/>
        <w:rPr>
          <w:sz w:val="20"/>
          <w:szCs w:val="20"/>
          <w:color w:val="auto"/>
        </w:rPr>
      </w:pPr>
    </w:p>
    <w:p>
      <w:pPr>
        <w:ind w:left="244" w:hanging="244"/>
        <w:spacing w:after="0"/>
        <w:tabs>
          <w:tab w:leader="none" w:pos="2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above, and as to such other matters as the Administrative Agent may reasonably request.</w:t>
      </w:r>
    </w:p>
    <w:p>
      <w:pPr>
        <w:spacing w:after="0" w:line="208" w:lineRule="exact"/>
        <w:rPr>
          <w:rFonts w:ascii="Arial" w:cs="Arial" w:eastAsia="Arial" w:hAnsi="Arial"/>
          <w:sz w:val="18"/>
          <w:szCs w:val="18"/>
          <w:color w:val="auto"/>
        </w:rPr>
      </w:pPr>
    </w:p>
    <w:p>
      <w:pPr>
        <w:ind w:left="4964"/>
        <w:spacing w:after="0"/>
        <w:rPr>
          <w:rFonts w:ascii="Arial" w:cs="Arial" w:eastAsia="Arial" w:hAnsi="Arial"/>
          <w:sz w:val="18"/>
          <w:szCs w:val="18"/>
          <w:color w:val="auto"/>
        </w:rPr>
      </w:pPr>
      <w:r>
        <w:rPr>
          <w:rFonts w:ascii="Arial" w:cs="Arial" w:eastAsia="Arial" w:hAnsi="Arial"/>
          <w:sz w:val="20"/>
          <w:szCs w:val="20"/>
          <w:color w:val="auto"/>
        </w:rPr>
        <w:t>ARTICLE VI</w:t>
      </w: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or terminated (in each case without any pending draw), or otherwise become subject to cash collateralization or other arrangements reasonably satisfactory to the Administrative Agent, and all LC Disbursements shall have been reimbursed, the Borrower covenants and agrees with the Lenders that: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9" w:name="page90"/>
    <w:bookmarkEnd w:id="8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6.01. </w:t>
      </w:r>
      <w:r>
        <w:rPr>
          <w:rFonts w:ascii="Arial" w:cs="Arial" w:eastAsia="Arial" w:hAnsi="Arial"/>
          <w:sz w:val="17"/>
          <w:szCs w:val="17"/>
          <w:u w:val="single" w:color="auto"/>
          <w:color w:val="auto"/>
        </w:rPr>
        <w:t>Subsidiary Indebtedness</w:t>
      </w:r>
      <w:r>
        <w:rPr>
          <w:rFonts w:ascii="Arial" w:cs="Arial" w:eastAsia="Arial" w:hAnsi="Arial"/>
          <w:sz w:val="17"/>
          <w:szCs w:val="17"/>
          <w:color w:val="auto"/>
        </w:rPr>
        <w:t>. The Borrower will not permit any Subsidiary to create, incur, assume or permit to exist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103" w:lineRule="exact"/>
        <w:rPr>
          <w:sz w:val="20"/>
          <w:szCs w:val="20"/>
          <w:color w:val="auto"/>
        </w:rPr>
      </w:pPr>
    </w:p>
    <w:p>
      <w:pPr>
        <w:ind w:left="1100" w:hanging="241"/>
        <w:spacing w:after="0"/>
        <w:tabs>
          <w:tab w:leader="none" w:pos="11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ind w:left="440" w:right="240" w:firstLine="419"/>
        <w:spacing w:after="0" w:line="259" w:lineRule="auto"/>
        <w:tabs>
          <w:tab w:leader="none" w:pos="1118"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to the Disclosure Letter and extensions, renewals, refinancings and replacements of any such Indebtedness with Indebtedness of a similar type that does not increase the outstanding principal amount thereof except by an amount equal to a reasonable premium or other reasonable amount paid, and fees and expenses reasonably incurred, in connection with such extensions, renewals, refinancings or replacements;</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Indebtedness of any Subsidiary to the Borrower or any other Subsidiary;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Guarantees by any Subsidiary of Indebtedness of the Borrower or any other Subsidiary;</w:t>
      </w:r>
    </w:p>
    <w:p>
      <w:pPr>
        <w:spacing w:after="0" w:line="117" w:lineRule="exact"/>
        <w:rPr>
          <w:rFonts w:ascii="Arial" w:cs="Arial" w:eastAsia="Arial" w:hAnsi="Arial"/>
          <w:sz w:val="18"/>
          <w:szCs w:val="18"/>
          <w:color w:val="auto"/>
        </w:rPr>
      </w:pPr>
    </w:p>
    <w:p>
      <w:pPr>
        <w:ind w:left="440" w:firstLine="419"/>
        <w:spacing w:after="0" w:line="286" w:lineRule="auto"/>
        <w:tabs>
          <w:tab w:leader="none" w:pos="1108"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Indebtedness of any Subsidiary incurred to finance the acquisition, construction or improvement of any fixed or capital assets, including Financing Lease Obligations and any Indebtedness assumed in connection with the acquisition of any such assets or secured by a Lien on any such assets (and any additions, accessions, parts, improvements and attachments thereto and the proceeds thereof) prior to the acquisition thereof, and extensions, renewals and replacements of any such Indebtedness that do not increase the outstanding principal amount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440" w:hanging="4"/>
        <w:spacing w:after="0" w:line="255"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Indebtedness is incurred prior to or within two hundred seventy (270) days after such acquisition or the completion of such construction or improvement and (ii) the aggregate principal amount of Indebtedness permitted by this clause (e) at any time outstanding shall not exceed the greater of (x) $125,000,000 and (y) 1.25% of Consolidated Total Assets at the time incurred;</w:t>
      </w:r>
    </w:p>
    <w:p>
      <w:pPr>
        <w:spacing w:after="0" w:line="81" w:lineRule="exact"/>
        <w:rPr>
          <w:rFonts w:ascii="Arial" w:cs="Arial" w:eastAsia="Arial" w:hAnsi="Arial"/>
          <w:sz w:val="18"/>
          <w:szCs w:val="18"/>
          <w:color w:val="auto"/>
        </w:rPr>
      </w:pPr>
    </w:p>
    <w:p>
      <w:pPr>
        <w:ind w:left="440" w:right="740" w:firstLine="419"/>
        <w:spacing w:after="0" w:line="277" w:lineRule="auto"/>
        <w:tabs>
          <w:tab w:leader="none" w:pos="10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Indebtedness of any Subsidiary as an account party in respect of trade or standby letters of credit, bank guarantees and bankers’ acceptances and any guarantees of such Indebtedness of another Subsidiary;</w:t>
      </w:r>
    </w:p>
    <w:p>
      <w:pPr>
        <w:spacing w:after="0" w:line="62" w:lineRule="exact"/>
        <w:rPr>
          <w:rFonts w:ascii="Arial" w:cs="Arial" w:eastAsia="Arial" w:hAnsi="Arial"/>
          <w:sz w:val="18"/>
          <w:szCs w:val="18"/>
          <w:color w:val="auto"/>
        </w:rPr>
      </w:pPr>
    </w:p>
    <w:p>
      <w:pPr>
        <w:jc w:val="both"/>
        <w:ind w:left="440" w:right="340" w:firstLine="419"/>
        <w:spacing w:after="0" w:line="259" w:lineRule="auto"/>
        <w:tabs>
          <w:tab w:leader="none" w:pos="1118"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Indebtedness with respect to surety, appeal, indemnity, performance or other similar bonds in the ordinary course of business or with respect to agreements providing for indemnification, adjustment of purchase price, earn-out payments, earnest money or similar obligations in connection with any acquisitions, dispositions permitted by Section 6.04 or other uses provided for in clause (d) of the definition of Permitted Encumbrances;</w:t>
      </w:r>
    </w:p>
    <w:p>
      <w:pPr>
        <w:spacing w:after="0" w:line="78" w:lineRule="exact"/>
        <w:rPr>
          <w:rFonts w:ascii="Arial" w:cs="Arial" w:eastAsia="Arial" w:hAnsi="Arial"/>
          <w:sz w:val="18"/>
          <w:szCs w:val="18"/>
          <w:color w:val="auto"/>
        </w:rPr>
      </w:pPr>
    </w:p>
    <w:p>
      <w:pPr>
        <w:ind w:left="440" w:right="420" w:firstLine="419"/>
        <w:spacing w:after="0" w:line="277" w:lineRule="auto"/>
        <w:tabs>
          <w:tab w:leader="none" w:pos="1118"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Indebtedness arising from the honoring of a check, draft or similar instrument against insufficient funds or from the endorsement of instruments for collection in the ordinary course of business;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078" w:val="left"/>
        </w:tabs>
        <w:numPr>
          <w:ilvl w:val="1"/>
          <w:numId w:val="93"/>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or services purchased in the ordinary course of business;</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078"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Indebtedness consisting of (i) the financing of insurance premiums or (ii) take-or-pay obligations contained in supply agreements, in each case incurred in the ordinary course of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90" w:name="page91"/>
    <w:bookmarkEnd w:id="90"/>
    <w:p>
      <w:pPr>
        <w:ind w:left="440" w:right="40" w:firstLine="419"/>
        <w:spacing w:after="0" w:line="263" w:lineRule="auto"/>
        <w:tabs>
          <w:tab w:leader="none" w:pos="1118"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of any Person that becomes a Subsidiary after the date hereof pursuant to an acquisition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exists at the time such Person becomes a Subsidiary and is not created in contemplation of or in connection with such Person becoming a Subsidiary; and</w:t>
      </w:r>
    </w:p>
    <w:p>
      <w:pPr>
        <w:spacing w:after="0" w:line="75" w:lineRule="exact"/>
        <w:rPr>
          <w:rFonts w:ascii="Arial" w:cs="Arial" w:eastAsia="Arial" w:hAnsi="Arial"/>
          <w:sz w:val="18"/>
          <w:szCs w:val="18"/>
          <w:color w:val="auto"/>
        </w:rPr>
      </w:pPr>
    </w:p>
    <w:p>
      <w:pPr>
        <w:ind w:left="440" w:right="180" w:firstLine="419"/>
        <w:spacing w:after="0" w:line="277" w:lineRule="auto"/>
        <w:tabs>
          <w:tab w:leader="none" w:pos="10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Indebtedness in an aggregate principal amount, when aggregated with the aggregate principal amount of Indebtedness secured by Liens permitted by Section 6.02(n), not exceeding 10% of Consolidated Total Assets at any time outstanding.</w:t>
      </w:r>
    </w:p>
    <w:p>
      <w:pPr>
        <w:spacing w:after="0" w:line="170"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Liens</w:t>
      </w:r>
      <w:r>
        <w:rPr>
          <w:rFonts w:ascii="Arial" w:cs="Arial" w:eastAsia="Arial" w:hAnsi="Arial"/>
          <w:sz w:val="16"/>
          <w:szCs w:val="16"/>
          <w:color w:val="auto"/>
        </w:rPr>
        <w:t>. The Borrower will not, and will not permit any Subsidiary to, create, incur, assume or permit to exist any Lien on any property or asset now owned or hereafter acquired by it, securing Indebtedness described in clause (a) of the definition thereof, except:</w:t>
      </w:r>
    </w:p>
    <w:p>
      <w:pPr>
        <w:spacing w:after="0" w:line="16" w:lineRule="exact"/>
        <w:rPr>
          <w:sz w:val="20"/>
          <w:szCs w:val="20"/>
          <w:color w:val="auto"/>
        </w:rPr>
      </w:pPr>
    </w:p>
    <w:p>
      <w:pPr>
        <w:ind w:left="1100" w:hanging="241"/>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Liens securing Indebtedness of Subsidiaries owing to the Borrower or any of its Subsidiaries;</w:t>
      </w:r>
    </w:p>
    <w:p>
      <w:pPr>
        <w:spacing w:after="0" w:line="117" w:lineRule="exact"/>
        <w:rPr>
          <w:rFonts w:ascii="Arial" w:cs="Arial" w:eastAsia="Arial" w:hAnsi="Arial"/>
          <w:sz w:val="18"/>
          <w:szCs w:val="18"/>
          <w:color w:val="auto"/>
        </w:rPr>
      </w:pPr>
    </w:p>
    <w:p>
      <w:pPr>
        <w:ind w:left="440" w:right="80" w:firstLine="419"/>
        <w:spacing w:after="0" w:line="272" w:lineRule="auto"/>
        <w:tabs>
          <w:tab w:leader="none" w:pos="1108"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any Lien on any property or asset (and any additions, accessions, parts, improvements and attachments thereto and the proceeds thereof) of the Borrower or any Subsidiary existing on the date hereof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to the Disclosure 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or asset (other than any additions, accessions, parts, improvements and attachments thereto and the proceeds thereof) of the Borrower or any Subsidiary and (ii) such Lien shall secure only those obligations which it secures on the date hereof and extensions, renewals and replacements thereof that do not increase the outstanding principal amount thereof (plus any accrued and unpaid interest and premium payable by the terms of such obligations thereon and other reasonable amounts paid, and fees and expenses reasonably incurred, in connection with such extensions, renewals, refinancings or replacements);</w:t>
      </w:r>
    </w:p>
    <w:p>
      <w:pPr>
        <w:spacing w:after="0" w:line="69" w:lineRule="exact"/>
        <w:rPr>
          <w:rFonts w:ascii="Arial" w:cs="Arial" w:eastAsia="Arial" w:hAnsi="Arial"/>
          <w:sz w:val="17"/>
          <w:szCs w:val="17"/>
          <w:color w:val="auto"/>
        </w:rPr>
      </w:pPr>
    </w:p>
    <w:p>
      <w:pPr>
        <w:ind w:left="440" w:right="80" w:firstLine="419"/>
        <w:spacing w:after="0" w:line="287" w:lineRule="auto"/>
        <w:tabs>
          <w:tab w:leader="none" w:pos="111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(and any additions, accessions, parts, improvements and attachments thereto and the proceeds thereof) prior to the acquisition thereof by the Borrower or any Subsidiary or existing on any property or asset (and any additions, accessions, parts, improvements and attachments thereto and the proceeds thereof) of any Person that becomes a Subsidiary after the date hereof prior to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as the case may be, (ii) such Lien shall not apply to any other property or assets (other than any additions, accessions, parts, improvements and attachments thereto and the proceeds and the products thereof and customary security deposits, related contract rights and payment intangibles and other assets related thereto)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 (plus any accrued and unpaid interest and premium payable by the terms of such obligations thereon and other reasonable amounts paid, and fees and expenses reasonably incurred, in connection with such extensions, renewals, refinancings or replacements);</w:t>
      </w:r>
    </w:p>
    <w:p>
      <w:pPr>
        <w:spacing w:after="0" w:line="63" w:lineRule="exact"/>
        <w:rPr>
          <w:rFonts w:ascii="Arial" w:cs="Arial" w:eastAsia="Arial" w:hAnsi="Arial"/>
          <w:sz w:val="16"/>
          <w:szCs w:val="16"/>
          <w:color w:val="auto"/>
        </w:rPr>
      </w:pPr>
    </w:p>
    <w:p>
      <w:pPr>
        <w:ind w:left="440" w:firstLine="419"/>
        <w:spacing w:after="0" w:line="311" w:lineRule="auto"/>
        <w:tabs>
          <w:tab w:leader="none" w:pos="110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Liens on fixed or capital assets (and any additions, accessions, parts, improvements and attachments thereto and the proceeds thereof) acquired, constructed or improved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Subsidiary, such security interests secure Indebtedness permitted by clause (e) of Section 6.01, (ii) such security interests and the Indebtedness secured thereby are incurred prior to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91" w:name="page92"/>
    <w:bookmarkEnd w:id="91"/>
    <w:p>
      <w:pPr>
        <w:ind w:left="44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two hundred seventy (270)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(other than any additions, accessions, parts, improvements and attachments thereto and the proceeds thereof) of the Borrower or any Subsidiary;</w:t>
      </w:r>
    </w:p>
    <w:p>
      <w:pPr>
        <w:spacing w:after="0" w:line="79" w:lineRule="exact"/>
        <w:rPr>
          <w:sz w:val="20"/>
          <w:szCs w:val="20"/>
          <w:color w:val="auto"/>
        </w:rPr>
      </w:pPr>
    </w:p>
    <w:p>
      <w:pPr>
        <w:ind w:left="440" w:right="320" w:firstLine="419"/>
        <w:spacing w:after="0" w:line="257" w:lineRule="auto"/>
        <w:tabs>
          <w:tab w:leader="none" w:pos="10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79" w:lineRule="exact"/>
        <w:rPr>
          <w:rFonts w:ascii="Arial" w:cs="Arial" w:eastAsia="Arial" w:hAnsi="Arial"/>
          <w:sz w:val="18"/>
          <w:szCs w:val="18"/>
          <w:color w:val="auto"/>
        </w:rPr>
      </w:pPr>
    </w:p>
    <w:p>
      <w:pPr>
        <w:ind w:left="440" w:right="220" w:firstLine="419"/>
        <w:spacing w:after="0" w:line="263"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arising as a matter of law or created in the ordinary course of business in the nature of (i) normal and customary rights of setoff and banker’s liens upon deposits of cash in favor of banks or other depository institutions and (ii) Liens securing reasonable and customary fees for services in favor of banks, securities intermediaries or other depository institutions;</w:t>
      </w:r>
    </w:p>
    <w:p>
      <w:pPr>
        <w:spacing w:after="0" w:line="75"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on any cash earnest money deposit made by the Borrower or any Subsidiary in connection with any letter of intent or acquisition agreement that is not prohibited by this Agreement;</w:t>
      </w:r>
    </w:p>
    <w:p>
      <w:pPr>
        <w:spacing w:after="0" w:line="62" w:lineRule="exact"/>
        <w:rPr>
          <w:rFonts w:ascii="Arial" w:cs="Arial" w:eastAsia="Arial" w:hAnsi="Arial"/>
          <w:sz w:val="18"/>
          <w:szCs w:val="18"/>
          <w:color w:val="auto"/>
        </w:rPr>
      </w:pPr>
    </w:p>
    <w:p>
      <w:pPr>
        <w:ind w:left="440" w:right="720" w:firstLine="419"/>
        <w:spacing w:after="0" w:line="277" w:lineRule="auto"/>
        <w:tabs>
          <w:tab w:leader="none" w:pos="1078" w:val="left"/>
        </w:tabs>
        <w:numPr>
          <w:ilvl w:val="0"/>
          <w:numId w:val="96"/>
        </w:numPr>
        <w:rPr>
          <w:rFonts w:ascii="Arial" w:cs="Arial" w:eastAsia="Arial" w:hAnsi="Arial"/>
          <w:sz w:val="18"/>
          <w:szCs w:val="18"/>
          <w:color w:val="auto"/>
        </w:rPr>
      </w:pPr>
      <w:r>
        <w:rPr>
          <w:rFonts w:ascii="Arial" w:cs="Arial" w:eastAsia="Arial" w:hAnsi="Arial"/>
          <w:sz w:val="18"/>
          <w:szCs w:val="18"/>
          <w:color w:val="auto"/>
        </w:rPr>
        <w:t>customary Liens granted in favor of a trustee to secure fees and other amounts owing to such trustee under an indenture or other agreement pursuant to Indebtedness not otherwise prohibited under this Agreement;</w:t>
      </w:r>
    </w:p>
    <w:p>
      <w:pPr>
        <w:spacing w:after="0" w:line="62" w:lineRule="exact"/>
        <w:rPr>
          <w:rFonts w:ascii="Arial" w:cs="Arial" w:eastAsia="Arial" w:hAnsi="Arial"/>
          <w:sz w:val="18"/>
          <w:szCs w:val="18"/>
          <w:color w:val="auto"/>
        </w:rPr>
      </w:pPr>
    </w:p>
    <w:p>
      <w:pPr>
        <w:ind w:left="440" w:right="100" w:firstLine="419"/>
        <w:spacing w:after="0" w:line="342" w:lineRule="auto"/>
        <w:tabs>
          <w:tab w:leader="none" w:pos="1078"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assignments of the right to receive income effected as part of the sale of a Subsidiary or a business unit that is engaged in business of the type conducted by the Borrower and its Subsidiaries on the date of execution of this Agreement and businesses reasonably related thereto;</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on insurance proceeds securing the premium of financed insurance proceeds;</w:t>
      </w:r>
    </w:p>
    <w:p>
      <w:pPr>
        <w:spacing w:after="0" w:line="117" w:lineRule="exact"/>
        <w:rPr>
          <w:rFonts w:ascii="Arial" w:cs="Arial" w:eastAsia="Arial" w:hAnsi="Arial"/>
          <w:sz w:val="18"/>
          <w:szCs w:val="18"/>
          <w:color w:val="auto"/>
        </w:rPr>
      </w:pPr>
    </w:p>
    <w:p>
      <w:pPr>
        <w:ind w:left="440" w:firstLine="419"/>
        <w:spacing w:after="0" w:line="263" w:lineRule="auto"/>
        <w:tabs>
          <w:tab w:leader="none" w:pos="1078"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on cash collateral securing reimbursement obligations with respect to letters of credit, bank guarantees and bankers’ acceptances, and Liens on cash collateral or margin posted for obligations arising under Swap Agreements, in each case, that are not otherwise prohibited under this Agreement and are in respect of transactions entered into in the ordinary course of business;</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incurred to secure cash or investment management or custodial services in the ordinary course of business; and</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on assets of the Borrower and its Subsidiaries not otherwise permitted above; provided that the aggregate principal amount of the Indebtedness and other obligations subject to such Liens, when aggregated with the aggregate principal amount of Indebtedness permitted by Section 6.01(l), does not at any time exceed 10% of Consolidated Total Assets.</w:t>
      </w:r>
    </w:p>
    <w:p>
      <w:pPr>
        <w:spacing w:after="0" w:line="184" w:lineRule="exact"/>
        <w:rPr>
          <w:sz w:val="20"/>
          <w:szCs w:val="20"/>
          <w:color w:val="auto"/>
        </w:rPr>
      </w:pPr>
    </w:p>
    <w:p>
      <w:pPr>
        <w:jc w:val="both"/>
        <w:ind w:right="160" w:firstLine="991"/>
        <w:spacing w:after="0" w:line="31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Sale and Leaseback Transactions</w:t>
      </w:r>
      <w:r>
        <w:rPr>
          <w:rFonts w:ascii="Arial" w:cs="Arial" w:eastAsia="Arial" w:hAnsi="Arial"/>
          <w:sz w:val="16"/>
          <w:szCs w:val="16"/>
          <w:color w:val="auto"/>
        </w:rPr>
        <w:t>. The Borrower shall not, nor shall it permit any Subsidiary to, enter into any Sale and Leaseback Transaction with respect to a Principal Property, other than (i) transactions permitted by Sections 6.01(e) and 6.02(e) and (ii) other Sale and Leaseback Transactions in respect of which the aggregate Attributable Debt permitted by this Section 6.03 does not at any time exceed $100,000,000.</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92" w:name="page93"/>
    <w:bookmarkEnd w:id="92"/>
    <w:p>
      <w:pPr>
        <w:jc w:val="both"/>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Arial" w:cs="Arial" w:eastAsia="Arial" w:hAnsi="Arial"/>
          <w:sz w:val="18"/>
          <w:szCs w:val="18"/>
          <w:u w:val="single" w:color="auto"/>
          <w:color w:val="auto"/>
        </w:rPr>
        <w:t>Fundamental Changes and Asset Sales</w:t>
      </w:r>
      <w:r>
        <w:rPr>
          <w:rFonts w:ascii="Arial" w:cs="Arial" w:eastAsia="Arial" w:hAnsi="Arial"/>
          <w:sz w:val="18"/>
          <w:szCs w:val="18"/>
          <w:color w:val="auto"/>
        </w:rPr>
        <w:t>. The Borrower will not merge into or consolidate with any other Person, or permit any other Person to merge into or consolidate with it, or sell, transfer, lease or otherwise dispose of (in one transaction or in a series of transactions) all or substantially all of the assets of the Borrower and its Subsidiaries taken as a whole (including pursuant to a Sale and Leaseback Transaction) (in each case, whether now owned or hereafter acquired), or liquidate or dissolve, except that, if at the time thereof and immediately after giving effect thereto no Default shall have occurred and be continuing:</w:t>
      </w:r>
    </w:p>
    <w:p>
      <w:pPr>
        <w:spacing w:after="0" w:line="80" w:lineRule="exact"/>
        <w:rPr>
          <w:sz w:val="20"/>
          <w:szCs w:val="20"/>
          <w:color w:val="auto"/>
        </w:rPr>
      </w:pPr>
    </w:p>
    <w:p>
      <w:pPr>
        <w:ind w:left="440" w:right="120" w:firstLine="419"/>
        <w:spacing w:after="0" w:line="286" w:lineRule="auto"/>
        <w:tabs>
          <w:tab w:leader="none" w:pos="10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any Person (including a Subsidiary) may merge into or consolidate with the Borrower in a transaction in which the Borrower is the surviving corporation (including a merger the purpose of which is to reorganize the Borrower into a new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an entity organized or existing under the laws of the United States, any state thereof or the District of Columbia); and</w:t>
      </w:r>
    </w:p>
    <w:p>
      <w:pPr>
        <w:spacing w:after="0" w:line="57" w:lineRule="exact"/>
        <w:rPr>
          <w:rFonts w:ascii="Arial" w:cs="Arial" w:eastAsia="Arial" w:hAnsi="Arial"/>
          <w:sz w:val="17"/>
          <w:szCs w:val="17"/>
          <w:color w:val="auto"/>
        </w:rPr>
      </w:pPr>
    </w:p>
    <w:p>
      <w:pPr>
        <w:ind w:left="440" w:right="40" w:firstLine="419"/>
        <w:spacing w:after="0" w:line="284" w:lineRule="auto"/>
        <w:tabs>
          <w:tab w:leader="none" w:pos="1128"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Borrower may merge into or consolidate with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be the continuing or surviving corporation or (ii) if the Person formed by or surviving any such merger or consolidation (any such Person, the “</w:t>
      </w:r>
      <w:r>
        <w:rPr>
          <w:rFonts w:ascii="Arial" w:cs="Arial" w:eastAsia="Arial" w:hAnsi="Arial"/>
          <w:sz w:val="16"/>
          <w:szCs w:val="16"/>
          <w:u w:val="single" w:color="auto"/>
          <w:color w:val="auto"/>
        </w:rPr>
        <w:t>Successor Company</w:t>
      </w:r>
      <w:r>
        <w:rPr>
          <w:rFonts w:ascii="Arial" w:cs="Arial" w:eastAsia="Arial" w:hAnsi="Arial"/>
          <w:sz w:val="16"/>
          <w:szCs w:val="16"/>
          <w:color w:val="auto"/>
        </w:rPr>
        <w:t>”) is not the Borrower, (A) the Successor Company shall be an entity organized or existing under the laws of the United States, any state thereof or the District of Columbia, (B) the Successor Company shall expressly assume all the obligations of the Borrower under this Agreement and the other Loan Documents to which the Borrower is a party pursuant to a supplement hereto or thereto in form reasonably satisfactory to the Administrative Agent and (C) the Borrower shall have delivered to the Administrative Agent (i) an officer’s certificate stating that such merger or consolidation and such supplement to this Agreement comply with this Agreement and (ii) information and documentation of the type referred to in</w:t>
      </w:r>
    </w:p>
    <w:p>
      <w:pPr>
        <w:spacing w:after="0" w:line="2" w:lineRule="exact"/>
        <w:rPr>
          <w:rFonts w:ascii="Arial" w:cs="Arial" w:eastAsia="Arial" w:hAnsi="Arial"/>
          <w:sz w:val="16"/>
          <w:szCs w:val="16"/>
          <w:color w:val="auto"/>
        </w:rPr>
      </w:pPr>
    </w:p>
    <w:p>
      <w:pPr>
        <w:ind w:left="440" w:right="58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Section 5.01(e)(ii);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foregoing are satisfied, the Successor Company will succeed to, and be substituted for, the Borrower under this Agreement.</w:t>
      </w:r>
    </w:p>
    <w:p>
      <w:pPr>
        <w:spacing w:after="0" w:line="185" w:lineRule="exact"/>
        <w:rPr>
          <w:sz w:val="20"/>
          <w:szCs w:val="20"/>
          <w:color w:val="auto"/>
        </w:rPr>
      </w:pPr>
    </w:p>
    <w:p>
      <w:pPr>
        <w:ind w:right="280" w:firstLine="991"/>
        <w:spacing w:after="0" w:line="25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The Borrower will not permit the Leverage Ratio, determined as of the end of each of its fiscal quarters ending on and after September 30, 2022, to exceed 3.75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the first four quarter end dates following the consummation of a Qualified Acquisition, such ratio shall increase to 4.25 to 1.00 (an “</w:t>
      </w:r>
      <w:r>
        <w:rPr>
          <w:rFonts w:ascii="Arial" w:cs="Arial" w:eastAsia="Arial" w:hAnsi="Arial"/>
          <w:sz w:val="18"/>
          <w:szCs w:val="18"/>
          <w:u w:val="single" w:color="auto"/>
          <w:color w:val="auto"/>
        </w:rPr>
        <w:t>Adjusted Leverage Ratio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following any Adjusted Leverage Ratio Period, such ratio shall be 3.75 to 1.00 for at least two fiscal quarters before such ratio may be increased as a result of a subsequent Qualified Acquisition.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w:t>
      </w:r>
    </w:p>
    <w:p>
      <w:pPr>
        <w:spacing w:after="0" w:line="218"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225" w:lineRule="exact"/>
        <w:rPr>
          <w:sz w:val="20"/>
          <w:szCs w:val="20"/>
          <w:color w:val="auto"/>
        </w:rPr>
      </w:pPr>
    </w:p>
    <w:p>
      <w:pPr>
        <w:ind w:right="40" w:firstLine="987"/>
        <w:spacing w:after="0" w:line="308" w:lineRule="auto"/>
        <w:tabs>
          <w:tab w:leader="none" w:pos="123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93" w:name="page94"/>
    <w:bookmarkEnd w:id="93"/>
    <w:p>
      <w:pPr>
        <w:jc w:val="both"/>
        <w:ind w:firstLine="987"/>
        <w:spacing w:after="0" w:line="263" w:lineRule="auto"/>
        <w:tabs>
          <w:tab w:leader="none" w:pos="1246"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83" w:lineRule="exact"/>
        <w:rPr>
          <w:rFonts w:ascii="Arial" w:cs="Arial" w:eastAsia="Arial" w:hAnsi="Arial"/>
          <w:sz w:val="18"/>
          <w:szCs w:val="18"/>
          <w:color w:val="auto"/>
        </w:rPr>
      </w:pPr>
    </w:p>
    <w:p>
      <w:pPr>
        <w:ind w:right="180" w:firstLine="987"/>
        <w:spacing w:after="0" w:line="255" w:lineRule="auto"/>
        <w:tabs>
          <w:tab w:leader="none" w:pos="12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 and, such incorrect representation or warranty shall remain incorrect for a period of five (5) Business Days after written notice thereof from the Administrative Agent to the Borrower;</w:t>
      </w:r>
    </w:p>
    <w:p>
      <w:pPr>
        <w:spacing w:after="0" w:line="192"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5.02(a), 5.03 (with respect to the Borrower’s legal existence) or in Article VI;</w:t>
      </w:r>
    </w:p>
    <w:p>
      <w:pPr>
        <w:spacing w:after="0" w:line="170" w:lineRule="exact"/>
        <w:rPr>
          <w:rFonts w:ascii="Arial" w:cs="Arial" w:eastAsia="Arial" w:hAnsi="Arial"/>
          <w:sz w:val="18"/>
          <w:szCs w:val="18"/>
          <w:color w:val="auto"/>
        </w:rPr>
      </w:pPr>
    </w:p>
    <w:p>
      <w:pPr>
        <w:ind w:right="40" w:firstLine="987"/>
        <w:spacing w:after="0" w:line="286" w:lineRule="auto"/>
        <w:tabs>
          <w:tab w:leader="none" w:pos="1236"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Borrower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Borrower (which notice will be given at the request of any Lender);</w:t>
      </w:r>
    </w:p>
    <w:p>
      <w:pPr>
        <w:spacing w:after="0" w:line="165" w:lineRule="exact"/>
        <w:rPr>
          <w:rFonts w:ascii="Arial" w:cs="Arial" w:eastAsia="Arial" w:hAnsi="Arial"/>
          <w:sz w:val="17"/>
          <w:szCs w:val="17"/>
          <w:color w:val="auto"/>
        </w:rPr>
      </w:pPr>
    </w:p>
    <w:p>
      <w:pPr>
        <w:ind w:right="140" w:firstLine="987"/>
        <w:spacing w:after="0" w:line="277" w:lineRule="auto"/>
        <w:tabs>
          <w:tab w:leader="none" w:pos="121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or any Subsidiary shall fail to make any principal or interest payment in respect of any Material Indebtedness, when and as the same shall become due and payable and after giving effect to any applicable grace periods;</w:t>
      </w:r>
    </w:p>
    <w:p>
      <w:pPr>
        <w:spacing w:after="0" w:line="170" w:lineRule="exact"/>
        <w:rPr>
          <w:rFonts w:ascii="Arial" w:cs="Arial" w:eastAsia="Arial" w:hAnsi="Arial"/>
          <w:sz w:val="18"/>
          <w:szCs w:val="18"/>
          <w:color w:val="auto"/>
        </w:rPr>
      </w:pPr>
    </w:p>
    <w:p>
      <w:pPr>
        <w:ind w:right="60" w:firstLine="987"/>
        <w:spacing w:after="0" w:line="254" w:lineRule="auto"/>
        <w:tabs>
          <w:tab w:leader="none" w:pos="12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or that requires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(g) shall not apply to (x) secured Indebtedness that becomes due as a result of the sale or transfer of the property or assets securing such Indebtedness, (y) any redemption, repurchase, conversion or settlement with respect to any Convertible Debt Security pursuant to its terms (including, for the avoidance of doubt, the Existing Zynga Notes Fundamental Change Conversion) unless such redemption, repurchase, conversion or settlement results from a default thereunder or an event of the type that constitutes an Event of Default or (z) any early payment requirement or unwinding or termination with respect to any Permitted Bond Hedge or other Swap Agreement;</w:t>
      </w:r>
    </w:p>
    <w:p>
      <w:pPr>
        <w:spacing w:after="0" w:line="194" w:lineRule="exact"/>
        <w:rPr>
          <w:rFonts w:ascii="Arial" w:cs="Arial" w:eastAsia="Arial" w:hAnsi="Arial"/>
          <w:sz w:val="18"/>
          <w:szCs w:val="18"/>
          <w:color w:val="auto"/>
        </w:rPr>
      </w:pPr>
    </w:p>
    <w:p>
      <w:pPr>
        <w:ind w:firstLine="987"/>
        <w:spacing w:after="0" w:line="273" w:lineRule="auto"/>
        <w:tabs>
          <w:tab w:leader="none" w:pos="1246"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the Borrower, any Material Domestic Subsidiary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any Material Domestic Subsidiary or any Material Foreign Subsidiary or for a substantial part of its assets, and, in any such case, such proceeding or petition shall continue undismissed for sixty (60) days or an order or decree approving or ordering any of the foregoing shall be entered;</w:t>
      </w:r>
    </w:p>
    <w:p>
      <w:pPr>
        <w:spacing w:after="0" w:line="177" w:lineRule="exact"/>
        <w:rPr>
          <w:rFonts w:ascii="Arial" w:cs="Arial" w:eastAsia="Arial" w:hAnsi="Arial"/>
          <w:sz w:val="17"/>
          <w:szCs w:val="17"/>
          <w:color w:val="auto"/>
        </w:rPr>
      </w:pPr>
    </w:p>
    <w:p>
      <w:pPr>
        <w:ind w:right="40" w:firstLine="987"/>
        <w:spacing w:after="0" w:line="311" w:lineRule="auto"/>
        <w:tabs>
          <w:tab w:leader="none" w:pos="120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Borrower, any Material Domestic Subsidiary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4" w:name="page95"/>
    <w:bookmarkEnd w:id="9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clause (h) of this Article, (iii) apply for or consent to the appointment of a receiver, trustee, custodian, sequestrator, conservator or similar official for the Borrower, any Material Domestic Subsidiary or any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(except to the extent that any of the foregoing is undertaken pursuant to an internal reorganization whereby all or substantially all of the assets of any Material Domestic Subsidiary or a Material Foreign Subsidiary are transferred to the Borrower or other Subsidiaries of the Borrower in connection therewith);</w:t>
      </w:r>
    </w:p>
    <w:p>
      <w:pPr>
        <w:spacing w:after="0" w:line="192" w:lineRule="exact"/>
        <w:rPr>
          <w:sz w:val="20"/>
          <w:szCs w:val="20"/>
          <w:color w:val="auto"/>
        </w:rPr>
      </w:pPr>
    </w:p>
    <w:p>
      <w:pPr>
        <w:ind w:firstLine="987"/>
        <w:spacing w:after="0" w:line="277" w:lineRule="auto"/>
        <w:tabs>
          <w:tab w:leader="none" w:pos="120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Borrower or any Material Domestic Subsidiary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ind w:right="40" w:firstLine="987"/>
        <w:spacing w:after="0" w:line="275" w:lineRule="auto"/>
        <w:tabs>
          <w:tab w:leader="none" w:pos="124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one or more judgments for the payment of money in an aggregate amount in excess of $200,000,000 (to the extent not covered by a creditworthy insurer that has not denied coverage) shall be rendered against the Borrower, any Subsidiary or any combination thereof and the same shall not have been vacated, discharged, stayed or bonded pending appeal for a period of sixty (60) consecutive days during which execution shall not be effectively stayed, or any action shall be legally taken by a judgment creditor holding a judgment in excess of $200,000,000 to attach or levy upon any assets of the Borrower or any Subsidiary to enforce any such judgment;</w:t>
      </w:r>
    </w:p>
    <w:p>
      <w:pPr>
        <w:spacing w:after="0" w:line="176" w:lineRule="exact"/>
        <w:rPr>
          <w:rFonts w:ascii="Arial" w:cs="Arial" w:eastAsia="Arial" w:hAnsi="Arial"/>
          <w:sz w:val="17"/>
          <w:szCs w:val="17"/>
          <w:color w:val="auto"/>
        </w:rPr>
      </w:pPr>
    </w:p>
    <w:p>
      <w:pPr>
        <w:ind w:right="280" w:firstLine="987"/>
        <w:spacing w:after="0" w:line="277" w:lineRule="auto"/>
        <w:tabs>
          <w:tab w:leader="none" w:pos="120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1300" w:hanging="313"/>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ind w:right="140" w:firstLine="987"/>
        <w:spacing w:after="0" w:line="259"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material provision of any Loan Document for any reason ceases to be valid, binding and enforceable in accordance with its terms (or the Borrower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then, and in every such event (other than an event with respect to the Borrower described in clause (h) or (i) of this Article), and at any time thereafter during the continuance of such event, the Administrative Agent may with the consent of the Required Lenders, and shall at the request of the Required Lenders,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(iii) demand the deposit of cash collateral pursuant to Section 2.06(j); and in case of any event with respect to the Borrower described in clause (h) or (i) of this Article, (i) the Commitments shall automatically terminate and the principal of the Loans then outstanding, together with accrued interest thereon and all fees and other Obligations accrued hereunder and under the other Loan Documents, shall automatically become due and payable and (ii) the Borrower’s obligation to deposit cash collateral pursuant to Section 2.06(j) shall become effective immediately, and such deposit shall become immediately due and payable, in each case of the foregoing clauses (i) or (ii),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Each of the Lenders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4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ind w:right="20" w:firstLine="991"/>
        <w:spacing w:after="0" w:line="267" w:lineRule="auto"/>
        <w:rPr>
          <w:sz w:val="20"/>
          <w:szCs w:val="20"/>
          <w:color w:val="auto"/>
        </w:rPr>
      </w:pPr>
      <w:r>
        <w:rPr>
          <w:rFonts w:ascii="Arial" w:cs="Arial" w:eastAsia="Arial" w:hAnsi="Arial"/>
          <w:sz w:val="17"/>
          <w:szCs w:val="17"/>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w:t>
      </w:r>
    </w:p>
    <w:p>
      <w:pPr>
        <w:spacing w:after="0" w:line="190" w:lineRule="exact"/>
        <w:rPr>
          <w:sz w:val="20"/>
          <w:szCs w:val="20"/>
          <w:color w:val="auto"/>
        </w:rPr>
      </w:pPr>
    </w:p>
    <w:p>
      <w:pPr>
        <w:ind w:right="160" w:firstLine="991"/>
        <w:spacing w:after="0" w:line="255"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1" w:right="459" w:bottom="1440" w:gutter="0" w:footer="0" w:header="0"/>
        </w:sectPr>
      </w:pPr>
    </w:p>
    <w:bookmarkStart w:id="96" w:name="page97"/>
    <w:bookmarkEnd w:id="96"/>
    <w:p>
      <w:pPr>
        <w:ind w:right="8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6" w:lineRule="exact"/>
        <w:rPr>
          <w:sz w:val="20"/>
          <w:szCs w:val="20"/>
          <w:color w:val="auto"/>
        </w:rPr>
      </w:pPr>
    </w:p>
    <w:p>
      <w:pPr>
        <w:ind w:right="40" w:firstLine="991"/>
        <w:spacing w:after="0" w:line="285" w:lineRule="auto"/>
        <w:rPr>
          <w:sz w:val="20"/>
          <w:szCs w:val="20"/>
          <w:color w:val="auto"/>
        </w:rPr>
      </w:pPr>
      <w:r>
        <w:rPr>
          <w:rFonts w:ascii="Arial" w:cs="Arial" w:eastAsia="Arial" w:hAnsi="Arial"/>
          <w:sz w:val="16"/>
          <w:szCs w:val="16"/>
          <w:color w:val="auto"/>
        </w:rPr>
        <w:t xml:space="preserve">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with the consent of the Borrower (unless an Event of Default under Section 7(a), (b), (h) or (i) has occurred and is continuing),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If the Person serving as Administrative Agent is a Defaulting Lender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definition thereof, the Required Lenders may, to the extent permitted by applicable law, by notice in writing to the Borrower and such Person remove such Person as Administrative Agent and, with the consent of the Borrower (unless an Event of Default under Section 7(a), (b), (h) or (i) has occurred and is continuing), appoint a successor Administrative Agent which shall be a bank with an office in New York, New York, or an Affiliate of any such bank. If no such successor shall have been so appointed by the Required Lenders and shall have accepted such appointment within 30 days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 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or removal hereunder, the provisions of this Article and Section 9.03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7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Each Lender acknowledges and agrees that the extensions of credit made hereunder are commercial loans and letters of credit and not investments in a business enterprise or securities. Each Lender further acknowledges that it is engaged in making, acquiring or holding commercial loans in the ordinary course of its business and has, independently and without reliance upon the Administrative Agent, any Arranger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any Arranger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7" w:name="page98"/>
    <w:bookmarkEnd w:id="97"/>
    <w:p>
      <w:pPr>
        <w:ind w:right="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Lenders, if any, identified in this Agreement as an Arranger or a Syndication Agent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Arranger and/or Syndication Agent, as applicable, as it makes with respect to the Administrative Agent in the preceding paragraph.</w:t>
      </w:r>
    </w:p>
    <w:p>
      <w:pPr>
        <w:spacing w:after="0" w:line="188"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paragraph shall be conclusive, absent manifest error.</w:t>
      </w:r>
    </w:p>
    <w:p>
      <w:pPr>
        <w:spacing w:after="0" w:line="17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5"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(other than any such erroneous Payment that is, and solely with respect to the amount of such erroneous Payment that is, comprised of funds received by the Administrative Agent from the Borrower or any Person acting on behalf of the Borrower for the purpose of making such erroneous Payment) shall not pay, prepay, repay, discharge or otherwise satisfy any Obligations owed by the Borrower.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8" w:name="page99"/>
    <w:bookmarkEnd w:id="98"/>
    <w:p>
      <w:pPr>
        <w:jc w:val="both"/>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party’s obligations under the preceding three paragraphs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To the extent required by any applicable law, the Administrative Agent may withhold from any payment to any Lender an amount equivalent to any applicable withholding Tax. If the IRS or any other Governmental Authority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Loan Parties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without limiting or expanding the obligation of the Loan Parties to do so) from and against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the Administrative Agent under this </w:t>
      </w:r>
      <w:r>
        <w:rPr>
          <w:rFonts w:ascii="Arial" w:cs="Arial" w:eastAsia="Arial" w:hAnsi="Arial"/>
          <w:sz w:val="16"/>
          <w:szCs w:val="16"/>
          <w:u w:val="single" w:color="auto"/>
          <w:color w:val="auto"/>
        </w:rPr>
        <w:t>paragraph</w:t>
      </w:r>
      <w:r>
        <w:rPr>
          <w:rFonts w:ascii="Arial" w:cs="Arial" w:eastAsia="Arial" w:hAnsi="Arial"/>
          <w:sz w:val="16"/>
          <w:szCs w:val="16"/>
          <w:color w:val="auto"/>
        </w:rPr>
        <w:t>. The agreements in this paragraph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IX</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76" w:lineRule="exact"/>
        <w:rPr>
          <w:sz w:val="20"/>
          <w:szCs w:val="20"/>
          <w:color w:val="auto"/>
        </w:rPr>
      </w:pPr>
    </w:p>
    <w:p>
      <w:pPr>
        <w:ind w:left="440" w:right="240" w:firstLine="419"/>
        <w:spacing w:after="0" w:line="277" w:lineRule="auto"/>
        <w:tabs>
          <w:tab w:leader="none" w:pos="10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to the Borrower, to it at Take-Two Interactive Software, Inc., 110 West 44th Street, New York, New York, 10036, Attention: General Counsel; Telephone: 646-536-2869;</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1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to the Administrative Agent or to JPMorgan Chase Bank, N.A. in its capacity as an Issuing Bank, to JPMorgan Chase Bank, N.A., JPMorgan Loan Services, 500 Stanton Christiana Road, Ops 2, 3rd Floor Newark, DE 19713, Attention of Loan and Agency Services Group (Fax No. 1 (302) 634-3301);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9" w:name="page100"/>
    <w:bookmarkEnd w:id="99"/>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if to any other Lender or Issuing Bank, to it at its address (or telecopy number) set forth in its Administrative Questionnaire.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71" w:lineRule="exact"/>
        <w:rPr>
          <w:sz w:val="20"/>
          <w:szCs w:val="20"/>
          <w:color w:val="auto"/>
        </w:rPr>
      </w:pPr>
    </w:p>
    <w:p>
      <w:pPr>
        <w:ind w:right="40" w:firstLine="987"/>
        <w:spacing w:after="0" w:line="275" w:lineRule="auto"/>
        <w:tabs>
          <w:tab w:leader="none" w:pos="124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Notices and other communications to the Borrower, the Lenders and the Issuing Banks hereunder may be delivered or furnished by using Approved Electronic Platforms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Article 2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6"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 xml:space="preserve">Unless the Administrative Agent otherwise prescribes or as otherwise expressly set forth in this Agreement,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6" w:lineRule="exact"/>
        <w:rPr>
          <w:sz w:val="20"/>
          <w:szCs w:val="20"/>
          <w:color w:val="auto"/>
        </w:rPr>
      </w:pPr>
    </w:p>
    <w:p>
      <w:pPr>
        <w:ind w:left="1240" w:hanging="253"/>
        <w:spacing w:after="0"/>
        <w:tabs>
          <w:tab w:leader="none" w:pos="12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hereto.</w:t>
      </w:r>
    </w:p>
    <w:p>
      <w:pPr>
        <w:spacing w:after="0" w:line="210" w:lineRule="exact"/>
        <w:rPr>
          <w:rFonts w:ascii="Arial" w:cs="Arial" w:eastAsia="Arial" w:hAnsi="Arial"/>
          <w:sz w:val="16"/>
          <w:szCs w:val="16"/>
          <w:color w:val="auto"/>
        </w:rPr>
      </w:pPr>
    </w:p>
    <w:p>
      <w:pPr>
        <w:ind w:left="1240" w:hanging="253"/>
        <w:spacing w:after="0"/>
        <w:tabs>
          <w:tab w:leader="none" w:pos="124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580" w:firstLine="419"/>
        <w:spacing w:after="0" w:line="286" w:lineRule="auto"/>
        <w:tabs>
          <w:tab w:leader="none" w:pos="107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Borrower agrees that the Administrative Agent may, but shall not be obligated to, make any Communications available to the Lenders and the Issuing Banks by posting the Communications on IntraLinks</w:t>
      </w:r>
      <w:r>
        <w:rPr>
          <w:rFonts w:ascii="Arial" w:cs="Arial" w:eastAsia="Arial" w:hAnsi="Arial"/>
          <w:sz w:val="14"/>
          <w:szCs w:val="14"/>
          <w:color w:val="auto"/>
        </w:rPr>
        <w:t>™</w:t>
      </w:r>
      <w:r>
        <w:rPr>
          <w:rFonts w:ascii="Arial" w:cs="Arial" w:eastAsia="Arial" w:hAnsi="Arial"/>
          <w:sz w:val="17"/>
          <w:szCs w:val="17"/>
          <w:color w:val="auto"/>
        </w:rPr>
        <w:t>, DebtDomain, SyndTrak, ClearPar or any other electronic platform chosen by the Administrative Agent to be its electronic transmission system (the “</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40" w:right="20" w:firstLine="419"/>
        <w:spacing w:after="0" w:line="296" w:lineRule="auto"/>
        <w:tabs>
          <w:tab w:leader="none" w:pos="112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100" w:name="page101"/>
    <w:bookmarkEnd w:id="100"/>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41" w:lineRule="exact"/>
        <w:rPr>
          <w:sz w:val="20"/>
          <w:szCs w:val="20"/>
          <w:color w:val="auto"/>
        </w:rPr>
      </w:pPr>
    </w:p>
    <w:p>
      <w:pPr>
        <w:ind w:right="100" w:firstLine="419"/>
        <w:spacing w:after="0" w:line="268" w:lineRule="auto"/>
        <w:tabs>
          <w:tab w:leader="none" w:pos="7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Arial" w:cs="Arial" w:eastAsia="Arial" w:hAnsi="Arial"/>
          <w:sz w:val="17"/>
          <w:szCs w:val="17"/>
          <w:u w:val="single" w:color="auto"/>
          <w:color w:val="auto"/>
        </w:rPr>
        <w:t>APPLICABLE PARTIES</w:t>
      </w:r>
      <w:r>
        <w:rPr>
          <w:rFonts w:ascii="Arial" w:cs="Arial" w:eastAsia="Arial" w:hAnsi="Arial"/>
          <w:sz w:val="17"/>
          <w:szCs w:val="17"/>
          <w:color w:val="auto"/>
        </w:rPr>
        <w:t>”) HAVE ANY LIABILITY TO THE BORROWER, ANY LENDER, ANY ISSUING BANK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78" w:lineRule="exact"/>
        <w:rPr>
          <w:sz w:val="20"/>
          <w:szCs w:val="20"/>
          <w:color w:val="auto"/>
        </w:rPr>
      </w:pPr>
    </w:p>
    <w:p>
      <w:pPr>
        <w:ind w:right="8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collectively, any notice, demand, communication, information, document or other material provided by or on behalf of the Borrower pursuant to any Loan Document or the transactions contemplated therein which is distributed by the Administrative Agent or any Lender or any Issuing Bank by means of electronic communications pursuant to this Section, including through an Approved Electronic Platform.</w:t>
      </w:r>
    </w:p>
    <w:p>
      <w:pPr>
        <w:spacing w:after="0" w:line="79" w:lineRule="exact"/>
        <w:rPr>
          <w:sz w:val="20"/>
          <w:szCs w:val="20"/>
          <w:color w:val="auto"/>
        </w:rPr>
      </w:pPr>
    </w:p>
    <w:p>
      <w:pPr>
        <w:ind w:firstLine="419"/>
        <w:spacing w:after="0" w:line="275" w:lineRule="auto"/>
        <w:tabs>
          <w:tab w:leader="none" w:pos="72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68" w:lineRule="exact"/>
        <w:rPr>
          <w:rFonts w:ascii="Arial" w:cs="Arial" w:eastAsia="Arial" w:hAnsi="Arial"/>
          <w:sz w:val="17"/>
          <w:szCs w:val="17"/>
          <w:color w:val="auto"/>
        </w:rPr>
      </w:pPr>
    </w:p>
    <w:p>
      <w:pPr>
        <w:jc w:val="both"/>
        <w:ind w:right="460" w:firstLine="419"/>
        <w:spacing w:after="0" w:line="263" w:lineRule="auto"/>
        <w:tabs>
          <w:tab w:leader="none" w:pos="67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75" w:lineRule="exact"/>
        <w:rPr>
          <w:rFonts w:ascii="Arial" w:cs="Arial" w:eastAsia="Arial" w:hAnsi="Arial"/>
          <w:sz w:val="18"/>
          <w:szCs w:val="18"/>
          <w:color w:val="auto"/>
        </w:rPr>
      </w:pPr>
    </w:p>
    <w:p>
      <w:pPr>
        <w:ind w:right="600" w:firstLine="419"/>
        <w:spacing w:after="0" w:line="277" w:lineRule="auto"/>
        <w:tabs>
          <w:tab w:leader="none" w:pos="7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560"/>
          </w:cols>
          <w:pgMar w:left="880" w:top="274" w:right="459" w:bottom="1440" w:gutter="0" w:footer="0" w:header="0"/>
        </w:sectPr>
      </w:pPr>
    </w:p>
    <w:bookmarkStart w:id="101" w:name="page102"/>
    <w:bookmarkEnd w:id="101"/>
    <w:p>
      <w:pPr>
        <w:ind w:left="4"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66" w:lineRule="exact"/>
        <w:rPr>
          <w:sz w:val="20"/>
          <w:szCs w:val="20"/>
          <w:color w:val="auto"/>
        </w:rPr>
      </w:pPr>
    </w:p>
    <w:p>
      <w:pPr>
        <w:ind w:left="4" w:right="120" w:firstLine="987"/>
        <w:spacing w:after="0" w:line="283" w:lineRule="auto"/>
        <w:tabs>
          <w:tab w:leader="none" w:pos="125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Subject to Sections 2.14(b), 2.20 and 2.23,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any amendment or modification of definition of “Leverage Ratio” in this Agreement (or defined terms used in such definition of “Leverage Ratio”) shall not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2.18(b) or</w:t>
      </w:r>
    </w:p>
    <w:p>
      <w:pPr>
        <w:spacing w:after="0" w:line="5" w:lineRule="exact"/>
        <w:rPr>
          <w:rFonts w:ascii="Arial" w:cs="Arial" w:eastAsia="Arial" w:hAnsi="Arial"/>
          <w:sz w:val="16"/>
          <w:szCs w:val="16"/>
          <w:color w:val="auto"/>
        </w:rPr>
      </w:pPr>
    </w:p>
    <w:p>
      <w:pPr>
        <w:ind w:left="4" w:hanging="4"/>
        <w:spacing w:after="0" w:line="268" w:lineRule="auto"/>
        <w:tabs>
          <w:tab w:leader="none" w:pos="24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in a manner that would alter the pro rata sharing of payments required thereby, without the written consent of each Lender or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or any Issuing Bank hereunder without the prior written consent of the Administrative Agent or such Issuing Bank (it being understood that any change to Section 2.22 shall require the consent of the Administrative Agent and the Issuing Banks).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81" w:lineRule="exact"/>
        <w:rPr>
          <w:rFonts w:ascii="Arial" w:cs="Arial" w:eastAsia="Arial" w:hAnsi="Arial"/>
          <w:sz w:val="17"/>
          <w:szCs w:val="17"/>
          <w:color w:val="auto"/>
        </w:rPr>
      </w:pPr>
    </w:p>
    <w:p>
      <w:pPr>
        <w:ind w:left="4" w:right="60" w:firstLine="987"/>
        <w:spacing w:after="0" w:line="275" w:lineRule="auto"/>
        <w:tabs>
          <w:tab w:leader="none" w:pos="12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Notwithstanding the foregoing, this Agreement and any other Loan Document may be amended (or amended and restated) with the written consent of the Required Lenders, the Administrative Agent and the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Loans and the accrued interest and fees in respect thereof and (y) to include appropriately the Lenders holding such credit facilities in any determination of the Required Lenders and Lenders.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102" w:name="page103"/>
    <w:bookmarkEnd w:id="102"/>
    <w:p>
      <w:pPr>
        <w:ind w:right="20" w:firstLine="987"/>
        <w:spacing w:after="0" w:line="286" w:lineRule="auto"/>
        <w:tabs>
          <w:tab w:leader="none" w:pos="12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then the Borrower may elect to replace a Non-Consenting Lender as a Lender party to this Agreement, provided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(subject to the final sentence of this Section 9.02(d))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Notwithstanding anything in this Section 9.04(d) to the contrary, such replacement of a Non-Consenting Lender shall be deemed effective with respect to such Non-Consenting Lender whether or not such Non-Consenting Lender enters into an Assignment and Assumption.</w:t>
      </w:r>
    </w:p>
    <w:p>
      <w:pPr>
        <w:spacing w:after="0" w:line="170" w:lineRule="exact"/>
        <w:rPr>
          <w:rFonts w:ascii="Arial" w:cs="Arial" w:eastAsia="Arial" w:hAnsi="Arial"/>
          <w:sz w:val="16"/>
          <w:szCs w:val="16"/>
          <w:color w:val="auto"/>
        </w:rPr>
      </w:pPr>
    </w:p>
    <w:p>
      <w:pPr>
        <w:ind w:right="60" w:firstLine="987"/>
        <w:spacing w:after="0" w:line="308" w:lineRule="auto"/>
        <w:tabs>
          <w:tab w:leader="none" w:pos="123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Limitation of Liability; Indemnity; Etc</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8" w:lineRule="auto"/>
        <w:tabs>
          <w:tab w:leader="none" w:pos="123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Borrower shall pay (i) all reasonable and documented out-of-pocket expenses incurred by the Administrative Agent and its Affiliates, including the reasonable fees, charges and disbursements of one primary counsel for the Administrative Agent and one local counsel in each applicable jurisdiction,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reasonable and documented out-of-pocket expenses incurred by the Administrative Agent, any Issuing Bank or any Lender, including the fees, charges and disbursements of one primary counsel for the Administrative Agent, Issuing Banks and Lenders, taken as a whole, and one additional local counsel in each applicable jurisdiction for the Administrative Agent, Issuing Banks and Lenders, taken as a whole, in connection with the enforcement or protection of their rights in connection with this Agreement and any other Loan Document, including their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86" w:lineRule="exact"/>
        <w:rPr>
          <w:rFonts w:ascii="Arial" w:cs="Arial" w:eastAsia="Arial" w:hAnsi="Arial"/>
          <w:sz w:val="17"/>
          <w:szCs w:val="17"/>
          <w:color w:val="auto"/>
        </w:rPr>
      </w:pPr>
    </w:p>
    <w:p>
      <w:pPr>
        <w:ind w:right="20" w:firstLine="987"/>
        <w:spacing w:after="0" w:line="296" w:lineRule="auto"/>
        <w:tabs>
          <w:tab w:leader="none" w:pos="124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To the extent permitted by applicable law, (i) the Borrower shall not assert, and the Borrower hereby waives, any claim against the Administrative Agent, any Arranger, any Issuing Bank and any Lender, and any Related Party of any of the foregoing Persons (each such Person being called a “</w:t>
      </w:r>
      <w:r>
        <w:rPr>
          <w:rFonts w:ascii="Arial" w:cs="Arial" w:eastAsia="Arial" w:hAnsi="Arial"/>
          <w:sz w:val="16"/>
          <w:szCs w:val="16"/>
          <w:u w:val="single" w:color="auto"/>
          <w:color w:val="auto"/>
        </w:rPr>
        <w:t>Lender-Related Person</w:t>
      </w:r>
      <w:r>
        <w:rPr>
          <w:rFonts w:ascii="Arial" w:cs="Arial" w:eastAsia="Arial" w:hAnsi="Arial"/>
          <w:sz w:val="16"/>
          <w:szCs w:val="16"/>
          <w:color w:val="auto"/>
        </w:rPr>
        <w:t>”)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103" w:name="page104"/>
    <w:bookmarkEnd w:id="10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any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88" w:lineRule="exact"/>
        <w:rPr>
          <w:sz w:val="20"/>
          <w:szCs w:val="20"/>
          <w:color w:val="auto"/>
        </w:rPr>
      </w:pPr>
    </w:p>
    <w:p>
      <w:pPr>
        <w:ind w:firstLine="987"/>
        <w:spacing w:after="0" w:line="284" w:lineRule="auto"/>
        <w:tabs>
          <w:tab w:leader="none" w:pos="123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The Borrower shall indemnify the Administrative Agent, each Issuing Bank, each Arranger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Liabilities and related expenses (which, in the case of fees, charges and disbursements of counsel, shall be limited to the reasonable and documented fees, charges and disbursements of (i) one primary counsel, and one additional local counsel in each applicable jurisdiction, for the Administrative Agent, the Lenders, their Affiliates and related Indemnitees (taken as a whole) and (ii) solely in the case of an actual or perceived conflict of interest where the Indemnitee affected by such conflict notifies the Borrower of the existence of such conflict and thereafter retains its own counsel, one other firm of counsel in each applicable jurisdiction (which may include a single firm of local counsel for all such affected Indemnitees acting in multiple jurisdictions)) incurred by or asserted against any Indemnitee resulting from any claim, litigation, investigation or proceeding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(iv) any actual or alleged presence or release of Hazardous Materials on or from any property owned or operated by the Borrower or any of its Subsidiaries, or any Environmental Liability of the Borrower or any of its Subsidiaries, or (v)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(x) the gross negligence, bad faith, or willful misconduct of such Indemnitee, (y) the material breach by such Indemnitee of its express obligations under this Agreement pursuant to a claim initiated by the Borrower or (z) any dispute solely among Indemnitees (not arising as a result of an act or omission by the Borrower or any of its Subsidiaries or Affiliates) other than claims against any of the Administrative Agent or the Lenders or any of their Affiliates in its capacity or in fulfilling its role as the Administrative Agent, an Issuing Bank, an Arranger, a lead arranger, a bookrunner or any similar role under this Agreement. Each of the Administrative Agent and the Lenders hereby agrees, on behalf of itself and its related Indemnitees, that any settlement entered into by the Administrative Agent or such Lender, respectively, and its related Indemnitee in connection with a claim or proceeding for which an indemnity claim is made against the Borrower pursuant to the preceding sentence shall be so entered into in good faith and not on an arbitrary or capricious basis. This Section 9.03(c) shall not apply with respect to Taxes other than any Taxes that represent losses, claims, damages, etc., arising from any non-Tax claim.</w:t>
      </w:r>
    </w:p>
    <w:p>
      <w:pPr>
        <w:spacing w:after="0" w:line="171" w:lineRule="exact"/>
        <w:rPr>
          <w:rFonts w:ascii="Arial" w:cs="Arial" w:eastAsia="Arial" w:hAnsi="Arial"/>
          <w:sz w:val="16"/>
          <w:szCs w:val="16"/>
          <w:color w:val="auto"/>
        </w:rPr>
      </w:pPr>
    </w:p>
    <w:p>
      <w:pPr>
        <w:ind w:right="20" w:firstLine="987"/>
        <w:spacing w:after="0" w:line="311" w:lineRule="auto"/>
        <w:tabs>
          <w:tab w:leader="none" w:pos="124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Lender Reimbursement</w:t>
      </w:r>
      <w:r>
        <w:rPr>
          <w:rFonts w:ascii="Arial" w:cs="Arial" w:eastAsia="Arial" w:hAnsi="Arial"/>
          <w:sz w:val="16"/>
          <w:szCs w:val="16"/>
          <w:color w:val="auto"/>
        </w:rPr>
        <w:t xml:space="preserve">. Each Lender severally agrees to pay any amount required to be paid by the Borrower under paragraphs (a), (b) or (c) of this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to the Administrative Agent and each Issuing Bank and any of their respective Related Parties (each, an “</w:t>
      </w:r>
      <w:r>
        <w:rPr>
          <w:rFonts w:ascii="Arial" w:cs="Arial" w:eastAsia="Arial" w:hAnsi="Arial"/>
          <w:sz w:val="16"/>
          <w:szCs w:val="16"/>
          <w:u w:val="single" w:color="auto"/>
          <w:color w:val="auto"/>
        </w:rPr>
        <w:t>Agent-Related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(to the extent not reimbursed by the Borrower and without limiting the obligation of the Borrower to do so), ratably according to their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4" w:name="page105"/>
    <w:bookmarkEnd w:id="10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respective percentage of the aggregate Loans and unfunded Commitments of all Lenders represented by such Lender’s Loans and unfunded Commitments (determined as of the time that the applicable unreimbursed expense or indemnity payment is sought or, if such payment is sought after the date upon which the Commitments shall have terminated and the Loans shall have been paid in full, ratably in accordance with such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and/or Loans,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thirty (30) days after written demand therefor.</w:t>
      </w:r>
    </w:p>
    <w:p>
      <w:pPr>
        <w:spacing w:after="0" w:line="23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81" w:lineRule="exact"/>
        <w:rPr>
          <w:sz w:val="20"/>
          <w:szCs w:val="20"/>
          <w:color w:val="auto"/>
        </w:rPr>
      </w:pPr>
    </w:p>
    <w:p>
      <w:pPr>
        <w:ind w:right="180" w:firstLine="987"/>
        <w:spacing w:after="0" w:line="311" w:lineRule="auto"/>
        <w:tabs>
          <w:tab w:leader="none" w:pos="1246"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40" w:lineRule="exact"/>
        <w:rPr>
          <w:rFonts w:ascii="Arial" w:cs="Arial" w:eastAsia="Arial" w:hAnsi="Arial"/>
          <w:sz w:val="16"/>
          <w:szCs w:val="16"/>
          <w:color w:val="auto"/>
        </w:rPr>
      </w:pPr>
    </w:p>
    <w:p>
      <w:pPr>
        <w:ind w:left="980" w:firstLine="408"/>
        <w:spacing w:after="0" w:line="277" w:lineRule="auto"/>
        <w:tabs>
          <w:tab w:leader="none" w:pos="1676" w:val="left"/>
        </w:tabs>
        <w:numPr>
          <w:ilvl w:val="2"/>
          <w:numId w:val="112"/>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the Borrower shall be required for an assignment to a Lender, an Affiliate of a Lender, an Approved Fund or, if an Event of Default has occurred and is continuing, any other assignee; and</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5" w:name="page106"/>
    <w:bookmarkEnd w:id="105"/>
    <w:p>
      <w:pPr>
        <w:ind w:left="980" w:firstLine="408"/>
        <w:spacing w:after="0" w:line="296" w:lineRule="auto"/>
        <w:tabs>
          <w:tab w:leader="none" w:pos="1676"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53" w:lineRule="exact"/>
        <w:rPr>
          <w:rFonts w:ascii="Arial" w:cs="Arial" w:eastAsia="Arial" w:hAnsi="Arial"/>
          <w:sz w:val="16"/>
          <w:szCs w:val="16"/>
          <w:color w:val="auto"/>
        </w:rPr>
      </w:pPr>
    </w:p>
    <w:p>
      <w:pPr>
        <w:ind w:left="1680" w:hanging="292"/>
        <w:spacing w:after="0"/>
        <w:tabs>
          <w:tab w:leader="none" w:pos="1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each partial assignment shall be made as an assignment of a proportionate part of all the assigning Lender’s rights and</w:t>
      </w:r>
    </w:p>
    <w:p>
      <w:pPr>
        <w:spacing w:after="0" w:line="34" w:lineRule="exact"/>
        <w:rPr>
          <w:rFonts w:ascii="Arial" w:cs="Arial" w:eastAsia="Arial" w:hAnsi="Arial"/>
          <w:sz w:val="17"/>
          <w:szCs w:val="17"/>
          <w:color w:val="auto"/>
        </w:rPr>
      </w:pPr>
    </w:p>
    <w:p>
      <w:pPr>
        <w:ind w:left="980" w:right="140"/>
        <w:spacing w:after="0" w:line="260" w:lineRule="auto"/>
        <w:rPr>
          <w:rFonts w:ascii="Arial" w:cs="Arial" w:eastAsia="Arial" w:hAnsi="Arial"/>
          <w:sz w:val="17"/>
          <w:szCs w:val="17"/>
          <w:color w:val="auto"/>
        </w:rPr>
      </w:pPr>
      <w:r>
        <w:rPr>
          <w:rFonts w:ascii="Arial" w:cs="Arial" w:eastAsia="Arial" w:hAnsi="Arial"/>
          <w:sz w:val="18"/>
          <w:szCs w:val="18"/>
          <w:color w:val="auto"/>
        </w:rPr>
        <w:t>obligations under this Agreement, provided that this clause shall not be construed to prohibit the assignment of a proportionate part of all the assigning Lender’s rights and obligations in respect of Commitments or Loans;</w:t>
      </w:r>
    </w:p>
    <w:p>
      <w:pPr>
        <w:spacing w:after="0" w:line="77" w:lineRule="exact"/>
        <w:rPr>
          <w:rFonts w:ascii="Arial" w:cs="Arial" w:eastAsia="Arial" w:hAnsi="Arial"/>
          <w:sz w:val="17"/>
          <w:szCs w:val="17"/>
          <w:color w:val="auto"/>
        </w:rPr>
      </w:pPr>
    </w:p>
    <w:p>
      <w:pPr>
        <w:ind w:left="980" w:right="20" w:firstLine="408"/>
        <w:spacing w:after="0" w:line="257" w:lineRule="auto"/>
        <w:tabs>
          <w:tab w:leader="none" w:pos="16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79" w:lineRule="exact"/>
        <w:rPr>
          <w:rFonts w:ascii="Arial" w:cs="Arial" w:eastAsia="Arial" w:hAnsi="Arial"/>
          <w:sz w:val="18"/>
          <w:szCs w:val="18"/>
          <w:color w:val="auto"/>
        </w:rPr>
      </w:pPr>
    </w:p>
    <w:p>
      <w:pPr>
        <w:ind w:left="980" w:right="200" w:firstLine="408"/>
        <w:spacing w:after="0" w:line="257" w:lineRule="auto"/>
        <w:tabs>
          <w:tab w:leader="none" w:pos="167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jc w:val="both"/>
        <w:ind w:right="3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xml:space="preserve">” means (a) a natural person, (b) a Defaulting Lender or its Lender Parent, (c) the Borrower, any of its Subsidiaries or any of its Affiliates, or (d) a company, investment vehicle or trust for, or owned and operated for the primary benefit of, a natural person or relative(s)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clause (d),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$10,000,000 and a significant part of its activities consist of making or purchasing commercial loans and similar extensions of credit in the ordinary course of its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6" w:name="page107"/>
    <w:bookmarkEnd w:id="106"/>
    <w:p>
      <w:pPr>
        <w:ind w:left="440" w:right="80" w:firstLine="419"/>
        <w:spacing w:after="0" w:line="290" w:lineRule="auto"/>
        <w:tabs>
          <w:tab w:leader="none" w:pos="11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57" w:lineRule="exact"/>
        <w:rPr>
          <w:rFonts w:ascii="Arial" w:cs="Arial" w:eastAsia="Arial" w:hAnsi="Arial"/>
          <w:sz w:val="16"/>
          <w:szCs w:val="16"/>
          <w:color w:val="auto"/>
        </w:rPr>
      </w:pPr>
    </w:p>
    <w:p>
      <w:pPr>
        <w:ind w:left="440" w:right="40" w:firstLine="419"/>
        <w:spacing w:after="0" w:line="254" w:lineRule="auto"/>
        <w:tabs>
          <w:tab w:leader="none" w:pos="11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related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(with respect to its own Commitments and Loans), at any reasonable time and from time to time upon reasonable prior notice.</w:t>
      </w:r>
    </w:p>
    <w:p>
      <w:pPr>
        <w:spacing w:after="0" w:line="83" w:lineRule="exact"/>
        <w:rPr>
          <w:rFonts w:ascii="Arial" w:cs="Arial" w:eastAsia="Arial" w:hAnsi="Arial"/>
          <w:sz w:val="18"/>
          <w:szCs w:val="18"/>
          <w:color w:val="auto"/>
        </w:rPr>
      </w:pPr>
    </w:p>
    <w:p>
      <w:pPr>
        <w:ind w:left="440" w:right="320" w:firstLine="419"/>
        <w:spacing w:after="0" w:line="288" w:lineRule="auto"/>
        <w:tabs>
          <w:tab w:leader="none" w:pos="111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8" w:lineRule="exact"/>
        <w:rPr>
          <w:rFonts w:ascii="Arial" w:cs="Arial" w:eastAsia="Arial" w:hAnsi="Arial"/>
          <w:sz w:val="16"/>
          <w:szCs w:val="16"/>
          <w:color w:val="auto"/>
        </w:rPr>
      </w:pPr>
    </w:p>
    <w:p>
      <w:pPr>
        <w:ind w:firstLine="987"/>
        <w:spacing w:after="0" w:line="289" w:lineRule="auto"/>
        <w:tabs>
          <w:tab w:leader="none" w:pos="123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 the Administrative Agent or the Issuing Banks,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 agrees that each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7" w:name="page108"/>
    <w:bookmarkEnd w:id="10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shall be entitled to the benefits of Sections 2.15, 2.16 and 2.17 (subject to the requirements and limitations therein, including the requirements under Section 2.17(f) (it being understood that the documentation required under Section 2.17(f) shall be delivered solely to the participating Lender)) to the same extent as if it were a Lender and had acquired its interest by assignment pursuant to paragraph (b) of this Section; provided that such Participant (A) shall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2.22(b) with respect to any Participant. To the extent permitted by law, each Participant also shall be entitled to the benefits of Section 9.08 as though it were a Lender, provided such Participant shall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related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87" w:lineRule="exact"/>
        <w:rPr>
          <w:sz w:val="20"/>
          <w:szCs w:val="20"/>
          <w:color w:val="auto"/>
        </w:rPr>
      </w:pPr>
    </w:p>
    <w:p>
      <w:pPr>
        <w:ind w:firstLine="987"/>
        <w:spacing w:after="0" w:line="279" w:lineRule="auto"/>
        <w:tabs>
          <w:tab w:leader="none" w:pos="124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71"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Borrower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resignation or replacement of the Agent or any assignment of rights by, or the replacement of, a Lender, the consummation of the transactions contemplated hereby, the repayment, satisfaction or discharge of all obligations under any Loan Document, the expiration or termination of the Letters of Credit and the Commitments or the termination of this Agreement or any other Loan Document or any provision hereof or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8" w:name="page109"/>
    <w:bookmarkEnd w:id="10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72" w:lineRule="auto"/>
        <w:tabs>
          <w:tab w:leader="none" w:pos="123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77" w:lineRule="exact"/>
        <w:rPr>
          <w:rFonts w:ascii="Arial" w:cs="Arial" w:eastAsia="Arial" w:hAnsi="Arial"/>
          <w:sz w:val="17"/>
          <w:szCs w:val="17"/>
          <w:color w:val="auto"/>
        </w:rPr>
      </w:pPr>
    </w:p>
    <w:p>
      <w:pPr>
        <w:ind w:firstLine="987"/>
        <w:spacing w:after="0" w:line="284" w:lineRule="auto"/>
        <w:tabs>
          <w:tab w:leader="none" w:pos="124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that is an Electronic Signature transmitted by telecopy, emailed e-mailed .pdf or any other electronic means that reproduces an image of the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(A)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274" w:right="439" w:bottom="1440" w:gutter="0" w:footer="0" w:header="0"/>
        </w:sectPr>
      </w:pPr>
    </w:p>
    <w:bookmarkStart w:id="109" w:name="page110"/>
    <w:bookmarkEnd w:id="109"/>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76"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then due and outstanding owing by such Lender or Affiliate to or for the credit or the account of the Borrower against any of and all of the Obligations then due and outstanding held by such Lender, irrespective of whether or not such Lender shall have made any demand under the Loan Documents and although such obligations may be contingent or unmatured or are owed to a branch office or Affiliate of such Lender different from the branch office or Affiliate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and the other Loan Documents shall be construed in accordance with and governed by the law of the State of New York.</w:t>
      </w:r>
    </w:p>
    <w:p>
      <w:pPr>
        <w:spacing w:after="0" w:line="170" w:lineRule="exact"/>
        <w:rPr>
          <w:sz w:val="20"/>
          <w:szCs w:val="20"/>
          <w:color w:val="auto"/>
        </w:rPr>
      </w:pPr>
    </w:p>
    <w:p>
      <w:pPr>
        <w:jc w:val="both"/>
        <w:ind w:right="140" w:firstLine="987"/>
        <w:spacing w:after="0" w:line="259"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86" w:lineRule="exact"/>
        <w:rPr>
          <w:rFonts w:ascii="Arial" w:cs="Arial" w:eastAsia="Arial" w:hAnsi="Arial"/>
          <w:sz w:val="18"/>
          <w:szCs w:val="18"/>
          <w:color w:val="auto"/>
        </w:rPr>
      </w:pPr>
    </w:p>
    <w:p>
      <w:pPr>
        <w:ind w:right="40" w:firstLine="987"/>
        <w:spacing w:after="0" w:line="301" w:lineRule="auto"/>
        <w:tabs>
          <w:tab w:leader="none" w:pos="123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Each party to this Agreement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the transactions relating hereto or thereto, or for recognition or enforcement of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10" w:name="page111"/>
    <w:bookmarkEnd w:id="110"/>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 and each of the parties hereto hereby irrevocably and unconditionally agrees that all claims in respect of any such action or proceeding may be (and any such claims, cross-claims or third party claims brought against the Administrative Agent or any of its Related Parties may only) heard and determined in such Federal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Documents shall affect any right that the Administrative Agent, any Issuing Bank or any Lender may otherwise have to bring any action or proceeding relating to this Agreement or any other Loan Document against the Borrower or its properties in the courts of any jurisdiction.</w:t>
      </w:r>
    </w:p>
    <w:p>
      <w:pPr>
        <w:spacing w:after="0" w:line="164" w:lineRule="exact"/>
        <w:rPr>
          <w:sz w:val="20"/>
          <w:szCs w:val="20"/>
          <w:color w:val="auto"/>
        </w:rPr>
      </w:pPr>
    </w:p>
    <w:p>
      <w:pPr>
        <w:jc w:val="both"/>
        <w:ind w:left="4" w:right="120" w:firstLine="987"/>
        <w:spacing w:after="0" w:line="301" w:lineRule="auto"/>
        <w:tabs>
          <w:tab w:leader="none" w:pos="125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16"/>
          <w:szCs w:val="16"/>
          <w:color w:val="auto"/>
        </w:rPr>
      </w:pPr>
    </w:p>
    <w:p>
      <w:pPr>
        <w:jc w:val="both"/>
        <w:ind w:left="4" w:right="80" w:firstLine="987"/>
        <w:spacing w:after="0" w:line="342" w:lineRule="auto"/>
        <w:tabs>
          <w:tab w:leader="none" w:pos="12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24"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4" w:right="360" w:hanging="4"/>
        <w:spacing w:after="0" w:line="260" w:lineRule="auto"/>
        <w:tabs>
          <w:tab w:leader="none" w:pos="27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ind w:left="4" w:right="180" w:firstLine="991"/>
        <w:spacing w:after="0" w:line="30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(in which case each of the Administrative Agent, the Issuing Banks and the Lenders agree to the extent not prohibited by applicable law, rule, regulation or order, to inform you promptly of the disclosure thereof and to the extent practicable, prior thereto), (c) to the extent required by applicable laws, rules or regulations or by any subpoena or order or similar legal process (in which case each of the Administrative Agent, the Issuing Banks and the Lenders agree to the extent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4"/>
          </w:cols>
          <w:pgMar w:left="436" w:top="274" w:right="459" w:bottom="1440" w:gutter="0" w:footer="0" w:header="0"/>
        </w:sectPr>
      </w:pPr>
    </w:p>
    <w:bookmarkStart w:id="111" w:name="page112"/>
    <w:bookmarkEnd w:id="11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prohibited by applicable law, rule, regulation or order, to inform you promptly of the disclosure thereof and to the extent practicable, prior thereto),</w:t>
      </w:r>
    </w:p>
    <w:p>
      <w:pPr>
        <w:spacing w:after="0" w:line="46" w:lineRule="exact"/>
        <w:rPr>
          <w:sz w:val="20"/>
          <w:szCs w:val="20"/>
          <w:color w:val="auto"/>
        </w:rPr>
      </w:pPr>
    </w:p>
    <w:p>
      <w:pPr>
        <w:ind w:left="4" w:right="60" w:hanging="4"/>
        <w:spacing w:after="0" w:line="281" w:lineRule="auto"/>
        <w:tabs>
          <w:tab w:leader="none" w:pos="25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or to any credit insurance provider relating to the Borrower and its obligations,</w:t>
      </w:r>
    </w:p>
    <w:p>
      <w:pPr>
        <w:spacing w:after="0" w:line="2" w:lineRule="exact"/>
        <w:rPr>
          <w:rFonts w:ascii="Arial" w:cs="Arial" w:eastAsia="Arial" w:hAnsi="Arial"/>
          <w:sz w:val="16"/>
          <w:szCs w:val="16"/>
          <w:color w:val="auto"/>
        </w:rPr>
      </w:pPr>
    </w:p>
    <w:p>
      <w:pPr>
        <w:ind w:left="4" w:hanging="4"/>
        <w:spacing w:after="0" w:line="266" w:lineRule="auto"/>
        <w:tabs>
          <w:tab w:leader="none" w:pos="25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 the consent of the Borrower, (h) to the extent that such information is independently developed by the Administrative Agent, any Issuing Bank or any Lender, without reference to any confidential Information and without violating the terms of this Agreement, (i) for purposes of establishing a defense in any legal proceeding, (j) to market data collectors and service providers providing services in connection with the administration of the Loans (such disclosure under this clause (j) limited solely to this Agreement), (k) on a confidential basis to any rating agency in connection with rating the Borrower or its Subsidiaries or the credit facilities provided for herein or (k) to the extent such Information (i) becomes publicly available other than as a result of a breach of this Section or (ii) becomes available to the Administrative Agent, any Issuing Bank or any Lender on a nonconfidential basis from a source that is not, to the knowledge of the Administrative Agent, such Issuing Bank or such Lender respectively, subject to confidentiality obligations owing to the Borrower or any of its Subsidiaries and prohibiting such disclosure. Notwithstanding the foregoing, none of the Administrative Agent, any Issuing Bank or any Lender shall be required to provide notice of any permitted disclosures made in connection with any regulatory review of the Administrative Agent, such Issuing Bank or such Lender by any governmental agency or regulatory body with jurisdiction over the Administrative Agent, such Issuing Bank or such Lender, so long as such review is not specifically targeted at the Borrower or the gaming industry and notice thereof is not prohibited by applicable law, rule, regulation or order. For the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the Borrower or any Subsidiary relating to their business, other than any such information that is available to the Administrative Agent, any Issuing Bank or any Lender on a nonconfidential basis prior to disclosure by the Borrower or such Subsidiary and other than information pertaining to this Agreement routinely provided by arrangers to data service providers, including league table providers, that serve the lending industry;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ind w:left="4" w:right="180" w:firstLine="440"/>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ind w:left="4" w:right="240" w:firstLine="440"/>
        <w:spacing w:after="0" w:line="266"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4" w:right="459" w:bottom="1440" w:gutter="0" w:footer="0" w:header="0"/>
        </w:sectPr>
      </w:pPr>
    </w:p>
    <w:bookmarkStart w:id="112" w:name="page113"/>
    <w:bookmarkEnd w:id="112"/>
    <w:p>
      <w:pPr>
        <w:ind w:right="10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hereby notifies the Borrower that pursuant to the requirements of the Patriot Act and the requirements of the Beneficial Ownership Regulation, it is required to obtain, verify and record information that identifies the Borrower, which information includes the name and address of the Borrower and other information that will allow such Lender to identify the Borrower in accordance with the Patriot Act and the Beneficial Ownership Regulation.</w:t>
      </w:r>
    </w:p>
    <w:p>
      <w:pPr>
        <w:spacing w:after="0" w:line="188"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party hereto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and their respective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the Arrangers and the Lenders and their respective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agrees to forego any claims that it may have against each of the Lenders and their Affiliates with respect to any breach or alleged breach of agency or fiduciary duty in connection with any aspect of any transaction contemplated hereby.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0" w:right="459" w:bottom="1440" w:gutter="0" w:footer="0" w:header="0"/>
        </w:sectPr>
      </w:pPr>
    </w:p>
    <w:bookmarkStart w:id="113" w:name="page114"/>
    <w:bookmarkEnd w:id="113"/>
    <w:p>
      <w:pPr>
        <w:ind w:right="4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9.16.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right="540" w:firstLine="987"/>
        <w:spacing w:after="0" w:line="277" w:lineRule="auto"/>
        <w:tabs>
          <w:tab w:leader="none" w:pos="123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100" w:firstLine="419"/>
        <w:spacing w:after="0" w:line="311" w:lineRule="auto"/>
        <w:tabs>
          <w:tab w:leader="none" w:pos="112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160" w:firstLine="419"/>
        <w:spacing w:after="0" w:line="277" w:lineRule="auto"/>
        <w:tabs>
          <w:tab w:leader="none" w:pos="11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both"/>
        <w:ind w:right="220" w:firstLine="991"/>
        <w:spacing w:after="0" w:line="311"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(a) Each Lender (x) represents and warrants, as of the date such Person became a Lender party hereto and (y) covenants, from the date such Person became a Lender party hereto to the date such Person ceases being a Lender party hereto, for the benefit of the Administrative Agent and any Arranger and their respective Affiliates, that at least one of the following is and will be true:</w:t>
      </w:r>
    </w:p>
    <w:p>
      <w:pPr>
        <w:spacing w:after="0" w:line="41" w:lineRule="exact"/>
        <w:rPr>
          <w:sz w:val="20"/>
          <w:szCs w:val="20"/>
          <w:color w:val="auto"/>
        </w:rPr>
      </w:pPr>
    </w:p>
    <w:p>
      <w:pPr>
        <w:ind w:left="440" w:firstLine="419"/>
        <w:spacing w:after="0" w:line="263" w:lineRule="auto"/>
        <w:tabs>
          <w:tab w:leader="none" w:pos="10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0" w:right="180" w:firstLine="419"/>
        <w:spacing w:after="0" w:line="273" w:lineRule="auto"/>
        <w:tabs>
          <w:tab w:leader="none" w:pos="112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0" w:right="240" w:firstLine="419"/>
        <w:spacing w:after="0" w:line="301" w:lineRule="auto"/>
        <w:tabs>
          <w:tab w:leader="none" w:pos="117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14" w:name="page115"/>
    <w:bookmarkEnd w:id="114"/>
    <w:p>
      <w:pPr>
        <w:jc w:val="both"/>
        <w:ind w:left="44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76" w:lineRule="exact"/>
        <w:rPr>
          <w:sz w:val="20"/>
          <w:szCs w:val="20"/>
          <w:color w:val="auto"/>
        </w:rPr>
      </w:pPr>
    </w:p>
    <w:p>
      <w:pPr>
        <w:ind w:left="444" w:right="160" w:firstLine="419"/>
        <w:spacing w:after="0" w:line="277" w:lineRule="auto"/>
        <w:tabs>
          <w:tab w:leader="none" w:pos="117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left="4" w:right="80" w:firstLine="987"/>
        <w:spacing w:after="0" w:line="291" w:lineRule="auto"/>
        <w:tabs>
          <w:tab w:leader="none" w:pos="125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60" w:hanging="4"/>
        <w:spacing w:after="0" w:line="252" w:lineRule="auto"/>
        <w:tabs>
          <w:tab w:leader="none" w:pos="25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any Arranger and their respective Affiliates, and not, for the avoidance of doubt, to or for the benefit of the Borrower, that none of the Administrative Agent, 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hedging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4"/>
          </w:cols>
          <w:pgMar w:left="436" w:top="274" w:right="4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Pages Follow]</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9019"/>
          </w:cols>
          <w:pgMar w:left="1440" w:top="274" w:right="1440" w:bottom="1440" w:gutter="0" w:footer="0" w:header="0"/>
          <w:type w:val="continuous"/>
        </w:sectPr>
      </w:pPr>
    </w:p>
    <w:bookmarkStart w:id="116" w:name="page117"/>
    <w:bookmarkEnd w:id="11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Matthew Breitman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Title: Senior Vice President, General Counsel Americas</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&amp; Corporate Secretary</w:t>
      </w: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Take-Two Interactive Software, Inc.</w:t>
      </w:r>
    </w:p>
    <w:p>
      <w:pPr>
        <w:sectPr>
          <w:pgSz w:w="11900" w:h="16838" w:orient="portrait"/>
          <w:cols w:equalWidth="0" w:num="1">
            <w:col w:w="10900"/>
          </w:cols>
          <w:pgMar w:left="440" w:top="274" w:right="559" w:bottom="1440" w:gutter="0" w:footer="0" w:header="0"/>
        </w:sectPr>
      </w:pPr>
    </w:p>
    <w:bookmarkStart w:id="117" w:name="page118"/>
    <w:bookmarkEnd w:id="11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individually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and as 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Caitlin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Caitlin Stewart</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Take-Two Interactive Software, Inc.</w:t>
      </w:r>
    </w:p>
    <w:p>
      <w:pPr>
        <w:sectPr>
          <w:pgSz w:w="11900" w:h="16838" w:orient="portrait"/>
          <w:cols w:equalWidth="0" w:num="1">
            <w:col w:w="9480"/>
          </w:cols>
          <w:pgMar w:left="1440" w:top="274" w:right="979" w:bottom="1440" w:gutter="0" w:footer="0" w:header="0"/>
        </w:sectPr>
      </w:pPr>
    </w:p>
    <w:bookmarkStart w:id="118" w:name="page119"/>
    <w:bookmarkEnd w:id="11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 as a Lender and an Issuing</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Ingersoll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Ingersoll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Take-Two Interactive Software, Inc.</w:t>
      </w:r>
    </w:p>
    <w:p>
      <w:pPr>
        <w:sectPr>
          <w:pgSz w:w="11900" w:h="16838" w:orient="portrait"/>
          <w:cols w:equalWidth="0" w:num="1">
            <w:col w:w="9860"/>
          </w:cols>
          <w:pgMar w:left="1440" w:top="274" w:right="599" w:bottom="1440" w:gutter="0" w:footer="0" w:header="0"/>
        </w:sectPr>
      </w:pPr>
    </w:p>
    <w:bookmarkStart w:id="119" w:name="page120"/>
    <w:bookmarkEnd w:id="11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a Lender and an Issuing</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Erhlich Bautista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Erhlich Bautista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Take-Two Interactive Software, Inc.</w:t>
      </w:r>
    </w:p>
    <w:p>
      <w:pPr>
        <w:sectPr>
          <w:pgSz w:w="11900" w:h="16838" w:orient="portrait"/>
          <w:cols w:equalWidth="0" w:num="1">
            <w:col w:w="9720"/>
          </w:cols>
          <w:pgMar w:left="1440" w:top="274" w:right="739" w:bottom="1440" w:gutter="0" w:footer="0" w:header="0"/>
        </w:sectPr>
      </w:pPr>
    </w:p>
    <w:bookmarkStart w:id="120" w:name="page121"/>
    <w:bookmarkEnd w:id="120"/>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BNP Paribas, </w:t>
      </w:r>
      <w:r>
        <w:rPr>
          <w:rFonts w:ascii="Arial" w:cs="Arial" w:eastAsia="Arial" w:hAnsi="Arial"/>
          <w:sz w:val="16"/>
          <w:szCs w:val="16"/>
          <w:color w:val="auto"/>
        </w:rPr>
        <w:t>as a Lender and Issuing Bank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Nicole Rodriquez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Nicole Rodriquez</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Nicole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Nicole Doche</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BNP Paribas Securities Corp.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Nicole Rodriquez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Nicole Rodriquez</w:t>
      </w:r>
    </w:p>
    <w:p>
      <w:pPr>
        <w:spacing w:after="0" w:line="23" w:lineRule="exact"/>
        <w:rPr>
          <w:sz w:val="20"/>
          <w:szCs w:val="20"/>
          <w:color w:val="auto"/>
        </w:rPr>
      </w:pPr>
    </w:p>
    <w:p>
      <w:pPr>
        <w:jc w:val="center"/>
        <w:ind w:left="37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Nicolas Doche</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Take-Two Interactive Software, Inc.</w:t>
      </w:r>
    </w:p>
    <w:p>
      <w:pPr>
        <w:sectPr>
          <w:pgSz w:w="11900" w:h="16838" w:orient="portrait"/>
          <w:cols w:equalWidth="0" w:num="1">
            <w:col w:w="9019"/>
          </w:cols>
          <w:pgMar w:left="1440" w:top="270" w:right="1440" w:bottom="1440" w:gutter="0" w:footer="0" w:header="0"/>
        </w:sectPr>
      </w:pPr>
    </w:p>
    <w:bookmarkStart w:id="121" w:name="page122"/>
    <w:bookmarkEnd w:id="12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Jack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Jack Kelly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#23204</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Take-Two Interactive Software, Inc.</w:t>
      </w:r>
    </w:p>
    <w:p>
      <w:pPr>
        <w:sectPr>
          <w:pgSz w:w="11900" w:h="16838" w:orient="portrait"/>
          <w:cols w:equalWidth="0" w:num="1">
            <w:col w:w="9620"/>
          </w:cols>
          <w:pgMar w:left="1440" w:top="274" w:right="8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48360" cy="9512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84836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Take-Two Interactive Software, Inc:</w:t>
      </w:r>
    </w:p>
    <w:p>
      <w:pPr>
        <w:spacing w:after="0" w:line="131" w:lineRule="exact"/>
        <w:rPr>
          <w:sz w:val="20"/>
          <w:szCs w:val="20"/>
          <w:color w:val="auto"/>
        </w:rPr>
      </w:pPr>
    </w:p>
    <w:p>
      <w:pPr>
        <w:ind w:left="960" w:hanging="424"/>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Form S-8 Nos. 333-158735, 333-177822, 333-191993, 333-198787, 333-214285, 333-220895, 333-248629, 333-249904, 333-260773,</w:t>
      </w:r>
    </w:p>
    <w:p>
      <w:pPr>
        <w:spacing w:after="0" w:line="153" w:lineRule="exact"/>
        <w:rPr>
          <w:rFonts w:ascii="Arial" w:cs="Arial" w:eastAsia="Arial" w:hAnsi="Arial"/>
          <w:sz w:val="16"/>
          <w:szCs w:val="16"/>
          <w:color w:val="auto"/>
        </w:rPr>
      </w:pPr>
    </w:p>
    <w:p>
      <w:pPr>
        <w:ind w:left="960" w:right="360" w:hanging="424"/>
        <w:spacing w:after="0" w:line="277"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Form S-3 Nos. 333-189246, 333-204318, 333-204339, 333-211473, 333-211474, 333-216019, 333-218235, 333-224284, 333-230884, 333-237656, 333-248617, 333-255207, 333-256811, 333-264153, 333-264270,</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and Form S-4 No. 333-263511;</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of our reports dated February 25, 2022, with respect to the consolidated financial statements of Zynga Inc., and the effectiveness of internal control over financial reporting of Zynga Inc. included in its Annual Report (Form 10-K) for the year ended December 31, 2021, incorporated by reference in this Current Report on Form 8-K of Take-Two Interactive Software,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ectPr>
          <w:pgSz w:w="11900" w:h="16838" w:orient="portrait"/>
          <w:cols w:equalWidth="0" w:num="1">
            <w:col w:w="11020"/>
          </w:cols>
          <w:pgMar w:left="440" w:top="121" w:right="4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ZYNGA INC. and GOLDMAN SACHS &amp; CO. LLC</w:t>
      </w:r>
    </w:p>
    <w:p>
      <w:pPr>
        <w:spacing w:after="0" w:line="20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respect to the Capped Call Confirmations (as defined below) is made as of May 20, 2022, between Zynga Inc. (“</w:t>
      </w:r>
      <w:r>
        <w:rPr>
          <w:rFonts w:ascii="Arial" w:cs="Arial" w:eastAsia="Arial" w:hAnsi="Arial"/>
          <w:sz w:val="18"/>
          <w:szCs w:val="18"/>
          <w:b w:val="1"/>
          <w:bCs w:val="1"/>
          <w:color w:val="auto"/>
        </w:rPr>
        <w:t>Company</w:t>
      </w:r>
      <w:r>
        <w:rPr>
          <w:rFonts w:ascii="Arial" w:cs="Arial" w:eastAsia="Arial" w:hAnsi="Arial"/>
          <w:sz w:val="18"/>
          <w:szCs w:val="18"/>
          <w:color w:val="auto"/>
        </w:rPr>
        <w:t>”) and Goldman Sachs &amp; Co. LLC (“</w:t>
      </w:r>
      <w:r>
        <w:rPr>
          <w:rFonts w:ascii="Arial" w:cs="Arial" w:eastAsia="Arial" w:hAnsi="Arial"/>
          <w:sz w:val="18"/>
          <w:szCs w:val="18"/>
          <w:b w:val="1"/>
          <w:bCs w:val="1"/>
          <w:color w:val="auto"/>
        </w:rPr>
        <w:t>Dealer</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WHEREAS, Company issued $600,000,000 principal amount of 0.25% Convertible Senior Notes due 2024 (the “</w:t>
      </w:r>
      <w:r>
        <w:rPr>
          <w:rFonts w:ascii="Arial" w:cs="Arial" w:eastAsia="Arial" w:hAnsi="Arial"/>
          <w:sz w:val="18"/>
          <w:szCs w:val="18"/>
          <w:b w:val="1"/>
          <w:bCs w:val="1"/>
          <w:color w:val="auto"/>
        </w:rPr>
        <w:t>Convertible Notes</w:t>
      </w:r>
      <w:r>
        <w:rPr>
          <w:rFonts w:ascii="Arial" w:cs="Arial" w:eastAsia="Arial" w:hAnsi="Arial"/>
          <w:sz w:val="18"/>
          <w:szCs w:val="18"/>
          <w:color w:val="auto"/>
        </w:rPr>
        <w:t>”) pursuant to an Indenture dated as of June 14, 2019 between Company and Computershare Trust Company, N.A. (as successor to Wells Fargo Bank, National Association), as trustee;</w:t>
      </w:r>
    </w:p>
    <w:p>
      <w:pPr>
        <w:spacing w:after="0" w:line="18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WHEREAS, in connection with the issuance of the Convertible Notes, Company and Dealer entered into a Base Capped Call Transaction (the “</w:t>
      </w:r>
      <w:r>
        <w:rPr>
          <w:rFonts w:ascii="Arial" w:cs="Arial" w:eastAsia="Arial" w:hAnsi="Arial"/>
          <w:sz w:val="17"/>
          <w:szCs w:val="17"/>
          <w:b w:val="1"/>
          <w:bCs w:val="1"/>
          <w:color w:val="auto"/>
        </w:rPr>
        <w:t>Base Capped Call Transaction</w:t>
      </w:r>
      <w:r>
        <w:rPr>
          <w:rFonts w:ascii="Arial" w:cs="Arial" w:eastAsia="Arial" w:hAnsi="Arial"/>
          <w:sz w:val="17"/>
          <w:szCs w:val="17"/>
          <w:color w:val="auto"/>
        </w:rPr>
        <w:t>”) pursuant to an ISDA confirmation dated as of June 11, 2019, which supplements, forms a part of, and is subject to an agreement in the form of the 2002 ISDA Master Agreement, pursuant to which Company purchased from Dealer 600,000 call options (as amended, modified, terminated or unwound from time to time, the “</w:t>
      </w:r>
      <w:r>
        <w:rPr>
          <w:rFonts w:ascii="Arial" w:cs="Arial" w:eastAsia="Arial" w:hAnsi="Arial"/>
          <w:sz w:val="17"/>
          <w:szCs w:val="17"/>
          <w:b w:val="1"/>
          <w:bCs w:val="1"/>
          <w:color w:val="auto"/>
        </w:rPr>
        <w:t>Base Capped Call Confirmation</w:t>
      </w:r>
      <w:r>
        <w:rPr>
          <w:rFonts w:ascii="Arial" w:cs="Arial" w:eastAsia="Arial" w:hAnsi="Arial"/>
          <w:sz w:val="17"/>
          <w:szCs w:val="17"/>
          <w:color w:val="auto"/>
        </w:rPr>
        <w:t>”);</w:t>
      </w:r>
    </w:p>
    <w:p>
      <w:pPr>
        <w:spacing w:after="0" w:line="17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WHEREAS, in connection with the exercise of the over-allotment option by the initial purchasers of the Convertible Notes, Company and Dealer entered into an Additional Capped Call Transaction (the “</w:t>
      </w:r>
      <w:r>
        <w:rPr>
          <w:rFonts w:ascii="Arial" w:cs="Arial" w:eastAsia="Arial" w:hAnsi="Arial"/>
          <w:sz w:val="18"/>
          <w:szCs w:val="18"/>
          <w:b w:val="1"/>
          <w:bCs w:val="1"/>
          <w:color w:val="auto"/>
        </w:rPr>
        <w:t>Additional Capped Call Transaction</w:t>
      </w:r>
      <w:r>
        <w:rPr>
          <w:rFonts w:ascii="Arial" w:cs="Arial" w:eastAsia="Arial" w:hAnsi="Arial"/>
          <w:sz w:val="18"/>
          <w:szCs w:val="18"/>
          <w:color w:val="auto"/>
        </w:rPr>
        <w:t>” and, together with the Base Capped Call Transaction, the “</w:t>
      </w:r>
      <w:r>
        <w:rPr>
          <w:rFonts w:ascii="Arial" w:cs="Arial" w:eastAsia="Arial" w:hAnsi="Arial"/>
          <w:sz w:val="18"/>
          <w:szCs w:val="18"/>
          <w:b w:val="1"/>
          <w:bCs w:val="1"/>
          <w:color w:val="auto"/>
        </w:rPr>
        <w:t>Capped Call Transactions</w:t>
      </w:r>
      <w:r>
        <w:rPr>
          <w:rFonts w:ascii="Arial" w:cs="Arial" w:eastAsia="Arial" w:hAnsi="Arial"/>
          <w:sz w:val="18"/>
          <w:szCs w:val="18"/>
          <w:color w:val="auto"/>
        </w:rPr>
        <w:t>”) pursuant to an ISDA confirmation dated as of June 13, 2019, which supplements, forms a part of, and is subject to an agreement in the form of the 2002 ISDA Master Agreement, pursuant to which Company purchased from Dealer an additional 90,000 call options (as amended, modified, terminated or unwound from time to time, the “</w:t>
      </w:r>
      <w:r>
        <w:rPr>
          <w:rFonts w:ascii="Arial" w:cs="Arial" w:eastAsia="Arial" w:hAnsi="Arial"/>
          <w:sz w:val="18"/>
          <w:szCs w:val="18"/>
          <w:b w:val="1"/>
          <w:bCs w:val="1"/>
          <w:color w:val="auto"/>
        </w:rPr>
        <w:t>Additional Capped Call Confirmation</w:t>
      </w:r>
      <w:r>
        <w:rPr>
          <w:rFonts w:ascii="Arial" w:cs="Arial" w:eastAsia="Arial" w:hAnsi="Arial"/>
          <w:sz w:val="18"/>
          <w:szCs w:val="18"/>
          <w:color w:val="auto"/>
        </w:rPr>
        <w:t>” and, together with the Base Capped Call Confirmation,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in anticipation of the consummation of transactions contemplated by the previously announced Agreement and Plan of Merger, dated as of January 9, 2022 (as it may be amended or supplemented from time to time, the “Merger Agreement”), by and among the Company, Take-Two-Interactive Software, Inc., Zebra MS I, Inc., a wholly owned subsidiary of Take-Two , and Zebra MS II, Inc., a wholly owned subsidiary of Take-Two (“Merger Sub 2”), Company has requested termination of the Capped Call Transactions;</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NOW, THEREFORE, in consideration of their mutual covenants herein contained, the parties hereto, intending to be legally bound, hereby mutually covenant and agree as follows:</w:t>
      </w:r>
    </w:p>
    <w:p>
      <w:pPr>
        <w:spacing w:after="0" w:line="62" w:lineRule="exact"/>
        <w:rPr>
          <w:sz w:val="20"/>
          <w:szCs w:val="20"/>
          <w:color w:val="auto"/>
        </w:rPr>
      </w:pPr>
    </w:p>
    <w:p>
      <w:pPr>
        <w:ind w:right="920" w:firstLine="436"/>
        <w:spacing w:after="0" w:line="277" w:lineRule="auto"/>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Any capitalized term not otherwise defined herein shall have the meaning set forth for such term in the Capped Call Confirmations.</w:t>
      </w:r>
    </w:p>
    <w:p>
      <w:pPr>
        <w:spacing w:after="0" w:line="62" w:lineRule="exact"/>
        <w:rPr>
          <w:rFonts w:ascii="Arial" w:cs="Arial" w:eastAsia="Arial" w:hAnsi="Arial"/>
          <w:sz w:val="18"/>
          <w:szCs w:val="18"/>
          <w:color w:val="auto"/>
        </w:rPr>
      </w:pPr>
    </w:p>
    <w:p>
      <w:pPr>
        <w:ind w:right="60" w:firstLine="436"/>
        <w:spacing w:after="0" w:line="301" w:lineRule="auto"/>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anything to the contrary in the Capped Call Confirmations, Company and Dealer agree that, effective on the date hereof and following the termination contemplated hereby, the Number of Options remaining outstanding under the Base Capped Call Transaction shall be reduced to zero and the Number of Options remaining outstanding under the Additional Capped Call Transaction shall be reduced to zero , and in connection therewith Dealer shall be required to pay to Company the Cash Settlement Amount on the Payment Date pursuant to Sections 3 and 4 below.</w:t>
      </w:r>
    </w:p>
    <w:p>
      <w:pPr>
        <w:spacing w:after="0" w:line="49" w:lineRule="exact"/>
        <w:rPr>
          <w:rFonts w:ascii="Arial" w:cs="Arial" w:eastAsia="Arial" w:hAnsi="Arial"/>
          <w:sz w:val="16"/>
          <w:szCs w:val="16"/>
          <w:color w:val="auto"/>
        </w:rPr>
      </w:pPr>
    </w:p>
    <w:p>
      <w:pPr>
        <w:ind w:right="160" w:firstLine="436"/>
        <w:spacing w:after="0" w:line="301" w:lineRule="auto"/>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Payments and Deliveries</w:t>
      </w:r>
      <w:r>
        <w:rPr>
          <w:rFonts w:ascii="Arial" w:cs="Arial" w:eastAsia="Arial" w:hAnsi="Arial"/>
          <w:sz w:val="16"/>
          <w:szCs w:val="16"/>
          <w:color w:val="auto"/>
        </w:rPr>
        <w:t>. On the first Scheduled Trading Day following the final Averaging Date (as defined below) or, if such day is not a Clearance System Business Day, on the next Clearance System Business Day immediately following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Dealer shall pay to Company in immediately available funds cash in an amount equal to the Cash Settlement Amount. The “</w:t>
      </w:r>
      <w:r>
        <w:rPr>
          <w:rFonts w:ascii="Arial" w:cs="Arial" w:eastAsia="Arial" w:hAnsi="Arial"/>
          <w:sz w:val="16"/>
          <w:szCs w:val="16"/>
          <w:b w:val="1"/>
          <w:bCs w:val="1"/>
          <w:color w:val="auto"/>
        </w:rPr>
        <w:t>Cash Settlement Amount</w:t>
      </w:r>
      <w:r>
        <w:rPr>
          <w:rFonts w:ascii="Arial" w:cs="Arial" w:eastAsia="Arial" w:hAnsi="Arial"/>
          <w:sz w:val="16"/>
          <w:szCs w:val="16"/>
          <w:color w:val="auto"/>
        </w:rPr>
        <w:t>” shall mean an amount in US Dollars determined by Dealer using linear interpolation with reference to the table set forth in Schedule A attached hereto.</w:t>
      </w:r>
    </w:p>
    <w:p>
      <w:pPr>
        <w:sectPr>
          <w:pgSz w:w="11900" w:h="16838" w:orient="portrait"/>
          <w:cols w:equalWidth="0" w:num="1">
            <w:col w:w="11020"/>
          </w:cols>
          <w:pgMar w:left="440" w:top="121" w:right="439" w:bottom="1440" w:gutter="0" w:footer="0" w:header="0"/>
        </w:sectPr>
      </w:pPr>
    </w:p>
    <w:bookmarkStart w:id="124" w:name="page125"/>
    <w:bookmarkEnd w:id="124"/>
    <w:p>
      <w:pPr>
        <w:ind w:left="-436" w:firstLine="436"/>
        <w:spacing w:after="0" w:line="286" w:lineRule="auto"/>
        <w:tabs>
          <w:tab w:leader="none" w:pos="184"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Valuation</w:t>
      </w:r>
      <w:r>
        <w:rPr>
          <w:rFonts w:ascii="Arial" w:cs="Arial" w:eastAsia="Arial" w:hAnsi="Arial"/>
          <w:sz w:val="16"/>
          <w:szCs w:val="16"/>
          <w:color w:val="auto"/>
        </w:rPr>
        <w:t>. “</w:t>
      </w:r>
      <w:r>
        <w:rPr>
          <w:rFonts w:ascii="Arial" w:cs="Arial" w:eastAsia="Arial" w:hAnsi="Arial"/>
          <w:sz w:val="16"/>
          <w:szCs w:val="16"/>
          <w:b w:val="1"/>
          <w:bCs w:val="1"/>
          <w:color w:val="auto"/>
        </w:rPr>
        <w:t>Averaging Date</w:t>
      </w:r>
      <w:r>
        <w:rPr>
          <w:rFonts w:ascii="Arial" w:cs="Arial" w:eastAsia="Arial" w:hAnsi="Arial"/>
          <w:sz w:val="16"/>
          <w:szCs w:val="16"/>
          <w:color w:val="auto"/>
        </w:rPr>
        <w:t>” means June 27, 2022 and the four Scheduled Trading Days thereafter (the period of consecutive Scheduled Trading Days from and including June 27, 2022 through the final Averaging Date being collectively referred to as the “</w:t>
      </w:r>
      <w:r>
        <w:rPr>
          <w:rFonts w:ascii="Arial" w:cs="Arial" w:eastAsia="Arial" w:hAnsi="Arial"/>
          <w:sz w:val="16"/>
          <w:szCs w:val="16"/>
          <w:b w:val="1"/>
          <w:bCs w:val="1"/>
          <w:color w:val="auto"/>
        </w:rPr>
        <w:t>Termination 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date is a Disrupted Day in whole, such date shall not constitute an Averaging Date, and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Averaging Date shall occur on the Scheduled Trading Day after the date that would otherwise be the final Averaging Date. “</w:t>
      </w:r>
      <w:r>
        <w:rPr>
          <w:rFonts w:ascii="Arial" w:cs="Arial" w:eastAsia="Arial" w:hAnsi="Arial"/>
          <w:sz w:val="16"/>
          <w:szCs w:val="16"/>
          <w:b w:val="1"/>
          <w:bCs w:val="1"/>
          <w:color w:val="auto"/>
        </w:rPr>
        <w:t>Average VWAP</w:t>
      </w:r>
      <w:r>
        <w:rPr>
          <w:rFonts w:ascii="Arial" w:cs="Arial" w:eastAsia="Arial" w:hAnsi="Arial"/>
          <w:sz w:val="16"/>
          <w:szCs w:val="16"/>
          <w:color w:val="auto"/>
        </w:rPr>
        <w:t>” means the arithmetic average of the VWAP Prices for each Averaging Date during the Termination Valuation Period. “</w:t>
      </w:r>
      <w:r>
        <w:rPr>
          <w:rFonts w:ascii="Arial" w:cs="Arial" w:eastAsia="Arial" w:hAnsi="Arial"/>
          <w:sz w:val="16"/>
          <w:szCs w:val="16"/>
          <w:b w:val="1"/>
          <w:bCs w:val="1"/>
          <w:color w:val="auto"/>
        </w:rPr>
        <w:t>VWAP Price</w:t>
      </w:r>
      <w:r>
        <w:rPr>
          <w:rFonts w:ascii="Arial" w:cs="Arial" w:eastAsia="Arial" w:hAnsi="Arial"/>
          <w:sz w:val="16"/>
          <w:szCs w:val="16"/>
          <w:color w:val="auto"/>
        </w:rPr>
        <w:t>” for any Scheduled Trading Day means the per Share volume-weighted average price as displayed under the heading “Bloomberg VWAP” on Bloomberg page TTWO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in a good faith, commercially reasonable manner). Notwithstanding the foregoing, if (i) any Scheduled Trading Day in the Termination Valuation Period is a Disrupted Day in part or (ii) Dealer determines in its commercially reasonable judgment that on any Scheduled Trading Day during the Termination Valuation Period an extension of the Termination Valuation Period is reasonably necessary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internal policies and procedures, then the VWAP Price for such Scheduled Trading Day(s) shall be the volume-weighted average price per Share on such Scheduled Trading Day on the Exchange for such time period, as determined by Dealer in a commercially reasonable manner and the Cash Settlement Amount shall be adjusted by Dealer in its good faith, commercially reasonable discretion to account for such disruption and/or extension.</w:t>
      </w:r>
    </w:p>
    <w:p>
      <w:pPr>
        <w:spacing w:after="0" w:line="60" w:lineRule="exact"/>
        <w:rPr>
          <w:rFonts w:ascii="Arial" w:cs="Arial" w:eastAsia="Arial" w:hAnsi="Arial"/>
          <w:sz w:val="16"/>
          <w:szCs w:val="16"/>
          <w:color w:val="auto"/>
        </w:rPr>
      </w:pPr>
    </w:p>
    <w:p>
      <w:pPr>
        <w:ind w:left="184" w:hanging="184"/>
        <w:spacing w:after="0"/>
        <w:tabs>
          <w:tab w:leader="none" w:pos="18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and warrants to Dealer on the date hereof that:</w:t>
      </w:r>
    </w:p>
    <w:p>
      <w:pPr>
        <w:spacing w:after="0" w:line="117" w:lineRule="exact"/>
        <w:rPr>
          <w:rFonts w:ascii="Arial" w:cs="Arial" w:eastAsia="Arial" w:hAnsi="Arial"/>
          <w:sz w:val="18"/>
          <w:szCs w:val="18"/>
          <w:color w:val="auto"/>
        </w:rPr>
      </w:pPr>
    </w:p>
    <w:p>
      <w:pPr>
        <w:ind w:left="-436" w:right="40" w:firstLine="987"/>
        <w:spacing w:after="0" w:line="263" w:lineRule="auto"/>
        <w:tabs>
          <w:tab w:leader="none" w:pos="8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75" w:lineRule="exact"/>
        <w:rPr>
          <w:rFonts w:ascii="Arial" w:cs="Arial" w:eastAsia="Arial" w:hAnsi="Arial"/>
          <w:sz w:val="18"/>
          <w:szCs w:val="18"/>
          <w:color w:val="auto"/>
        </w:rPr>
      </w:pPr>
    </w:p>
    <w:p>
      <w:pPr>
        <w:ind w:left="-436" w:right="120" w:firstLine="987"/>
        <w:spacing w:after="0" w:line="263" w:lineRule="auto"/>
        <w:tabs>
          <w:tab w:leader="none" w:pos="81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36" w:right="260" w:firstLine="987"/>
        <w:spacing w:after="0" w:line="277" w:lineRule="auto"/>
        <w:tabs>
          <w:tab w:leader="none" w:pos="8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62" w:lineRule="exact"/>
        <w:rPr>
          <w:rFonts w:ascii="Arial" w:cs="Arial" w:eastAsia="Arial" w:hAnsi="Arial"/>
          <w:sz w:val="18"/>
          <w:szCs w:val="18"/>
          <w:color w:val="auto"/>
        </w:rPr>
      </w:pPr>
    </w:p>
    <w:p>
      <w:pPr>
        <w:ind w:left="-436" w:right="120" w:firstLine="987"/>
        <w:spacing w:after="0" w:line="311" w:lineRule="auto"/>
        <w:tabs>
          <w:tab w:leader="none" w:pos="81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804" w:hanging="253"/>
        <w:spacing w:after="0"/>
        <w:tabs>
          <w:tab w:leader="none" w:pos="80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of it and its Affiliates is not in possession of any material nonpublic information regarding Company or the Shares;</w:t>
      </w:r>
    </w:p>
    <w:p>
      <w:pPr>
        <w:spacing w:after="0" w:line="117" w:lineRule="exact"/>
        <w:rPr>
          <w:rFonts w:ascii="Arial" w:cs="Arial" w:eastAsia="Arial" w:hAnsi="Arial"/>
          <w:sz w:val="18"/>
          <w:szCs w:val="18"/>
          <w:color w:val="auto"/>
        </w:rPr>
      </w:pPr>
    </w:p>
    <w:p>
      <w:pPr>
        <w:ind w:left="-436" w:right="20" w:firstLine="987"/>
        <w:spacing w:after="0" w:line="263" w:lineRule="auto"/>
        <w:tabs>
          <w:tab w:leader="none" w:pos="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it is not entering into this Agreement or purchasing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w:t>
      </w:r>
    </w:p>
    <w:p>
      <w:pPr>
        <w:spacing w:after="0" w:line="75" w:lineRule="exact"/>
        <w:rPr>
          <w:rFonts w:ascii="Arial" w:cs="Arial" w:eastAsia="Arial" w:hAnsi="Arial"/>
          <w:sz w:val="18"/>
          <w:szCs w:val="18"/>
          <w:color w:val="auto"/>
        </w:rPr>
      </w:pPr>
    </w:p>
    <w:p>
      <w:pPr>
        <w:ind w:left="-436" w:right="260" w:firstLine="987"/>
        <w:spacing w:after="0" w:line="277" w:lineRule="auto"/>
        <w:tabs>
          <w:tab w:leader="none" w:pos="81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it is not “insolvent” (as such term is defined under Section 101(32) of the U.S. Bankruptcy Code Title 11 of the United States Code) (the “Bankruptcy Code”)); and</w:t>
      </w:r>
    </w:p>
    <w:p>
      <w:pPr>
        <w:spacing w:after="0" w:line="62" w:lineRule="exact"/>
        <w:rPr>
          <w:rFonts w:ascii="Arial" w:cs="Arial" w:eastAsia="Arial" w:hAnsi="Arial"/>
          <w:sz w:val="18"/>
          <w:szCs w:val="18"/>
          <w:color w:val="auto"/>
        </w:rPr>
      </w:pPr>
    </w:p>
    <w:p>
      <w:pPr>
        <w:jc w:val="both"/>
        <w:ind w:left="-436" w:right="500" w:firstLine="987"/>
        <w:spacing w:after="0" w:line="311" w:lineRule="auto"/>
        <w:tabs>
          <w:tab w:leader="none" w:pos="81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it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81" w:lineRule="exact"/>
        <w:rPr>
          <w:rFonts w:ascii="Arial" w:cs="Arial" w:eastAsia="Arial" w:hAnsi="Arial"/>
          <w:sz w:val="16"/>
          <w:szCs w:val="16"/>
          <w:color w:val="auto"/>
        </w:rPr>
      </w:pPr>
    </w:p>
    <w:p>
      <w:pPr>
        <w:ind w:left="5024" w:hanging="106"/>
        <w:spacing w:after="0"/>
        <w:tabs>
          <w:tab w:leader="none" w:pos="5024" w:val="left"/>
        </w:tabs>
        <w:numPr>
          <w:ilvl w:val="2"/>
          <w:numId w:val="13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64"/>
          </w:cols>
          <w:pgMar w:left="876" w:top="270" w:right="459" w:bottom="1440" w:gutter="0" w:footer="0" w:header="0"/>
        </w:sectPr>
      </w:pPr>
    </w:p>
    <w:bookmarkStart w:id="125" w:name="page126"/>
    <w:bookmarkEnd w:id="125"/>
    <w:p>
      <w:pPr>
        <w:ind w:left="184" w:hanging="184"/>
        <w:spacing w:after="0"/>
        <w:tabs>
          <w:tab w:leader="none" w:pos="18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Dealer</w:t>
      </w:r>
      <w:r>
        <w:rPr>
          <w:rFonts w:ascii="Arial" w:cs="Arial" w:eastAsia="Arial" w:hAnsi="Arial"/>
          <w:sz w:val="18"/>
          <w:szCs w:val="18"/>
          <w:color w:val="auto"/>
        </w:rPr>
        <w:t>. Dealer represents and warrants to Company on the date hereof that:</w:t>
      </w:r>
    </w:p>
    <w:p>
      <w:pPr>
        <w:spacing w:after="0" w:line="117" w:lineRule="exact"/>
        <w:rPr>
          <w:rFonts w:ascii="Arial" w:cs="Arial" w:eastAsia="Arial" w:hAnsi="Arial"/>
          <w:sz w:val="18"/>
          <w:szCs w:val="18"/>
          <w:color w:val="auto"/>
        </w:rPr>
      </w:pPr>
    </w:p>
    <w:p>
      <w:pPr>
        <w:ind w:left="-436" w:right="60" w:firstLine="987"/>
        <w:spacing w:after="0" w:line="263" w:lineRule="auto"/>
        <w:tabs>
          <w:tab w:leader="none" w:pos="8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75" w:lineRule="exact"/>
        <w:rPr>
          <w:rFonts w:ascii="Arial" w:cs="Arial" w:eastAsia="Arial" w:hAnsi="Arial"/>
          <w:sz w:val="18"/>
          <w:szCs w:val="18"/>
          <w:color w:val="auto"/>
        </w:rPr>
      </w:pPr>
    </w:p>
    <w:p>
      <w:pPr>
        <w:ind w:left="-436" w:right="120" w:firstLine="987"/>
        <w:spacing w:after="0" w:line="263" w:lineRule="auto"/>
        <w:tabs>
          <w:tab w:leader="none" w:pos="81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36" w:right="260" w:firstLine="987"/>
        <w:spacing w:after="0" w:line="277" w:lineRule="auto"/>
        <w:tabs>
          <w:tab w:leader="none" w:pos="8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62" w:lineRule="exact"/>
        <w:rPr>
          <w:rFonts w:ascii="Arial" w:cs="Arial" w:eastAsia="Arial" w:hAnsi="Arial"/>
          <w:sz w:val="18"/>
          <w:szCs w:val="18"/>
          <w:color w:val="auto"/>
        </w:rPr>
      </w:pPr>
    </w:p>
    <w:p>
      <w:pPr>
        <w:ind w:left="-436" w:right="120" w:firstLine="987"/>
        <w:spacing w:after="0" w:line="311" w:lineRule="auto"/>
        <w:tabs>
          <w:tab w:leader="none" w:pos="81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436" w:right="100" w:firstLine="436"/>
        <w:spacing w:after="0" w:line="273" w:lineRule="auto"/>
        <w:tabs>
          <w:tab w:leader="none" w:pos="184"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Additional Acknowledgements and Agreements</w:t>
      </w:r>
      <w:r>
        <w:rPr>
          <w:rFonts w:ascii="Arial" w:cs="Arial" w:eastAsia="Arial" w:hAnsi="Arial"/>
          <w:sz w:val="17"/>
          <w:szCs w:val="17"/>
          <w:color w:val="auto"/>
        </w:rPr>
        <w:t>. Company acknowledges and agrees that (A) Company does not have, and shall not attempt to exercise, any influence over how, when or whether Dealer effects any hedge unwind activity in connection with this Agreement, (B) prior to the Payment Date, neither Company nor its officers or employees shall, directly or indirectly, communicate any information regarding Company or the Shares to any employee of Dealer or its affiliates responsible for trading the Shares in connection with the transactions contemplated hereby and identified to Company and (C) Company is entering into this Agreement in good faith and not as part of a plan or scheme to evade compliance with federal securities laws including, without limitation, Rule 10b-5 promulgated under the Exchange Act.</w:t>
      </w:r>
    </w:p>
    <w:p>
      <w:pPr>
        <w:spacing w:after="0" w:line="69" w:lineRule="exact"/>
        <w:rPr>
          <w:rFonts w:ascii="Arial" w:cs="Arial" w:eastAsia="Arial" w:hAnsi="Arial"/>
          <w:sz w:val="17"/>
          <w:szCs w:val="17"/>
          <w:color w:val="auto"/>
        </w:rPr>
      </w:pPr>
    </w:p>
    <w:p>
      <w:pPr>
        <w:ind w:left="-436" w:firstLine="436"/>
        <w:spacing w:after="0" w:line="254" w:lineRule="auto"/>
        <w:tabs>
          <w:tab w:leader="none" w:pos="18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Agreements and Acknowledgements Regarding Hedging</w:t>
      </w:r>
      <w:r>
        <w:rPr>
          <w:rFonts w:ascii="Arial" w:cs="Arial" w:eastAsia="Arial" w:hAnsi="Arial"/>
          <w:sz w:val="18"/>
          <w:szCs w:val="18"/>
          <w:color w:val="auto"/>
        </w:rPr>
        <w:t>. Company understands, acknowledges and agrees that: (A) Dealer and its affiliates may buy or sell Shares or other securities or buy or sell options or futures contracts or enter into or unwind swaps or other derivative securities for its own account in connection with the termination of the Capped Call Transactions; (B) Dealer and its affiliates also may be active in the market for Shares other than in connection with hedging activities in relation to the termination of the Capped Call Transactions; (C) Dealer shall make its own determination as to whether, when or in what manner any hedging or market activities in securities of Company shall be conducted and shall do so in a manner that it deems appropriate to hedge its price and market risk with respect to the payment required under this Agreement; and (D) any market activities of Dealer and its affiliates with respect to Shares may affect the market price and volatility of Shares, each in a manner that may be adverse to Company.</w:t>
      </w:r>
    </w:p>
    <w:p>
      <w:pPr>
        <w:spacing w:after="0" w:line="83" w:lineRule="exact"/>
        <w:rPr>
          <w:rFonts w:ascii="Arial" w:cs="Arial" w:eastAsia="Arial" w:hAnsi="Arial"/>
          <w:sz w:val="18"/>
          <w:szCs w:val="18"/>
          <w:color w:val="auto"/>
        </w:rPr>
      </w:pPr>
    </w:p>
    <w:p>
      <w:pPr>
        <w:ind w:left="184" w:hanging="184"/>
        <w:spacing w:after="0"/>
        <w:tabs>
          <w:tab w:leader="none" w:pos="18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Account for Payment to Company</w:t>
      </w:r>
      <w:r>
        <w:rPr>
          <w:rFonts w:ascii="Arial" w:cs="Arial" w:eastAsia="Arial" w:hAnsi="Arial"/>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ABA Routing: 021000021</w:t>
      </w:r>
    </w:p>
    <w:p>
      <w:pPr>
        <w:spacing w:after="0" w:line="9"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Account No.: 156330700</w:t>
      </w:r>
    </w:p>
    <w:p>
      <w:pPr>
        <w:spacing w:after="0" w:line="9"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Account Name: Take-Two Interactive Software, Inc.</w:t>
      </w:r>
    </w:p>
    <w:p>
      <w:pPr>
        <w:spacing w:after="0" w:line="103" w:lineRule="exact"/>
        <w:rPr>
          <w:sz w:val="20"/>
          <w:szCs w:val="20"/>
          <w:color w:val="auto"/>
        </w:rPr>
      </w:pPr>
    </w:p>
    <w:p>
      <w:pPr>
        <w:ind w:left="-436" w:right="340" w:firstLine="436"/>
        <w:spacing w:after="0" w:line="277" w:lineRule="auto"/>
        <w:tabs>
          <w:tab w:leader="none" w:pos="27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hereunder shall be governed by and construed in accordance with the laws of the State of New York (without reference to choice of law doctrine).</w:t>
      </w:r>
    </w:p>
    <w:p>
      <w:pPr>
        <w:spacing w:after="0" w:line="62" w:lineRule="exact"/>
        <w:rPr>
          <w:rFonts w:ascii="Arial" w:cs="Arial" w:eastAsia="Arial" w:hAnsi="Arial"/>
          <w:sz w:val="18"/>
          <w:szCs w:val="18"/>
          <w:color w:val="auto"/>
        </w:rPr>
      </w:pPr>
    </w:p>
    <w:p>
      <w:pPr>
        <w:ind w:left="-436" w:firstLine="436"/>
        <w:spacing w:after="0" w:line="277" w:lineRule="auto"/>
        <w:tabs>
          <w:tab w:leader="none" w:pos="267"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all of the signatures thereto and hereto were upon the same instrument.</w:t>
      </w:r>
    </w:p>
    <w:p>
      <w:pPr>
        <w:spacing w:after="0" w:line="102" w:lineRule="exact"/>
        <w:rPr>
          <w:rFonts w:ascii="Arial" w:cs="Arial" w:eastAsia="Arial" w:hAnsi="Arial"/>
          <w:sz w:val="18"/>
          <w:szCs w:val="18"/>
          <w:color w:val="auto"/>
        </w:rPr>
      </w:pPr>
    </w:p>
    <w:p>
      <w:pPr>
        <w:ind w:left="5024" w:hanging="106"/>
        <w:spacing w:after="0"/>
        <w:tabs>
          <w:tab w:leader="none" w:pos="502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64"/>
          </w:cols>
          <w:pgMar w:left="876" w:top="274" w:right="459" w:bottom="1440" w:gutter="0" w:footer="0" w:header="0"/>
        </w:sectPr>
      </w:pPr>
    </w:p>
    <w:bookmarkStart w:id="126" w:name="page127"/>
    <w:bookmarkEnd w:id="126"/>
    <w:p>
      <w:pPr>
        <w:ind w:left="-40" w:firstLine="436"/>
        <w:spacing w:after="0" w:line="263" w:lineRule="auto"/>
        <w:tabs>
          <w:tab w:leader="none" w:pos="67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Reliance, etc</w:t>
      </w:r>
      <w:r>
        <w:rPr>
          <w:rFonts w:ascii="Arial" w:cs="Arial" w:eastAsia="Arial" w:hAnsi="Arial"/>
          <w:sz w:val="18"/>
          <w:szCs w:val="18"/>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480" w:top="274" w:right="47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Mike Voris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Mike Voris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Partner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Gerard Griffin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ZYNGA INC. and MORGAN STANLEY &amp; CO. LLC</w:t>
      </w:r>
    </w:p>
    <w:p>
      <w:pPr>
        <w:spacing w:after="0" w:line="20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respect to the Capped Call Confirmations (as defined below) is made as of May 20, 2022, between Zynga Inc. (“</w:t>
      </w:r>
      <w:r>
        <w:rPr>
          <w:rFonts w:ascii="Arial" w:cs="Arial" w:eastAsia="Arial" w:hAnsi="Arial"/>
          <w:sz w:val="18"/>
          <w:szCs w:val="18"/>
          <w:b w:val="1"/>
          <w:bCs w:val="1"/>
          <w:color w:val="auto"/>
        </w:rPr>
        <w:t>Company</w:t>
      </w:r>
      <w:r>
        <w:rPr>
          <w:rFonts w:ascii="Arial" w:cs="Arial" w:eastAsia="Arial" w:hAnsi="Arial"/>
          <w:sz w:val="18"/>
          <w:szCs w:val="18"/>
          <w:color w:val="auto"/>
        </w:rPr>
        <w:t>”) and Morgan Stanley &amp; Co. LLC (“</w:t>
      </w:r>
      <w:r>
        <w:rPr>
          <w:rFonts w:ascii="Arial" w:cs="Arial" w:eastAsia="Arial" w:hAnsi="Arial"/>
          <w:sz w:val="18"/>
          <w:szCs w:val="18"/>
          <w:b w:val="1"/>
          <w:bCs w:val="1"/>
          <w:color w:val="auto"/>
        </w:rPr>
        <w:t>Dealer</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WHEREAS, Company issued $600,000,000 principal amount of 0.25% Convertible Senior Notes due 2024 (the “</w:t>
      </w:r>
      <w:r>
        <w:rPr>
          <w:rFonts w:ascii="Arial" w:cs="Arial" w:eastAsia="Arial" w:hAnsi="Arial"/>
          <w:sz w:val="18"/>
          <w:szCs w:val="18"/>
          <w:b w:val="1"/>
          <w:bCs w:val="1"/>
          <w:color w:val="auto"/>
        </w:rPr>
        <w:t>Convertible Notes</w:t>
      </w:r>
      <w:r>
        <w:rPr>
          <w:rFonts w:ascii="Arial" w:cs="Arial" w:eastAsia="Arial" w:hAnsi="Arial"/>
          <w:sz w:val="18"/>
          <w:szCs w:val="18"/>
          <w:color w:val="auto"/>
        </w:rPr>
        <w:t>”) pursuant to an Indenture dated as of June 14, 2019 between Company and Computershare Trust Company, N.A. (as successor to Wells Fargo Bank, National Association), as trustee;</w:t>
      </w:r>
    </w:p>
    <w:p>
      <w:pPr>
        <w:spacing w:after="0" w:line="18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WHEREAS, in connection with the issuance of the Convertible Notes, Company and Dealer entered into a Base Capped Call Transaction (the “</w:t>
      </w:r>
      <w:r>
        <w:rPr>
          <w:rFonts w:ascii="Arial" w:cs="Arial" w:eastAsia="Arial" w:hAnsi="Arial"/>
          <w:sz w:val="17"/>
          <w:szCs w:val="17"/>
          <w:b w:val="1"/>
          <w:bCs w:val="1"/>
          <w:color w:val="auto"/>
        </w:rPr>
        <w:t>Base Capped Call Transaction</w:t>
      </w:r>
      <w:r>
        <w:rPr>
          <w:rFonts w:ascii="Arial" w:cs="Arial" w:eastAsia="Arial" w:hAnsi="Arial"/>
          <w:sz w:val="17"/>
          <w:szCs w:val="17"/>
          <w:color w:val="auto"/>
        </w:rPr>
        <w:t>”) pursuant to an ISDA confirmation dated as of June 11, 2019, which supplements, forms a part of, and is subject to an agreement in the form of the 2002 ISDA Master Agreement, pursuant to which Company purchased from Dealer 600,000 call options (as amended, modified, terminated or unwound from time to time, the “</w:t>
      </w:r>
      <w:r>
        <w:rPr>
          <w:rFonts w:ascii="Arial" w:cs="Arial" w:eastAsia="Arial" w:hAnsi="Arial"/>
          <w:sz w:val="17"/>
          <w:szCs w:val="17"/>
          <w:b w:val="1"/>
          <w:bCs w:val="1"/>
          <w:color w:val="auto"/>
        </w:rPr>
        <w:t>Base Capped Call Confirmation</w:t>
      </w:r>
      <w:r>
        <w:rPr>
          <w:rFonts w:ascii="Arial" w:cs="Arial" w:eastAsia="Arial" w:hAnsi="Arial"/>
          <w:sz w:val="17"/>
          <w:szCs w:val="17"/>
          <w:color w:val="auto"/>
        </w:rPr>
        <w:t>”);</w:t>
      </w:r>
    </w:p>
    <w:p>
      <w:pPr>
        <w:spacing w:after="0" w:line="17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WHEREAS, in connection with the exercise of the over-allotment option by the initial purchasers of the Convertible Notes, Company and Dealer entered into an Additional Capped Call Transaction (the “</w:t>
      </w:r>
      <w:r>
        <w:rPr>
          <w:rFonts w:ascii="Arial" w:cs="Arial" w:eastAsia="Arial" w:hAnsi="Arial"/>
          <w:sz w:val="18"/>
          <w:szCs w:val="18"/>
          <w:b w:val="1"/>
          <w:bCs w:val="1"/>
          <w:color w:val="auto"/>
        </w:rPr>
        <w:t>Additional Capped Call Transaction</w:t>
      </w:r>
      <w:r>
        <w:rPr>
          <w:rFonts w:ascii="Arial" w:cs="Arial" w:eastAsia="Arial" w:hAnsi="Arial"/>
          <w:sz w:val="18"/>
          <w:szCs w:val="18"/>
          <w:color w:val="auto"/>
        </w:rPr>
        <w:t>” and, together with the Base Capped Call Transaction, the “</w:t>
      </w:r>
      <w:r>
        <w:rPr>
          <w:rFonts w:ascii="Arial" w:cs="Arial" w:eastAsia="Arial" w:hAnsi="Arial"/>
          <w:sz w:val="18"/>
          <w:szCs w:val="18"/>
          <w:b w:val="1"/>
          <w:bCs w:val="1"/>
          <w:color w:val="auto"/>
        </w:rPr>
        <w:t>Capped Call Transactions</w:t>
      </w:r>
      <w:r>
        <w:rPr>
          <w:rFonts w:ascii="Arial" w:cs="Arial" w:eastAsia="Arial" w:hAnsi="Arial"/>
          <w:sz w:val="18"/>
          <w:szCs w:val="18"/>
          <w:color w:val="auto"/>
        </w:rPr>
        <w:t>”) pursuant to an ISDA confirmation dated as of June 13, 2019, which supplements, forms a part of, and is subject to an agreement in the form of the 2002 ISDA Master Agreement, pursuant to which Company purchased from Dealer an additional 90,000 call options (as amended, modified, terminated or unwound from time to time, the “</w:t>
      </w:r>
      <w:r>
        <w:rPr>
          <w:rFonts w:ascii="Arial" w:cs="Arial" w:eastAsia="Arial" w:hAnsi="Arial"/>
          <w:sz w:val="18"/>
          <w:szCs w:val="18"/>
          <w:b w:val="1"/>
          <w:bCs w:val="1"/>
          <w:color w:val="auto"/>
        </w:rPr>
        <w:t>Additional Capped Call Confirmation</w:t>
      </w:r>
      <w:r>
        <w:rPr>
          <w:rFonts w:ascii="Arial" w:cs="Arial" w:eastAsia="Arial" w:hAnsi="Arial"/>
          <w:sz w:val="18"/>
          <w:szCs w:val="18"/>
          <w:color w:val="auto"/>
        </w:rPr>
        <w:t>” and, together with the Base Capped Call Confirmation,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in anticipation of the consummation of transactions contemplated by the previously announced Agreement and Plan of Merger, dated as of January 9, 2022 (as it may be amended or supplemented from time to time, the “Merger Agreement”), by and among the Company, Take-Two-Interactive Software, Inc., Zebra MS I, Inc., a wholly owned subsidiary of Take-Two , and Zebra MS II, Inc., a wholly owned subsidiary of Take-Two (“Merger Sub 2”), Company has requested termination of the Capped Call Transactions;</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NOW, THEREFORE, in consideration of their mutual covenants herein contained, the parties hereto, intending to be legally bound, hereby mutually covenant and agree as follows:</w:t>
      </w:r>
    </w:p>
    <w:p>
      <w:pPr>
        <w:spacing w:after="0" w:line="62" w:lineRule="exact"/>
        <w:rPr>
          <w:sz w:val="20"/>
          <w:szCs w:val="20"/>
          <w:color w:val="auto"/>
        </w:rPr>
      </w:pPr>
    </w:p>
    <w:p>
      <w:pPr>
        <w:ind w:right="920" w:firstLine="436"/>
        <w:spacing w:after="0" w:line="277" w:lineRule="auto"/>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Any capitalized term not otherwise defined herein shall have the meaning set forth for such term in the Capped Call Confirmations.</w:t>
      </w:r>
    </w:p>
    <w:p>
      <w:pPr>
        <w:spacing w:after="0" w:line="62" w:lineRule="exact"/>
        <w:rPr>
          <w:rFonts w:ascii="Arial" w:cs="Arial" w:eastAsia="Arial" w:hAnsi="Arial"/>
          <w:sz w:val="18"/>
          <w:szCs w:val="18"/>
          <w:color w:val="auto"/>
        </w:rPr>
      </w:pPr>
    </w:p>
    <w:p>
      <w:pPr>
        <w:ind w:right="20" w:firstLine="436"/>
        <w:spacing w:after="0" w:line="257" w:lineRule="auto"/>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Notwithstanding anything to the contrary in the Capped Call Confirmations, Company and Dealer agree that, effective on payment by Dealer to Company of the Cash Settlement Amount, each Capped Call Transaction under each Capped Call Confirmation, and the respective rights and obligations of each party hereto thereunder, shall be terminated, cancelled and extinguished and deemed to have been satisfied and discharged in full, and no other payments or deliveries shall be due to or from Dealer or Company pursuant to the terms of any Capped Call Transaction under any Capped Call Confirmation.</w:t>
      </w:r>
    </w:p>
    <w:p>
      <w:pPr>
        <w:spacing w:after="0" w:line="79" w:lineRule="exact"/>
        <w:rPr>
          <w:rFonts w:ascii="Arial" w:cs="Arial" w:eastAsia="Arial" w:hAnsi="Arial"/>
          <w:sz w:val="18"/>
          <w:szCs w:val="18"/>
          <w:color w:val="auto"/>
        </w:rPr>
      </w:pPr>
    </w:p>
    <w:p>
      <w:pPr>
        <w:ind w:right="160" w:firstLine="436"/>
        <w:spacing w:after="0" w:line="301" w:lineRule="auto"/>
        <w:tabs>
          <w:tab w:leader="none" w:pos="6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Payments and Deliveries</w:t>
      </w:r>
      <w:r>
        <w:rPr>
          <w:rFonts w:ascii="Arial" w:cs="Arial" w:eastAsia="Arial" w:hAnsi="Arial"/>
          <w:sz w:val="16"/>
          <w:szCs w:val="16"/>
          <w:color w:val="auto"/>
        </w:rPr>
        <w:t>. On the first Scheduled Trading Day following the final Averaging Date (as defined below) or, if such day is not a Clearance System Business Day, on the next Clearance System Business Day immediately following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Dealer shall pay to Company in immediately available funds cash in an amount equal to the Cash Settlement Amount. The “</w:t>
      </w:r>
      <w:r>
        <w:rPr>
          <w:rFonts w:ascii="Arial" w:cs="Arial" w:eastAsia="Arial" w:hAnsi="Arial"/>
          <w:sz w:val="16"/>
          <w:szCs w:val="16"/>
          <w:b w:val="1"/>
          <w:bCs w:val="1"/>
          <w:color w:val="auto"/>
        </w:rPr>
        <w:t>Cash Settlement Amount</w:t>
      </w:r>
      <w:r>
        <w:rPr>
          <w:rFonts w:ascii="Arial" w:cs="Arial" w:eastAsia="Arial" w:hAnsi="Arial"/>
          <w:sz w:val="16"/>
          <w:szCs w:val="16"/>
          <w:color w:val="auto"/>
        </w:rPr>
        <w:t>” shall mean an amount in US Dollars determined by Dealer using linear interpolation with reference to the table set forth in Schedule A attached hereto.</w:t>
      </w:r>
    </w:p>
    <w:p>
      <w:pPr>
        <w:sectPr>
          <w:pgSz w:w="11900" w:h="16838" w:orient="portrait"/>
          <w:cols w:equalWidth="0" w:num="1">
            <w:col w:w="11020"/>
          </w:cols>
          <w:pgMar w:left="440" w:top="121" w:right="439" w:bottom="1440" w:gutter="0" w:footer="0" w:header="0"/>
        </w:sectPr>
      </w:pPr>
    </w:p>
    <w:bookmarkStart w:id="129" w:name="page130"/>
    <w:bookmarkEnd w:id="129"/>
    <w:p>
      <w:pPr>
        <w:ind w:left="-436" w:firstLine="436"/>
        <w:spacing w:after="0" w:line="286" w:lineRule="auto"/>
        <w:tabs>
          <w:tab w:leader="none" w:pos="184"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Valuation</w:t>
      </w:r>
      <w:r>
        <w:rPr>
          <w:rFonts w:ascii="Arial" w:cs="Arial" w:eastAsia="Arial" w:hAnsi="Arial"/>
          <w:sz w:val="16"/>
          <w:szCs w:val="16"/>
          <w:color w:val="auto"/>
        </w:rPr>
        <w:t>. “</w:t>
      </w:r>
      <w:r>
        <w:rPr>
          <w:rFonts w:ascii="Arial" w:cs="Arial" w:eastAsia="Arial" w:hAnsi="Arial"/>
          <w:sz w:val="16"/>
          <w:szCs w:val="16"/>
          <w:b w:val="1"/>
          <w:bCs w:val="1"/>
          <w:color w:val="auto"/>
        </w:rPr>
        <w:t>Averaging Date</w:t>
      </w:r>
      <w:r>
        <w:rPr>
          <w:rFonts w:ascii="Arial" w:cs="Arial" w:eastAsia="Arial" w:hAnsi="Arial"/>
          <w:sz w:val="16"/>
          <w:szCs w:val="16"/>
          <w:color w:val="auto"/>
        </w:rPr>
        <w:t>” means June 27, 2022 and the four Scheduled Trading Days thereafter (the period of consecutive Scheduled Trading Days from and including June 27, 2022 through the final Averaging Date being collectively referred to as the “</w:t>
      </w:r>
      <w:r>
        <w:rPr>
          <w:rFonts w:ascii="Arial" w:cs="Arial" w:eastAsia="Arial" w:hAnsi="Arial"/>
          <w:sz w:val="16"/>
          <w:szCs w:val="16"/>
          <w:b w:val="1"/>
          <w:bCs w:val="1"/>
          <w:color w:val="auto"/>
        </w:rPr>
        <w:t>Termination 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date is a Disrupted Day in whole, such date shall not constitute an Averaging Date, and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Averaging Date shall occur on the Scheduled Trading Day after the date that would otherwise be the final Averaging Date. “</w:t>
      </w:r>
      <w:r>
        <w:rPr>
          <w:rFonts w:ascii="Arial" w:cs="Arial" w:eastAsia="Arial" w:hAnsi="Arial"/>
          <w:sz w:val="16"/>
          <w:szCs w:val="16"/>
          <w:b w:val="1"/>
          <w:bCs w:val="1"/>
          <w:color w:val="auto"/>
        </w:rPr>
        <w:t>Average VWAP</w:t>
      </w:r>
      <w:r>
        <w:rPr>
          <w:rFonts w:ascii="Arial" w:cs="Arial" w:eastAsia="Arial" w:hAnsi="Arial"/>
          <w:sz w:val="16"/>
          <w:szCs w:val="16"/>
          <w:color w:val="auto"/>
        </w:rPr>
        <w:t>” means the arithmetic average of the VWAP Prices for each Averaging Date during the Termination Valuation Period. “</w:t>
      </w:r>
      <w:r>
        <w:rPr>
          <w:rFonts w:ascii="Arial" w:cs="Arial" w:eastAsia="Arial" w:hAnsi="Arial"/>
          <w:sz w:val="16"/>
          <w:szCs w:val="16"/>
          <w:b w:val="1"/>
          <w:bCs w:val="1"/>
          <w:color w:val="auto"/>
        </w:rPr>
        <w:t>VWAP Price</w:t>
      </w:r>
      <w:r>
        <w:rPr>
          <w:rFonts w:ascii="Arial" w:cs="Arial" w:eastAsia="Arial" w:hAnsi="Arial"/>
          <w:sz w:val="16"/>
          <w:szCs w:val="16"/>
          <w:color w:val="auto"/>
        </w:rPr>
        <w:t>” for any Scheduled Trading Day means the per Share volume-weighted average price as displayed under the heading “Bloomberg VWAP” on Bloomberg page TTWO &lt;equity&gt; AQR (or any successor thereto), observed at 4:15pm (New York City time) in respect of the period from 9:30 am to 4:00 pm (New York City time) on such Scheduled Trading Day (or if such volume-weighted average price is unavailable, the market value of one Share on such Scheduled Trading Day for such time period, as determined by Dealer in a good faith, commercially reasonable manner). Notwithstanding the foregoing, if (i) any Scheduled Trading Day in the Termination Valuation Period is a Disrupted Day in part or (ii) Dealer determines in its commercially reasonable judgment that on any Scheduled Trading Day during the Termination Valuation Period an extension of the Termination Valuation Period is reasonably necessary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internal policies and procedures, then the VWAP Price for such Scheduled Trading Day(s) shall be the volume-weighted average price per Share on such Scheduled Trading Day on the Exchange for such time period, as determined by Dealer in a commercially reasonable manner and the Cash Settlement Amount shall be adjusted by Dealer in its good faith, commercially reasonable discretion to account for such disruption and/or extension.</w:t>
      </w:r>
    </w:p>
    <w:p>
      <w:pPr>
        <w:spacing w:after="0" w:line="60" w:lineRule="exact"/>
        <w:rPr>
          <w:rFonts w:ascii="Arial" w:cs="Arial" w:eastAsia="Arial" w:hAnsi="Arial"/>
          <w:sz w:val="16"/>
          <w:szCs w:val="16"/>
          <w:color w:val="auto"/>
        </w:rPr>
      </w:pPr>
    </w:p>
    <w:p>
      <w:pPr>
        <w:ind w:left="184" w:hanging="184"/>
        <w:spacing w:after="0"/>
        <w:tabs>
          <w:tab w:leader="none" w:pos="18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and warrants to Dealer on the date hereof that:</w:t>
      </w:r>
    </w:p>
    <w:p>
      <w:pPr>
        <w:spacing w:after="0" w:line="117" w:lineRule="exact"/>
        <w:rPr>
          <w:rFonts w:ascii="Arial" w:cs="Arial" w:eastAsia="Arial" w:hAnsi="Arial"/>
          <w:sz w:val="18"/>
          <w:szCs w:val="18"/>
          <w:color w:val="auto"/>
        </w:rPr>
      </w:pPr>
    </w:p>
    <w:p>
      <w:pPr>
        <w:ind w:left="-436" w:right="20" w:firstLine="987"/>
        <w:spacing w:after="0" w:line="263" w:lineRule="auto"/>
        <w:tabs>
          <w:tab w:leader="none" w:pos="8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75" w:lineRule="exact"/>
        <w:rPr>
          <w:rFonts w:ascii="Arial" w:cs="Arial" w:eastAsia="Arial" w:hAnsi="Arial"/>
          <w:sz w:val="18"/>
          <w:szCs w:val="18"/>
          <w:color w:val="auto"/>
        </w:rPr>
      </w:pPr>
    </w:p>
    <w:p>
      <w:pPr>
        <w:ind w:left="-436" w:right="100" w:firstLine="987"/>
        <w:spacing w:after="0" w:line="263" w:lineRule="auto"/>
        <w:tabs>
          <w:tab w:leader="none" w:pos="81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36" w:right="240" w:firstLine="987"/>
        <w:spacing w:after="0" w:line="277" w:lineRule="auto"/>
        <w:tabs>
          <w:tab w:leader="none" w:pos="8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62" w:lineRule="exact"/>
        <w:rPr>
          <w:rFonts w:ascii="Arial" w:cs="Arial" w:eastAsia="Arial" w:hAnsi="Arial"/>
          <w:sz w:val="18"/>
          <w:szCs w:val="18"/>
          <w:color w:val="auto"/>
        </w:rPr>
      </w:pPr>
    </w:p>
    <w:p>
      <w:pPr>
        <w:ind w:left="-436" w:right="100" w:firstLine="987"/>
        <w:spacing w:after="0" w:line="311" w:lineRule="auto"/>
        <w:tabs>
          <w:tab w:leader="none" w:pos="81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804" w:hanging="253"/>
        <w:spacing w:after="0"/>
        <w:tabs>
          <w:tab w:leader="none" w:pos="80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each of it and its Affiliates is not in possession of any material nonpublic information regarding Company or the Shares; and</w:t>
      </w:r>
    </w:p>
    <w:p>
      <w:pPr>
        <w:spacing w:after="0" w:line="128" w:lineRule="exact"/>
        <w:rPr>
          <w:rFonts w:ascii="Arial" w:cs="Arial" w:eastAsia="Arial" w:hAnsi="Arial"/>
          <w:sz w:val="17"/>
          <w:szCs w:val="17"/>
          <w:color w:val="auto"/>
        </w:rPr>
      </w:pPr>
    </w:p>
    <w:p>
      <w:pPr>
        <w:ind w:left="-436" w:firstLine="987"/>
        <w:spacing w:after="0" w:line="263" w:lineRule="auto"/>
        <w:tabs>
          <w:tab w:leader="none" w:pos="7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it is not entering into this Agreement or purchasing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Dealer</w:t>
      </w:r>
      <w:r>
        <w:rPr>
          <w:rFonts w:ascii="Arial" w:cs="Arial" w:eastAsia="Arial" w:hAnsi="Arial"/>
          <w:sz w:val="18"/>
          <w:szCs w:val="18"/>
          <w:color w:val="auto"/>
        </w:rPr>
        <w:t>. Dealer represents and warrants to Company on the date hereof that:</w:t>
      </w:r>
    </w:p>
    <w:p>
      <w:pPr>
        <w:spacing w:after="0" w:line="117" w:lineRule="exact"/>
        <w:rPr>
          <w:rFonts w:ascii="Arial" w:cs="Arial" w:eastAsia="Arial" w:hAnsi="Arial"/>
          <w:sz w:val="18"/>
          <w:szCs w:val="18"/>
          <w:color w:val="auto"/>
        </w:rPr>
      </w:pPr>
    </w:p>
    <w:p>
      <w:pPr>
        <w:ind w:left="-436" w:right="20" w:firstLine="987"/>
        <w:spacing w:after="0" w:line="263" w:lineRule="auto"/>
        <w:tabs>
          <w:tab w:leader="none" w:pos="8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6" w:lineRule="exact"/>
        <w:rPr>
          <w:rFonts w:ascii="Arial" w:cs="Arial" w:eastAsia="Arial" w:hAnsi="Arial"/>
          <w:sz w:val="18"/>
          <w:szCs w:val="18"/>
          <w:color w:val="auto"/>
        </w:rPr>
      </w:pPr>
    </w:p>
    <w:p>
      <w:pPr>
        <w:ind w:left="5024" w:hanging="106"/>
        <w:spacing w:after="0"/>
        <w:tabs>
          <w:tab w:leader="none" w:pos="5024" w:val="left"/>
        </w:tabs>
        <w:numPr>
          <w:ilvl w:val="2"/>
          <w:numId w:val="13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44"/>
          </w:cols>
          <w:pgMar w:left="876" w:top="270" w:right="479" w:bottom="1440" w:gutter="0" w:footer="0" w:header="0"/>
        </w:sectPr>
      </w:pPr>
    </w:p>
    <w:bookmarkStart w:id="130" w:name="page131"/>
    <w:bookmarkEnd w:id="130"/>
    <w:p>
      <w:pPr>
        <w:ind w:left="-40" w:right="100" w:firstLine="987"/>
        <w:spacing w:after="0" w:line="263" w:lineRule="auto"/>
        <w:tabs>
          <w:tab w:leader="none" w:pos="12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0" w:right="240" w:firstLine="987"/>
        <w:spacing w:after="0" w:line="277" w:lineRule="auto"/>
        <w:tabs>
          <w:tab w:leader="none" w:pos="119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62" w:lineRule="exact"/>
        <w:rPr>
          <w:rFonts w:ascii="Arial" w:cs="Arial" w:eastAsia="Arial" w:hAnsi="Arial"/>
          <w:sz w:val="18"/>
          <w:szCs w:val="18"/>
          <w:color w:val="auto"/>
        </w:rPr>
      </w:pPr>
    </w:p>
    <w:p>
      <w:pPr>
        <w:ind w:left="-40" w:right="80" w:firstLine="987"/>
        <w:spacing w:after="0" w:line="311" w:lineRule="auto"/>
        <w:tabs>
          <w:tab w:leader="none" w:pos="1206"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580" w:hanging="184"/>
        <w:spacing w:after="0"/>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Account for Payment to Company</w:t>
      </w:r>
      <w:r>
        <w:rPr>
          <w:rFonts w:ascii="Arial" w:cs="Arial" w:eastAsia="Arial" w:hAnsi="Arial"/>
          <w:sz w:val="18"/>
          <w:szCs w:val="18"/>
          <w:color w:val="auto"/>
        </w:rPr>
        <w:t>:</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ABA Routing: 021000021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 No.: 156330700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 Name: Take-Two Interactive Software, Inc.</w:t>
      </w:r>
    </w:p>
    <w:p>
      <w:pPr>
        <w:spacing w:after="0" w:line="103" w:lineRule="exact"/>
        <w:rPr>
          <w:sz w:val="20"/>
          <w:szCs w:val="20"/>
          <w:color w:val="auto"/>
        </w:rPr>
      </w:pPr>
    </w:p>
    <w:p>
      <w:pPr>
        <w:ind w:left="-40" w:firstLine="436"/>
        <w:spacing w:after="0" w:line="277" w:lineRule="auto"/>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hereunder shall be governed by and construed in accordance with the laws of the State of New York (without reference to choice of law doctrine).</w:t>
      </w:r>
    </w:p>
    <w:p>
      <w:pPr>
        <w:spacing w:after="0" w:line="62" w:lineRule="exact"/>
        <w:rPr>
          <w:rFonts w:ascii="Arial" w:cs="Arial" w:eastAsia="Arial" w:hAnsi="Arial"/>
          <w:sz w:val="18"/>
          <w:szCs w:val="18"/>
          <w:color w:val="auto"/>
        </w:rPr>
      </w:pPr>
    </w:p>
    <w:p>
      <w:pPr>
        <w:ind w:left="-40" w:right="60" w:firstLine="436"/>
        <w:spacing w:after="0" w:line="277" w:lineRule="auto"/>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all of the signatures thereto and hereto were upon the same instrument.</w:t>
      </w:r>
    </w:p>
    <w:p>
      <w:pPr>
        <w:spacing w:after="0" w:line="62" w:lineRule="exact"/>
        <w:rPr>
          <w:rFonts w:ascii="Arial" w:cs="Arial" w:eastAsia="Arial" w:hAnsi="Arial"/>
          <w:sz w:val="18"/>
          <w:szCs w:val="18"/>
          <w:color w:val="auto"/>
        </w:rPr>
      </w:pPr>
    </w:p>
    <w:p>
      <w:pPr>
        <w:ind w:left="-40" w:firstLine="436"/>
        <w:spacing w:after="0" w:line="263" w:lineRule="auto"/>
        <w:tabs>
          <w:tab w:leader="none" w:pos="67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 Reliance, etc</w:t>
      </w:r>
      <w:r>
        <w:rPr>
          <w:rFonts w:ascii="Arial" w:cs="Arial" w:eastAsia="Arial" w:hAnsi="Arial"/>
          <w:sz w:val="18"/>
          <w:szCs w:val="18"/>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0"/>
          </w:cols>
          <w:pgMar w:left="480" w:top="274" w:right="47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Morgan Stanley &amp; Co.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Kevin Woodruff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Kevin Woodruff</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Gerard Griffin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ZYNGA INC. and BANK OF AMERICA, N.A.</w:t>
      </w:r>
    </w:p>
    <w:p>
      <w:pPr>
        <w:spacing w:after="0" w:line="20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respect to the Capped Call Confirmations (as defined below) is made as of May 20, 2022, between Zynga Inc. (“</w:t>
      </w:r>
      <w:r>
        <w:rPr>
          <w:rFonts w:ascii="Arial" w:cs="Arial" w:eastAsia="Arial" w:hAnsi="Arial"/>
          <w:sz w:val="18"/>
          <w:szCs w:val="18"/>
          <w:b w:val="1"/>
          <w:bCs w:val="1"/>
          <w:color w:val="auto"/>
        </w:rPr>
        <w:t>Company</w:t>
      </w:r>
      <w:r>
        <w:rPr>
          <w:rFonts w:ascii="Arial" w:cs="Arial" w:eastAsia="Arial" w:hAnsi="Arial"/>
          <w:sz w:val="18"/>
          <w:szCs w:val="18"/>
          <w:color w:val="auto"/>
        </w:rPr>
        <w:t>”) and Bank of America, N.A. (“</w:t>
      </w:r>
      <w:r>
        <w:rPr>
          <w:rFonts w:ascii="Arial" w:cs="Arial" w:eastAsia="Arial" w:hAnsi="Arial"/>
          <w:sz w:val="18"/>
          <w:szCs w:val="18"/>
          <w:b w:val="1"/>
          <w:bCs w:val="1"/>
          <w:color w:val="auto"/>
        </w:rPr>
        <w:t>Dealer</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WHEREAS, Company issued $600,000,000 principal amount of 0.25% Convertible Senior Notes due 2024 (the “</w:t>
      </w:r>
      <w:r>
        <w:rPr>
          <w:rFonts w:ascii="Arial" w:cs="Arial" w:eastAsia="Arial" w:hAnsi="Arial"/>
          <w:sz w:val="18"/>
          <w:szCs w:val="18"/>
          <w:b w:val="1"/>
          <w:bCs w:val="1"/>
          <w:color w:val="auto"/>
        </w:rPr>
        <w:t>Convertible Notes</w:t>
      </w:r>
      <w:r>
        <w:rPr>
          <w:rFonts w:ascii="Arial" w:cs="Arial" w:eastAsia="Arial" w:hAnsi="Arial"/>
          <w:sz w:val="18"/>
          <w:szCs w:val="18"/>
          <w:color w:val="auto"/>
        </w:rPr>
        <w:t>”) pursuant to an Indenture dated as of June 14, 2019 between Company and Computershare Trust Company, N.A. (as successor to Wells Fargo Bank, National Association), as trustee;</w:t>
      </w:r>
    </w:p>
    <w:p>
      <w:pPr>
        <w:spacing w:after="0" w:line="18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WHEREAS, in connection with the issuance of the Convertible Notes, Company and Dealer entered into a Base Capped Call Transaction (the “</w:t>
      </w:r>
      <w:r>
        <w:rPr>
          <w:rFonts w:ascii="Arial" w:cs="Arial" w:eastAsia="Arial" w:hAnsi="Arial"/>
          <w:sz w:val="17"/>
          <w:szCs w:val="17"/>
          <w:b w:val="1"/>
          <w:bCs w:val="1"/>
          <w:color w:val="auto"/>
        </w:rPr>
        <w:t>Base Capped Call Transaction</w:t>
      </w:r>
      <w:r>
        <w:rPr>
          <w:rFonts w:ascii="Arial" w:cs="Arial" w:eastAsia="Arial" w:hAnsi="Arial"/>
          <w:sz w:val="17"/>
          <w:szCs w:val="17"/>
          <w:color w:val="auto"/>
        </w:rPr>
        <w:t>”) pursuant to an ISDA confirmation dated as of June 11, 2019, which supplements, forms a part of, and is subject to an agreement in the form of the 2002 ISDA Master Agreement, pursuant to which Company purchased from Dealer 600,000 call options (as amended, modified, terminated or unwound from time to time, the “</w:t>
      </w:r>
      <w:r>
        <w:rPr>
          <w:rFonts w:ascii="Arial" w:cs="Arial" w:eastAsia="Arial" w:hAnsi="Arial"/>
          <w:sz w:val="17"/>
          <w:szCs w:val="17"/>
          <w:b w:val="1"/>
          <w:bCs w:val="1"/>
          <w:color w:val="auto"/>
        </w:rPr>
        <w:t>Base Capped Call Confirmation</w:t>
      </w:r>
      <w:r>
        <w:rPr>
          <w:rFonts w:ascii="Arial" w:cs="Arial" w:eastAsia="Arial" w:hAnsi="Arial"/>
          <w:sz w:val="17"/>
          <w:szCs w:val="17"/>
          <w:color w:val="auto"/>
        </w:rPr>
        <w:t>”);</w:t>
      </w:r>
    </w:p>
    <w:p>
      <w:pPr>
        <w:spacing w:after="0" w:line="17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WHEREAS, in connection with the exercise of the over-allotment option by the initial purchasers of the Convertible Notes, Company and Dealer entered into an Additional Capped Call Transaction (the “</w:t>
      </w:r>
      <w:r>
        <w:rPr>
          <w:rFonts w:ascii="Arial" w:cs="Arial" w:eastAsia="Arial" w:hAnsi="Arial"/>
          <w:sz w:val="18"/>
          <w:szCs w:val="18"/>
          <w:b w:val="1"/>
          <w:bCs w:val="1"/>
          <w:color w:val="auto"/>
        </w:rPr>
        <w:t>Additional Capped Call Transaction</w:t>
      </w:r>
      <w:r>
        <w:rPr>
          <w:rFonts w:ascii="Arial" w:cs="Arial" w:eastAsia="Arial" w:hAnsi="Arial"/>
          <w:sz w:val="18"/>
          <w:szCs w:val="18"/>
          <w:color w:val="auto"/>
        </w:rPr>
        <w:t>” and, together with the Base Capped Call Transaction, the “</w:t>
      </w:r>
      <w:r>
        <w:rPr>
          <w:rFonts w:ascii="Arial" w:cs="Arial" w:eastAsia="Arial" w:hAnsi="Arial"/>
          <w:sz w:val="18"/>
          <w:szCs w:val="18"/>
          <w:b w:val="1"/>
          <w:bCs w:val="1"/>
          <w:color w:val="auto"/>
        </w:rPr>
        <w:t>Capped Call Transactions</w:t>
      </w:r>
      <w:r>
        <w:rPr>
          <w:rFonts w:ascii="Arial" w:cs="Arial" w:eastAsia="Arial" w:hAnsi="Arial"/>
          <w:sz w:val="18"/>
          <w:szCs w:val="18"/>
          <w:color w:val="auto"/>
        </w:rPr>
        <w:t>”) pursuant to an ISDA confirmation dated as of June 13, 2019, which supplements, forms a part of, and is subject to an agreement in the form of the 2002 ISDA Master Agreement, pursuant to which Company purchased from Dealer an additional 90,000 call options (as amended, modified, terminated or unwound from time to time, the “</w:t>
      </w:r>
      <w:r>
        <w:rPr>
          <w:rFonts w:ascii="Arial" w:cs="Arial" w:eastAsia="Arial" w:hAnsi="Arial"/>
          <w:sz w:val="18"/>
          <w:szCs w:val="18"/>
          <w:b w:val="1"/>
          <w:bCs w:val="1"/>
          <w:color w:val="auto"/>
        </w:rPr>
        <w:t>Additional Capped Call Confirmation</w:t>
      </w:r>
      <w:r>
        <w:rPr>
          <w:rFonts w:ascii="Arial" w:cs="Arial" w:eastAsia="Arial" w:hAnsi="Arial"/>
          <w:sz w:val="18"/>
          <w:szCs w:val="18"/>
          <w:color w:val="auto"/>
        </w:rPr>
        <w:t>” and, together with the Base Capped Call Confirmation,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in anticipation of the consummation of transactions contemplated by the previously announced Agreement and Plan of Merger, dated as of January 9, 2022 (as it may be amended or supplemented from time to time, the “Merger Agreement”), by and among the Company, Take-Two-Interactive Software, Inc., Zebra MS I, Inc., a wholly owned subsidiary of Take-Two , and Zebra MS II, Inc., a wholly owned subsidiary of Take-Two (“Merger Sub 2”), Company has requested termination of the Capped Call Transactions;</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NOW, THEREFORE, in consideration of their mutual covenants herein contained, the parties hereto, intending to be legally bound, hereby mutually covenant and agree as follows:</w:t>
      </w:r>
    </w:p>
    <w:p>
      <w:pPr>
        <w:spacing w:after="0" w:line="170" w:lineRule="exact"/>
        <w:rPr>
          <w:sz w:val="20"/>
          <w:szCs w:val="20"/>
          <w:color w:val="auto"/>
        </w:rPr>
      </w:pPr>
    </w:p>
    <w:p>
      <w:pPr>
        <w:ind w:right="920" w:firstLine="436"/>
        <w:spacing w:after="0" w:line="277" w:lineRule="auto"/>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Any capitalized term not otherwise defined herein shall have the meaning set forth for such term in the Capped Call Confirmations.</w:t>
      </w:r>
    </w:p>
    <w:p>
      <w:pPr>
        <w:spacing w:after="0" w:line="170" w:lineRule="exact"/>
        <w:rPr>
          <w:rFonts w:ascii="Arial" w:cs="Arial" w:eastAsia="Arial" w:hAnsi="Arial"/>
          <w:sz w:val="18"/>
          <w:szCs w:val="18"/>
          <w:color w:val="auto"/>
        </w:rPr>
      </w:pPr>
    </w:p>
    <w:p>
      <w:pPr>
        <w:ind w:right="60" w:firstLine="436"/>
        <w:spacing w:after="0" w:line="301" w:lineRule="auto"/>
        <w:tabs>
          <w:tab w:leader="none" w:pos="62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anything to the contrary in the Capped Call Confirmations, Company and Dealer agree that, effective on the date hereof and following the termination contemplated hereby, the Number of Options remaining outstanding under the Base Capped Call Transaction shall be reduced to zero and the Number of Options remaining outstanding under the Additional Capped Call Transaction shall be reduced to zero , and in connection therewith Dealer shall be required to pay to Company the Cash Settlement Amount on the Payment Date pursuant to Sections 3 and 4 below.</w:t>
      </w:r>
    </w:p>
    <w:p>
      <w:pPr>
        <w:spacing w:after="0" w:line="157" w:lineRule="exact"/>
        <w:rPr>
          <w:rFonts w:ascii="Arial" w:cs="Arial" w:eastAsia="Arial" w:hAnsi="Arial"/>
          <w:sz w:val="16"/>
          <w:szCs w:val="16"/>
          <w:color w:val="auto"/>
        </w:rPr>
      </w:pPr>
    </w:p>
    <w:p>
      <w:pPr>
        <w:ind w:right="160" w:firstLine="436"/>
        <w:spacing w:after="0" w:line="301" w:lineRule="auto"/>
        <w:tabs>
          <w:tab w:leader="none" w:pos="62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Payments and Deliveries</w:t>
      </w:r>
      <w:r>
        <w:rPr>
          <w:rFonts w:ascii="Arial" w:cs="Arial" w:eastAsia="Arial" w:hAnsi="Arial"/>
          <w:sz w:val="16"/>
          <w:szCs w:val="16"/>
          <w:color w:val="auto"/>
        </w:rPr>
        <w:t>. On the first Scheduled Trading Day following the final Averaging Date (as defined below) or, if such day is not a Clearance System Business Day, on the next Clearance System Business Day immediately following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Dealer shall pay to Company in immediately available funds cash in an amount equal to the Cash Settlement Amount. The “</w:t>
      </w:r>
      <w:r>
        <w:rPr>
          <w:rFonts w:ascii="Arial" w:cs="Arial" w:eastAsia="Arial" w:hAnsi="Arial"/>
          <w:sz w:val="16"/>
          <w:szCs w:val="16"/>
          <w:b w:val="1"/>
          <w:bCs w:val="1"/>
          <w:color w:val="auto"/>
        </w:rPr>
        <w:t>Cash Settlement Amount</w:t>
      </w:r>
      <w:r>
        <w:rPr>
          <w:rFonts w:ascii="Arial" w:cs="Arial" w:eastAsia="Arial" w:hAnsi="Arial"/>
          <w:sz w:val="16"/>
          <w:szCs w:val="16"/>
          <w:color w:val="auto"/>
        </w:rPr>
        <w:t>” shall mean an amount in US Dollars determined by Dealer using linear interpolation with reference to the table set forth in Schedule A attached hereto.</w:t>
      </w:r>
    </w:p>
    <w:p>
      <w:pPr>
        <w:sectPr>
          <w:pgSz w:w="11900" w:h="16838" w:orient="portrait"/>
          <w:cols w:equalWidth="0" w:num="1">
            <w:col w:w="11020"/>
          </w:cols>
          <w:pgMar w:left="440" w:top="121" w:right="439" w:bottom="1440" w:gutter="0" w:footer="0" w:header="0"/>
        </w:sectPr>
      </w:pPr>
    </w:p>
    <w:bookmarkStart w:id="133" w:name="page134"/>
    <w:bookmarkEnd w:id="133"/>
    <w:p>
      <w:pPr>
        <w:ind w:left="-436" w:firstLine="436"/>
        <w:spacing w:after="0" w:line="286" w:lineRule="auto"/>
        <w:tabs>
          <w:tab w:leader="none" w:pos="184"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Valuation</w:t>
      </w:r>
      <w:r>
        <w:rPr>
          <w:rFonts w:ascii="Arial" w:cs="Arial" w:eastAsia="Arial" w:hAnsi="Arial"/>
          <w:sz w:val="16"/>
          <w:szCs w:val="16"/>
          <w:color w:val="auto"/>
        </w:rPr>
        <w:t>. “</w:t>
      </w:r>
      <w:r>
        <w:rPr>
          <w:rFonts w:ascii="Arial" w:cs="Arial" w:eastAsia="Arial" w:hAnsi="Arial"/>
          <w:sz w:val="16"/>
          <w:szCs w:val="16"/>
          <w:b w:val="1"/>
          <w:bCs w:val="1"/>
          <w:color w:val="auto"/>
        </w:rPr>
        <w:t>Averaging Date</w:t>
      </w:r>
      <w:r>
        <w:rPr>
          <w:rFonts w:ascii="Arial" w:cs="Arial" w:eastAsia="Arial" w:hAnsi="Arial"/>
          <w:sz w:val="16"/>
          <w:szCs w:val="16"/>
          <w:color w:val="auto"/>
        </w:rPr>
        <w:t>” means June 27, 2022 and the four Scheduled Trading Days thereafter (the period of consecutive Scheduled Trading Days from and including June 27, 2022 through the final Averaging Date being collectively referred to as the “</w:t>
      </w:r>
      <w:r>
        <w:rPr>
          <w:rFonts w:ascii="Arial" w:cs="Arial" w:eastAsia="Arial" w:hAnsi="Arial"/>
          <w:sz w:val="16"/>
          <w:szCs w:val="16"/>
          <w:b w:val="1"/>
          <w:bCs w:val="1"/>
          <w:color w:val="auto"/>
        </w:rPr>
        <w:t>Termination 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date is a Disrupted Day in whole, such date shall not constitute an Averaging Date, and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Averaging Date shall occur on the Scheduled Trading Day after the date that would otherwise be the final Averaging Date. “</w:t>
      </w:r>
      <w:r>
        <w:rPr>
          <w:rFonts w:ascii="Arial" w:cs="Arial" w:eastAsia="Arial" w:hAnsi="Arial"/>
          <w:sz w:val="16"/>
          <w:szCs w:val="16"/>
          <w:b w:val="1"/>
          <w:bCs w:val="1"/>
          <w:color w:val="auto"/>
        </w:rPr>
        <w:t>Average VWAP</w:t>
      </w:r>
      <w:r>
        <w:rPr>
          <w:rFonts w:ascii="Arial" w:cs="Arial" w:eastAsia="Arial" w:hAnsi="Arial"/>
          <w:sz w:val="16"/>
          <w:szCs w:val="16"/>
          <w:color w:val="auto"/>
        </w:rPr>
        <w:t>” means the arithmetic average of the VWAP Prices for each Averaging Date during the Termination Valuation Period. “</w:t>
      </w:r>
      <w:r>
        <w:rPr>
          <w:rFonts w:ascii="Arial" w:cs="Arial" w:eastAsia="Arial" w:hAnsi="Arial"/>
          <w:sz w:val="16"/>
          <w:szCs w:val="16"/>
          <w:b w:val="1"/>
          <w:bCs w:val="1"/>
          <w:color w:val="auto"/>
        </w:rPr>
        <w:t>VWAP Price</w:t>
      </w:r>
      <w:r>
        <w:rPr>
          <w:rFonts w:ascii="Arial" w:cs="Arial" w:eastAsia="Arial" w:hAnsi="Arial"/>
          <w:sz w:val="16"/>
          <w:szCs w:val="16"/>
          <w:color w:val="auto"/>
        </w:rPr>
        <w:t>” for any Scheduled Trading Day means the per Share volume-weighted average price as displayed under the heading “Bloomberg VWAP” on Bloomberg page TTWO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in a good faith, commercially reasonable manner). Notwithstanding the foregoing, if (i) any Scheduled Trading Day in the Termination Valuation Period is a Disrupted Day in part or (ii) Dealer determines in its commercially reasonable judgment that on any Scheduled Trading Day during the Termination Valuation Period an extension of the Termination Valuation Period is reasonably necessary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internal policies and procedures, then the VWAP Price for such Scheduled Trading Day(s) shall be the volume-weighted average price per Share on such Scheduled Trading Day on the Exchange for such time period, as determined by Dealer in a commercially reasonable manner and the Cash Settlement Amount shall be adjusted by Dealer in its good faith, commercially reasonable discretion to account for such disruption and/or extension.</w:t>
      </w:r>
    </w:p>
    <w:p>
      <w:pPr>
        <w:spacing w:after="0" w:line="168" w:lineRule="exact"/>
        <w:rPr>
          <w:rFonts w:ascii="Arial" w:cs="Arial" w:eastAsia="Arial" w:hAnsi="Arial"/>
          <w:sz w:val="16"/>
          <w:szCs w:val="16"/>
          <w:color w:val="auto"/>
        </w:rPr>
      </w:pPr>
    </w:p>
    <w:p>
      <w:pPr>
        <w:ind w:left="184" w:hanging="184"/>
        <w:spacing w:after="0"/>
        <w:tabs>
          <w:tab w:leader="none" w:pos="18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and warrants to Dealer on the date hereof that:</w:t>
      </w:r>
    </w:p>
    <w:p>
      <w:pPr>
        <w:spacing w:after="0" w:line="225" w:lineRule="exact"/>
        <w:rPr>
          <w:rFonts w:ascii="Arial" w:cs="Arial" w:eastAsia="Arial" w:hAnsi="Arial"/>
          <w:sz w:val="18"/>
          <w:szCs w:val="18"/>
          <w:color w:val="auto"/>
        </w:rPr>
      </w:pPr>
    </w:p>
    <w:p>
      <w:pPr>
        <w:ind w:left="-436" w:right="40" w:firstLine="987"/>
        <w:spacing w:after="0" w:line="263" w:lineRule="auto"/>
        <w:tabs>
          <w:tab w:leader="none" w:pos="8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83" w:lineRule="exact"/>
        <w:rPr>
          <w:rFonts w:ascii="Arial" w:cs="Arial" w:eastAsia="Arial" w:hAnsi="Arial"/>
          <w:sz w:val="18"/>
          <w:szCs w:val="18"/>
          <w:color w:val="auto"/>
        </w:rPr>
      </w:pPr>
    </w:p>
    <w:p>
      <w:pPr>
        <w:ind w:left="-436" w:right="120" w:firstLine="987"/>
        <w:spacing w:after="0" w:line="263" w:lineRule="auto"/>
        <w:tabs>
          <w:tab w:leader="none" w:pos="81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83" w:lineRule="exact"/>
        <w:rPr>
          <w:rFonts w:ascii="Arial" w:cs="Arial" w:eastAsia="Arial" w:hAnsi="Arial"/>
          <w:sz w:val="18"/>
          <w:szCs w:val="18"/>
          <w:color w:val="auto"/>
        </w:rPr>
      </w:pPr>
    </w:p>
    <w:p>
      <w:pPr>
        <w:ind w:left="-436" w:right="260" w:firstLine="987"/>
        <w:spacing w:after="0" w:line="277" w:lineRule="auto"/>
        <w:tabs>
          <w:tab w:leader="none" w:pos="8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170" w:lineRule="exact"/>
        <w:rPr>
          <w:rFonts w:ascii="Arial" w:cs="Arial" w:eastAsia="Arial" w:hAnsi="Arial"/>
          <w:sz w:val="18"/>
          <w:szCs w:val="18"/>
          <w:color w:val="auto"/>
        </w:rPr>
      </w:pPr>
    </w:p>
    <w:p>
      <w:pPr>
        <w:ind w:left="-436" w:right="120" w:firstLine="987"/>
        <w:spacing w:after="0" w:line="311" w:lineRule="auto"/>
        <w:tabs>
          <w:tab w:leader="none" w:pos="81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48" w:lineRule="exact"/>
        <w:rPr>
          <w:rFonts w:ascii="Arial" w:cs="Arial" w:eastAsia="Arial" w:hAnsi="Arial"/>
          <w:sz w:val="16"/>
          <w:szCs w:val="16"/>
          <w:color w:val="auto"/>
        </w:rPr>
      </w:pPr>
    </w:p>
    <w:p>
      <w:pPr>
        <w:ind w:left="804" w:hanging="253"/>
        <w:spacing w:after="0"/>
        <w:tabs>
          <w:tab w:leader="none" w:pos="804" w:val="left"/>
        </w:tabs>
        <w:numPr>
          <w:ilvl w:val="1"/>
          <w:numId w:val="140"/>
        </w:numPr>
        <w:rPr>
          <w:rFonts w:ascii="Arial" w:cs="Arial" w:eastAsia="Arial" w:hAnsi="Arial"/>
          <w:sz w:val="17"/>
          <w:szCs w:val="17"/>
          <w:color w:val="auto"/>
        </w:rPr>
      </w:pPr>
      <w:r>
        <w:rPr>
          <w:rFonts w:ascii="Arial" w:cs="Arial" w:eastAsia="Arial" w:hAnsi="Arial"/>
          <w:sz w:val="17"/>
          <w:szCs w:val="17"/>
          <w:color w:val="auto"/>
        </w:rPr>
        <w:t>each of it and its Affiliates is not in possession of any material nonpublic information regarding Company or the Shares; and</w:t>
      </w:r>
    </w:p>
    <w:p>
      <w:pPr>
        <w:spacing w:after="0" w:line="236" w:lineRule="exact"/>
        <w:rPr>
          <w:rFonts w:ascii="Arial" w:cs="Arial" w:eastAsia="Arial" w:hAnsi="Arial"/>
          <w:sz w:val="17"/>
          <w:szCs w:val="17"/>
          <w:color w:val="auto"/>
        </w:rPr>
      </w:pPr>
    </w:p>
    <w:p>
      <w:pPr>
        <w:ind w:left="-436" w:right="20" w:firstLine="987"/>
        <w:spacing w:after="0" w:line="263" w:lineRule="auto"/>
        <w:tabs>
          <w:tab w:leader="none" w:pos="7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it is not entering into this Agreement or purchasing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Dealer</w:t>
      </w:r>
      <w:r>
        <w:rPr>
          <w:rFonts w:ascii="Arial" w:cs="Arial" w:eastAsia="Arial" w:hAnsi="Arial"/>
          <w:sz w:val="18"/>
          <w:szCs w:val="18"/>
          <w:color w:val="auto"/>
        </w:rPr>
        <w:t>. Dealer represents and warrants to Company on the date hereof that:</w:t>
      </w:r>
    </w:p>
    <w:p>
      <w:pPr>
        <w:spacing w:after="0" w:line="225" w:lineRule="exact"/>
        <w:rPr>
          <w:rFonts w:ascii="Arial" w:cs="Arial" w:eastAsia="Arial" w:hAnsi="Arial"/>
          <w:sz w:val="18"/>
          <w:szCs w:val="18"/>
          <w:color w:val="auto"/>
        </w:rPr>
      </w:pPr>
    </w:p>
    <w:p>
      <w:pPr>
        <w:ind w:left="-436" w:right="40" w:firstLine="987"/>
        <w:spacing w:after="0" w:line="263" w:lineRule="auto"/>
        <w:tabs>
          <w:tab w:leader="none" w:pos="8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6" w:lineRule="exact"/>
        <w:rPr>
          <w:rFonts w:ascii="Arial" w:cs="Arial" w:eastAsia="Arial" w:hAnsi="Arial"/>
          <w:sz w:val="18"/>
          <w:szCs w:val="18"/>
          <w:color w:val="auto"/>
        </w:rPr>
      </w:pPr>
    </w:p>
    <w:p>
      <w:pPr>
        <w:ind w:left="5024" w:hanging="106"/>
        <w:spacing w:after="0"/>
        <w:tabs>
          <w:tab w:leader="none" w:pos="502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64"/>
          </w:cols>
          <w:pgMar w:left="876" w:top="270" w:right="459" w:bottom="1440" w:gutter="0" w:footer="0" w:header="0"/>
        </w:sectPr>
      </w:pPr>
    </w:p>
    <w:bookmarkStart w:id="134" w:name="page135"/>
    <w:bookmarkEnd w:id="134"/>
    <w:p>
      <w:pPr>
        <w:ind w:left="-40" w:right="100" w:firstLine="987"/>
        <w:spacing w:after="0" w:line="263" w:lineRule="auto"/>
        <w:tabs>
          <w:tab w:leader="none" w:pos="1206"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83" w:lineRule="exact"/>
        <w:rPr>
          <w:rFonts w:ascii="Arial" w:cs="Arial" w:eastAsia="Arial" w:hAnsi="Arial"/>
          <w:sz w:val="18"/>
          <w:szCs w:val="18"/>
          <w:color w:val="auto"/>
        </w:rPr>
      </w:pPr>
    </w:p>
    <w:p>
      <w:pPr>
        <w:ind w:left="-40" w:right="240" w:firstLine="987"/>
        <w:spacing w:after="0" w:line="277" w:lineRule="auto"/>
        <w:tabs>
          <w:tab w:leader="none" w:pos="119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170" w:lineRule="exact"/>
        <w:rPr>
          <w:rFonts w:ascii="Arial" w:cs="Arial" w:eastAsia="Arial" w:hAnsi="Arial"/>
          <w:sz w:val="18"/>
          <w:szCs w:val="18"/>
          <w:color w:val="auto"/>
        </w:rPr>
      </w:pPr>
    </w:p>
    <w:p>
      <w:pPr>
        <w:ind w:left="-40" w:right="80" w:firstLine="987"/>
        <w:spacing w:after="0" w:line="311" w:lineRule="auto"/>
        <w:tabs>
          <w:tab w:leader="none" w:pos="120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48" w:lineRule="exact"/>
        <w:rPr>
          <w:rFonts w:ascii="Arial" w:cs="Arial" w:eastAsia="Arial" w:hAnsi="Arial"/>
          <w:sz w:val="16"/>
          <w:szCs w:val="16"/>
          <w:color w:val="auto"/>
        </w:rPr>
      </w:pPr>
    </w:p>
    <w:p>
      <w:pPr>
        <w:ind w:left="580" w:hanging="184"/>
        <w:spacing w:after="0"/>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Account for Payment to Company</w:t>
      </w:r>
      <w:r>
        <w:rPr>
          <w:rFonts w:ascii="Arial" w:cs="Arial" w:eastAsia="Arial" w:hAnsi="Arial"/>
          <w:sz w:val="18"/>
          <w:szCs w:val="18"/>
          <w:color w:val="auto"/>
        </w:rPr>
        <w:t>:</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ABA Routing: 021000021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 No.: 156330700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 Name: Take-Two Interactive Software, Inc.</w:t>
      </w:r>
    </w:p>
    <w:p>
      <w:pPr>
        <w:spacing w:after="0" w:line="211" w:lineRule="exact"/>
        <w:rPr>
          <w:sz w:val="20"/>
          <w:szCs w:val="20"/>
          <w:color w:val="auto"/>
        </w:rPr>
      </w:pPr>
    </w:p>
    <w:p>
      <w:pPr>
        <w:ind w:left="-40" w:firstLine="436"/>
        <w:spacing w:after="0" w:line="277" w:lineRule="auto"/>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hereunder shall be governed by and construed in accordance with the laws of the State of New York (without reference to choice of law doctrine).</w:t>
      </w:r>
    </w:p>
    <w:p>
      <w:pPr>
        <w:spacing w:after="0" w:line="170" w:lineRule="exact"/>
        <w:rPr>
          <w:rFonts w:ascii="Arial" w:cs="Arial" w:eastAsia="Arial" w:hAnsi="Arial"/>
          <w:sz w:val="18"/>
          <w:szCs w:val="18"/>
          <w:color w:val="auto"/>
        </w:rPr>
      </w:pPr>
    </w:p>
    <w:p>
      <w:pPr>
        <w:ind w:left="-40" w:right="60" w:firstLine="436"/>
        <w:spacing w:after="0" w:line="277" w:lineRule="auto"/>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all of the signatures thereto and hereto were upon the same instrument.</w:t>
      </w:r>
    </w:p>
    <w:p>
      <w:pPr>
        <w:spacing w:after="0" w:line="170" w:lineRule="exact"/>
        <w:rPr>
          <w:rFonts w:ascii="Arial" w:cs="Arial" w:eastAsia="Arial" w:hAnsi="Arial"/>
          <w:sz w:val="18"/>
          <w:szCs w:val="18"/>
          <w:color w:val="auto"/>
        </w:rPr>
      </w:pPr>
    </w:p>
    <w:p>
      <w:pPr>
        <w:ind w:left="-40" w:firstLine="436"/>
        <w:spacing w:after="0" w:line="263" w:lineRule="auto"/>
        <w:tabs>
          <w:tab w:leader="none" w:pos="67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 Reliance, etc</w:t>
      </w:r>
      <w:r>
        <w:rPr>
          <w:rFonts w:ascii="Arial" w:cs="Arial" w:eastAsia="Arial" w:hAnsi="Arial"/>
          <w:sz w:val="18"/>
          <w:szCs w:val="18"/>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0"/>
          </w:cols>
          <w:pgMar w:left="480" w:top="274" w:right="47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Bank of America, N.A.</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Eric B.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Eric B. Coghlin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Gerard Griffin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ZYNGA INC. and GOLDMAN SACHS &amp; CO. LLC</w:t>
      </w:r>
    </w:p>
    <w:p>
      <w:pPr>
        <w:spacing w:after="0" w:line="20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respect to the Capped Call Confirmations (as defined below) is made as of May 20, 2022, between Zynga Inc. (“</w:t>
      </w:r>
      <w:r>
        <w:rPr>
          <w:rFonts w:ascii="Arial" w:cs="Arial" w:eastAsia="Arial" w:hAnsi="Arial"/>
          <w:sz w:val="18"/>
          <w:szCs w:val="18"/>
          <w:b w:val="1"/>
          <w:bCs w:val="1"/>
          <w:color w:val="auto"/>
        </w:rPr>
        <w:t>Company</w:t>
      </w:r>
      <w:r>
        <w:rPr>
          <w:rFonts w:ascii="Arial" w:cs="Arial" w:eastAsia="Arial" w:hAnsi="Arial"/>
          <w:sz w:val="18"/>
          <w:szCs w:val="18"/>
          <w:color w:val="auto"/>
        </w:rPr>
        <w:t>”) and Goldman Sachs &amp; Co. LLC (“</w:t>
      </w:r>
      <w:r>
        <w:rPr>
          <w:rFonts w:ascii="Arial" w:cs="Arial" w:eastAsia="Arial" w:hAnsi="Arial"/>
          <w:sz w:val="18"/>
          <w:szCs w:val="18"/>
          <w:b w:val="1"/>
          <w:bCs w:val="1"/>
          <w:color w:val="auto"/>
        </w:rPr>
        <w:t>Dealer</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WHEREAS, Company issued $762,000,000 principal amount of 0.00% Convertible Senior Notes due 2026 (the “</w:t>
      </w:r>
      <w:r>
        <w:rPr>
          <w:rFonts w:ascii="Arial" w:cs="Arial" w:eastAsia="Arial" w:hAnsi="Arial"/>
          <w:sz w:val="18"/>
          <w:szCs w:val="18"/>
          <w:b w:val="1"/>
          <w:bCs w:val="1"/>
          <w:color w:val="auto"/>
        </w:rPr>
        <w:t>Convertible Notes</w:t>
      </w:r>
      <w:r>
        <w:rPr>
          <w:rFonts w:ascii="Arial" w:cs="Arial" w:eastAsia="Arial" w:hAnsi="Arial"/>
          <w:sz w:val="18"/>
          <w:szCs w:val="18"/>
          <w:color w:val="auto"/>
        </w:rPr>
        <w:t>”) pursuant to an Indenture dated as of December 17, 2020 between Company and Computershare Trust Company, N.A. (as successor to Wells Fargo Bank, National Association), as trustee;</w:t>
      </w:r>
    </w:p>
    <w:p>
      <w:pPr>
        <w:spacing w:after="0" w:line="18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WHEREAS, in connection with the issuance of the Convertible Notes, Company and Dealer entered into a Base Capped Call Transaction (the “</w:t>
      </w:r>
      <w:r>
        <w:rPr>
          <w:rFonts w:ascii="Arial" w:cs="Arial" w:eastAsia="Arial" w:hAnsi="Arial"/>
          <w:sz w:val="17"/>
          <w:szCs w:val="17"/>
          <w:b w:val="1"/>
          <w:bCs w:val="1"/>
          <w:color w:val="auto"/>
        </w:rPr>
        <w:t>Base Capped Call Transaction</w:t>
      </w:r>
      <w:r>
        <w:rPr>
          <w:rFonts w:ascii="Arial" w:cs="Arial" w:eastAsia="Arial" w:hAnsi="Arial"/>
          <w:sz w:val="17"/>
          <w:szCs w:val="17"/>
          <w:color w:val="auto"/>
        </w:rPr>
        <w:t>”) pursuant to an ISDA confirmation dated as of December 14, 2020, which supplements, forms a part of, and is subject to an agreement in the form of the 2002 ISDA Master Agreement, pursuant to which Company purchased from Dealer 762,000 call options (as amended, modified, terminated or unwound from time to time, the “</w:t>
      </w:r>
      <w:r>
        <w:rPr>
          <w:rFonts w:ascii="Arial" w:cs="Arial" w:eastAsia="Arial" w:hAnsi="Arial"/>
          <w:sz w:val="17"/>
          <w:szCs w:val="17"/>
          <w:b w:val="1"/>
          <w:bCs w:val="1"/>
          <w:color w:val="auto"/>
        </w:rPr>
        <w:t>Base Capped Call Confirmation</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WHEREAS, in connection with the exercise of the over-allotment option by the initial purchasers of the Convertible Notes, Company and Dealer entered into an Additional Capped Call Transaction (the “</w:t>
      </w:r>
      <w:r>
        <w:rPr>
          <w:rFonts w:ascii="Arial" w:cs="Arial" w:eastAsia="Arial" w:hAnsi="Arial"/>
          <w:sz w:val="18"/>
          <w:szCs w:val="18"/>
          <w:b w:val="1"/>
          <w:bCs w:val="1"/>
          <w:color w:val="auto"/>
        </w:rPr>
        <w:t>Additional Capped Call Transaction</w:t>
      </w:r>
      <w:r>
        <w:rPr>
          <w:rFonts w:ascii="Arial" w:cs="Arial" w:eastAsia="Arial" w:hAnsi="Arial"/>
          <w:sz w:val="18"/>
          <w:szCs w:val="18"/>
          <w:color w:val="auto"/>
        </w:rPr>
        <w:t>” and, together with the Base Capped Call Transaction, the “</w:t>
      </w:r>
      <w:r>
        <w:rPr>
          <w:rFonts w:ascii="Arial" w:cs="Arial" w:eastAsia="Arial" w:hAnsi="Arial"/>
          <w:sz w:val="18"/>
          <w:szCs w:val="18"/>
          <w:b w:val="1"/>
          <w:bCs w:val="1"/>
          <w:color w:val="auto"/>
        </w:rPr>
        <w:t>Capped Call Transactions</w:t>
      </w:r>
      <w:r>
        <w:rPr>
          <w:rFonts w:ascii="Arial" w:cs="Arial" w:eastAsia="Arial" w:hAnsi="Arial"/>
          <w:sz w:val="18"/>
          <w:szCs w:val="18"/>
          <w:color w:val="auto"/>
        </w:rPr>
        <w:t>”) pursuant to an ISDA confirmation dated as of December 15, 2020, which supplements, forms a part of, and is subject to an agreement in the form of the 2002 ISDA Master Agreement, pursuant to which Company purchased from Dealer an additional 112,500 call options (as amended, modified, terminated or unwound from time to time, the “</w:t>
      </w:r>
      <w:r>
        <w:rPr>
          <w:rFonts w:ascii="Arial" w:cs="Arial" w:eastAsia="Arial" w:hAnsi="Arial"/>
          <w:sz w:val="18"/>
          <w:szCs w:val="18"/>
          <w:b w:val="1"/>
          <w:bCs w:val="1"/>
          <w:color w:val="auto"/>
        </w:rPr>
        <w:t>Additional Capped Call Confirmation</w:t>
      </w:r>
      <w:r>
        <w:rPr>
          <w:rFonts w:ascii="Arial" w:cs="Arial" w:eastAsia="Arial" w:hAnsi="Arial"/>
          <w:sz w:val="18"/>
          <w:szCs w:val="18"/>
          <w:color w:val="auto"/>
        </w:rPr>
        <w:t>” and, together with the Base Capped Call Confirmation,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in anticipation of the consummation of transactions contemplated by the previously announced Agreement and Plan of Merger, dated as of January 9, 2022 (as it may be amended or supplemented from time to time, the “Merger Agreement”), by and among the Company, Take-Two-Interactive Software, Inc., Zebra MS I, Inc., a wholly owned subsidiary of Take-Two , and Zebra MS II, Inc., a wholly owned subsidiary of Take-Two (“Merger Sub 2”), Company has requested termination of the Capped Call Transactions;</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NOW, THEREFORE, in consideration of their mutual covenants herein contained, the parties hereto, intending to be legally bound, hereby mutually covenant and agree as follows:</w:t>
      </w:r>
    </w:p>
    <w:p>
      <w:pPr>
        <w:spacing w:after="0" w:line="170" w:lineRule="exact"/>
        <w:rPr>
          <w:sz w:val="20"/>
          <w:szCs w:val="20"/>
          <w:color w:val="auto"/>
        </w:rPr>
      </w:pPr>
    </w:p>
    <w:p>
      <w:pPr>
        <w:ind w:right="920" w:firstLine="436"/>
        <w:spacing w:after="0" w:line="277" w:lineRule="auto"/>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Any capitalized term not otherwise defined herein shall have the meaning set forth for such term in the Capped Call Confirmations.</w:t>
      </w:r>
    </w:p>
    <w:p>
      <w:pPr>
        <w:spacing w:after="0" w:line="170" w:lineRule="exact"/>
        <w:rPr>
          <w:rFonts w:ascii="Arial" w:cs="Arial" w:eastAsia="Arial" w:hAnsi="Arial"/>
          <w:sz w:val="18"/>
          <w:szCs w:val="18"/>
          <w:color w:val="auto"/>
        </w:rPr>
      </w:pPr>
    </w:p>
    <w:p>
      <w:pPr>
        <w:ind w:right="60" w:firstLine="436"/>
        <w:spacing w:after="0" w:line="301" w:lineRule="auto"/>
        <w:tabs>
          <w:tab w:leader="none" w:pos="62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anything to the contrary in the Capped Call Confirmations, Company and Dealer agree that, effective on the date hereof and following the termination contemplated hereby, the Number of Options remaining outstanding under the Base Capped Call Transaction shall be reduced to zero and the Number of Options remaining outstanding under the Additional Capped Call Transaction shall be reduced to zero , and in connection therewith Dealer shall be required to pay to Company the Cash Settlement Amount on the Payment Date pursuant to Sections 3 and 4 below.</w:t>
      </w:r>
    </w:p>
    <w:p>
      <w:pPr>
        <w:spacing w:after="0" w:line="157" w:lineRule="exact"/>
        <w:rPr>
          <w:rFonts w:ascii="Arial" w:cs="Arial" w:eastAsia="Arial" w:hAnsi="Arial"/>
          <w:sz w:val="16"/>
          <w:szCs w:val="16"/>
          <w:color w:val="auto"/>
        </w:rPr>
      </w:pPr>
    </w:p>
    <w:p>
      <w:pPr>
        <w:ind w:right="160" w:firstLine="436"/>
        <w:spacing w:after="0" w:line="301" w:lineRule="auto"/>
        <w:tabs>
          <w:tab w:leader="none" w:pos="62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Payments and Deliveries</w:t>
      </w:r>
      <w:r>
        <w:rPr>
          <w:rFonts w:ascii="Arial" w:cs="Arial" w:eastAsia="Arial" w:hAnsi="Arial"/>
          <w:sz w:val="16"/>
          <w:szCs w:val="16"/>
          <w:color w:val="auto"/>
        </w:rPr>
        <w:t>. On the first Scheduled Trading Day following the final Averaging Date (as defined below) or, if such day is not a Clearance System Business Day, on the next Clearance System Business Day immediately following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Dealer shall pay to Company in immediately available funds cash in an amount equal to the Cash Settlement Amount. The “</w:t>
      </w:r>
      <w:r>
        <w:rPr>
          <w:rFonts w:ascii="Arial" w:cs="Arial" w:eastAsia="Arial" w:hAnsi="Arial"/>
          <w:sz w:val="16"/>
          <w:szCs w:val="16"/>
          <w:b w:val="1"/>
          <w:bCs w:val="1"/>
          <w:color w:val="auto"/>
        </w:rPr>
        <w:t>Cash Settlement Amount</w:t>
      </w:r>
      <w:r>
        <w:rPr>
          <w:rFonts w:ascii="Arial" w:cs="Arial" w:eastAsia="Arial" w:hAnsi="Arial"/>
          <w:sz w:val="16"/>
          <w:szCs w:val="16"/>
          <w:color w:val="auto"/>
        </w:rPr>
        <w:t>” shall mean an amount in US Dollars determined by Dealer using linear interpolation with reference to the table set forth in Schedule A attached hereto.</w:t>
      </w:r>
    </w:p>
    <w:p>
      <w:pPr>
        <w:spacing w:after="0" w:line="153" w:lineRule="exact"/>
        <w:rPr>
          <w:rFonts w:ascii="Arial" w:cs="Arial" w:eastAsia="Arial" w:hAnsi="Arial"/>
          <w:sz w:val="16"/>
          <w:szCs w:val="16"/>
          <w:color w:val="auto"/>
        </w:rPr>
      </w:pPr>
    </w:p>
    <w:p>
      <w:pPr>
        <w:ind w:right="540" w:firstLine="436"/>
        <w:spacing w:after="0" w:line="266" w:lineRule="auto"/>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Valuation</w:t>
      </w:r>
      <w:r>
        <w:rPr>
          <w:rFonts w:ascii="Arial" w:cs="Arial" w:eastAsia="Arial" w:hAnsi="Arial"/>
          <w:sz w:val="18"/>
          <w:szCs w:val="18"/>
          <w:color w:val="auto"/>
        </w:rPr>
        <w:t>. “</w:t>
      </w:r>
      <w:r>
        <w:rPr>
          <w:rFonts w:ascii="Arial" w:cs="Arial" w:eastAsia="Arial" w:hAnsi="Arial"/>
          <w:sz w:val="18"/>
          <w:szCs w:val="18"/>
          <w:b w:val="1"/>
          <w:bCs w:val="1"/>
          <w:color w:val="auto"/>
        </w:rPr>
        <w:t>Averaging Date</w:t>
      </w:r>
      <w:r>
        <w:rPr>
          <w:rFonts w:ascii="Arial" w:cs="Arial" w:eastAsia="Arial" w:hAnsi="Arial"/>
          <w:sz w:val="18"/>
          <w:szCs w:val="18"/>
          <w:color w:val="auto"/>
        </w:rPr>
        <w:t>” means June 27, 2022 and the four Scheduled Trading Days thereafter (the period of consecutive Scheduled Trading Days from and including June 27, 2022 through the final Averaging Date being collectively referred to as the “</w:t>
      </w:r>
      <w:r>
        <w:rPr>
          <w:rFonts w:ascii="Arial" w:cs="Arial" w:eastAsia="Arial" w:hAnsi="Arial"/>
          <w:sz w:val="18"/>
          <w:szCs w:val="18"/>
          <w:b w:val="1"/>
          <w:bCs w:val="1"/>
          <w:color w:val="auto"/>
        </w:rPr>
        <w:t>Termination Valuation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w:t>
      </w:r>
    </w:p>
    <w:p>
      <w:pPr>
        <w:sectPr>
          <w:pgSz w:w="11900" w:h="16838" w:orient="portrait"/>
          <w:cols w:equalWidth="0" w:num="1">
            <w:col w:w="11020"/>
          </w:cols>
          <w:pgMar w:left="440" w:top="121" w:right="439" w:bottom="1440" w:gutter="0" w:footer="0" w:header="0"/>
        </w:sectPr>
      </w:pPr>
    </w:p>
    <w:bookmarkStart w:id="137" w:name="page138"/>
    <w:bookmarkEnd w:id="137"/>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date is a Disrupted Day in whole, such date shall not constitute an Averaging Date, and an additional Averaging Date shall occur on the Scheduled Trading Day after the date that would otherwise be the final Averaging Date. “</w:t>
      </w:r>
      <w:r>
        <w:rPr>
          <w:rFonts w:ascii="Arial" w:cs="Arial" w:eastAsia="Arial" w:hAnsi="Arial"/>
          <w:sz w:val="16"/>
          <w:szCs w:val="16"/>
          <w:b w:val="1"/>
          <w:bCs w:val="1"/>
          <w:color w:val="auto"/>
        </w:rPr>
        <w:t>Average VWAP</w:t>
      </w:r>
      <w:r>
        <w:rPr>
          <w:rFonts w:ascii="Arial" w:cs="Arial" w:eastAsia="Arial" w:hAnsi="Arial"/>
          <w:sz w:val="16"/>
          <w:szCs w:val="16"/>
          <w:color w:val="auto"/>
        </w:rPr>
        <w:t>” means the arithmetic average of the VWAP Prices for each Averaging Date during the Termination Valuation Period. “</w:t>
      </w:r>
      <w:r>
        <w:rPr>
          <w:rFonts w:ascii="Arial" w:cs="Arial" w:eastAsia="Arial" w:hAnsi="Arial"/>
          <w:sz w:val="16"/>
          <w:szCs w:val="16"/>
          <w:b w:val="1"/>
          <w:bCs w:val="1"/>
          <w:color w:val="auto"/>
        </w:rPr>
        <w:t>VWAP Price</w:t>
      </w:r>
      <w:r>
        <w:rPr>
          <w:rFonts w:ascii="Arial" w:cs="Arial" w:eastAsia="Arial" w:hAnsi="Arial"/>
          <w:sz w:val="16"/>
          <w:szCs w:val="16"/>
          <w:color w:val="auto"/>
        </w:rPr>
        <w:t>” for any Scheduled Trading Day means the per Share volume-weighted average price as displayed under the heading “Bloomberg VWAP” on Bloomberg page TTWO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in a good faith, commercially reasonable manner). Notwithstanding the foregoing, if (i) any Scheduled Trading Day in the Termination Valuation Period is a Disrupted Day in part or</w:t>
      </w:r>
    </w:p>
    <w:p>
      <w:pPr>
        <w:spacing w:after="0" w:line="2" w:lineRule="exact"/>
        <w:rPr>
          <w:sz w:val="20"/>
          <w:szCs w:val="20"/>
          <w:color w:val="auto"/>
        </w:rPr>
      </w:pPr>
    </w:p>
    <w:p>
      <w:pPr>
        <w:ind w:left="4" w:hanging="4"/>
        <w:spacing w:after="0" w:line="269" w:lineRule="auto"/>
        <w:tabs>
          <w:tab w:leader="none" w:pos="26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Dealer determines in its commercially reasonable judgment that on any Scheduled Trading Day during the Termination Valuation Period an extension of the Termination Valuation Period is reasonably necessary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internal policies and procedures, then the VWAP Price for such Scheduled Trading Day(s) shall be the volume-weighted average price per Share on such Scheduled Trading Day on the Exchange for such time period, as determined by Dealer in a commercially reasonable manner and the Cash Settlement Amount shall be adjusted by Dealer in its good faith, commercially reasonable discretion to account for such disruption and/or extension.</w:t>
      </w:r>
    </w:p>
    <w:p>
      <w:pPr>
        <w:spacing w:after="0" w:line="180" w:lineRule="exact"/>
        <w:rPr>
          <w:rFonts w:ascii="Arial" w:cs="Arial" w:eastAsia="Arial" w:hAnsi="Arial"/>
          <w:sz w:val="17"/>
          <w:szCs w:val="17"/>
          <w:color w:val="auto"/>
        </w:rPr>
      </w:pPr>
    </w:p>
    <w:p>
      <w:pPr>
        <w:ind w:left="624" w:hanging="184"/>
        <w:spacing w:after="0"/>
        <w:tabs>
          <w:tab w:leader="none" w:pos="624"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and warrants to Dealer on the date hereof that:</w:t>
      </w:r>
    </w:p>
    <w:p>
      <w:pPr>
        <w:spacing w:after="0" w:line="225" w:lineRule="exact"/>
        <w:rPr>
          <w:rFonts w:ascii="Arial" w:cs="Arial" w:eastAsia="Arial" w:hAnsi="Arial"/>
          <w:sz w:val="18"/>
          <w:szCs w:val="18"/>
          <w:color w:val="auto"/>
        </w:rPr>
      </w:pPr>
    </w:p>
    <w:p>
      <w:pPr>
        <w:ind w:left="4" w:right="20" w:firstLine="987"/>
        <w:spacing w:after="0" w:line="263" w:lineRule="auto"/>
        <w:tabs>
          <w:tab w:leader="none" w:pos="12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83" w:lineRule="exact"/>
        <w:rPr>
          <w:rFonts w:ascii="Arial" w:cs="Arial" w:eastAsia="Arial" w:hAnsi="Arial"/>
          <w:sz w:val="18"/>
          <w:szCs w:val="18"/>
          <w:color w:val="auto"/>
        </w:rPr>
      </w:pPr>
    </w:p>
    <w:p>
      <w:pPr>
        <w:ind w:left="4" w:right="100" w:firstLine="987"/>
        <w:spacing w:after="0" w:line="263" w:lineRule="auto"/>
        <w:tabs>
          <w:tab w:leader="none" w:pos="125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83" w:lineRule="exact"/>
        <w:rPr>
          <w:rFonts w:ascii="Arial" w:cs="Arial" w:eastAsia="Arial" w:hAnsi="Arial"/>
          <w:sz w:val="18"/>
          <w:szCs w:val="18"/>
          <w:color w:val="auto"/>
        </w:rPr>
      </w:pPr>
    </w:p>
    <w:p>
      <w:pPr>
        <w:ind w:left="4" w:right="240" w:firstLine="987"/>
        <w:spacing w:after="0" w:line="277" w:lineRule="auto"/>
        <w:tabs>
          <w:tab w:leader="none" w:pos="12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170" w:lineRule="exact"/>
        <w:rPr>
          <w:rFonts w:ascii="Arial" w:cs="Arial" w:eastAsia="Arial" w:hAnsi="Arial"/>
          <w:sz w:val="18"/>
          <w:szCs w:val="18"/>
          <w:color w:val="auto"/>
        </w:rPr>
      </w:pPr>
    </w:p>
    <w:p>
      <w:pPr>
        <w:ind w:left="4" w:right="80" w:firstLine="987"/>
        <w:spacing w:after="0" w:line="311" w:lineRule="auto"/>
        <w:tabs>
          <w:tab w:leader="none" w:pos="125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48" w:lineRule="exact"/>
        <w:rPr>
          <w:rFonts w:ascii="Arial" w:cs="Arial" w:eastAsia="Arial" w:hAnsi="Arial"/>
          <w:sz w:val="16"/>
          <w:szCs w:val="16"/>
          <w:color w:val="auto"/>
        </w:rPr>
      </w:pPr>
    </w:p>
    <w:p>
      <w:pPr>
        <w:ind w:left="1244" w:hanging="253"/>
        <w:spacing w:after="0"/>
        <w:tabs>
          <w:tab w:leader="none" w:pos="124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each of it and its Affiliates is not in possession of any material nonpublic information regarding Company or the Shares;</w:t>
      </w:r>
    </w:p>
    <w:p>
      <w:pPr>
        <w:spacing w:after="0" w:line="225" w:lineRule="exact"/>
        <w:rPr>
          <w:rFonts w:ascii="Arial" w:cs="Arial" w:eastAsia="Arial" w:hAnsi="Arial"/>
          <w:sz w:val="18"/>
          <w:szCs w:val="18"/>
          <w:color w:val="auto"/>
        </w:rPr>
      </w:pPr>
    </w:p>
    <w:p>
      <w:pPr>
        <w:ind w:left="4" w:firstLine="987"/>
        <w:spacing w:after="0" w:line="263" w:lineRule="auto"/>
        <w:tabs>
          <w:tab w:leader="none" w:pos="122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it is not entering into this Agreement or purchasing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w:t>
      </w:r>
    </w:p>
    <w:p>
      <w:pPr>
        <w:spacing w:after="0" w:line="183" w:lineRule="exact"/>
        <w:rPr>
          <w:rFonts w:ascii="Arial" w:cs="Arial" w:eastAsia="Arial" w:hAnsi="Arial"/>
          <w:sz w:val="18"/>
          <w:szCs w:val="18"/>
          <w:color w:val="auto"/>
        </w:rPr>
      </w:pPr>
    </w:p>
    <w:p>
      <w:pPr>
        <w:ind w:left="4" w:right="240" w:firstLine="987"/>
        <w:spacing w:after="0" w:line="277" w:lineRule="auto"/>
        <w:tabs>
          <w:tab w:leader="none" w:pos="125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it is not “insolvent” (as such term is defined under Section 101(32) of the U.S. Bankruptcy Code Title 11 of the United States Code) (the “Bankruptcy Code”)); and</w:t>
      </w:r>
    </w:p>
    <w:p>
      <w:pPr>
        <w:spacing w:after="0" w:line="170" w:lineRule="exact"/>
        <w:rPr>
          <w:rFonts w:ascii="Arial" w:cs="Arial" w:eastAsia="Arial" w:hAnsi="Arial"/>
          <w:sz w:val="18"/>
          <w:szCs w:val="18"/>
          <w:color w:val="auto"/>
        </w:rPr>
      </w:pPr>
    </w:p>
    <w:p>
      <w:pPr>
        <w:jc w:val="both"/>
        <w:ind w:left="4" w:right="480" w:firstLine="987"/>
        <w:spacing w:after="0" w:line="311" w:lineRule="auto"/>
        <w:tabs>
          <w:tab w:leader="none" w:pos="125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it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81" w:lineRule="exact"/>
        <w:rPr>
          <w:rFonts w:ascii="Arial" w:cs="Arial" w:eastAsia="Arial" w:hAnsi="Arial"/>
          <w:sz w:val="16"/>
          <w:szCs w:val="16"/>
          <w:color w:val="auto"/>
        </w:rPr>
      </w:pPr>
    </w:p>
    <w:p>
      <w:pPr>
        <w:ind w:left="5464" w:hanging="106"/>
        <w:spacing w:after="0"/>
        <w:tabs>
          <w:tab w:leader="none" w:pos="5464" w:val="left"/>
        </w:tabs>
        <w:numPr>
          <w:ilvl w:val="3"/>
          <w:numId w:val="14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4"/>
          </w:cols>
          <w:pgMar w:left="436" w:top="274" w:right="479" w:bottom="1440" w:gutter="0" w:footer="0" w:header="0"/>
        </w:sectPr>
      </w:pPr>
    </w:p>
    <w:bookmarkStart w:id="138" w:name="page139"/>
    <w:bookmarkEnd w:id="138"/>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Dealer</w:t>
      </w:r>
      <w:r>
        <w:rPr>
          <w:rFonts w:ascii="Arial" w:cs="Arial" w:eastAsia="Arial" w:hAnsi="Arial"/>
          <w:sz w:val="18"/>
          <w:szCs w:val="18"/>
          <w:color w:val="auto"/>
        </w:rPr>
        <w:t>. Dealer represents and warrants to Company on the date hereof that:</w:t>
      </w:r>
    </w:p>
    <w:p>
      <w:pPr>
        <w:spacing w:after="0" w:line="225" w:lineRule="exact"/>
        <w:rPr>
          <w:rFonts w:ascii="Arial" w:cs="Arial" w:eastAsia="Arial" w:hAnsi="Arial"/>
          <w:sz w:val="18"/>
          <w:szCs w:val="18"/>
          <w:color w:val="auto"/>
        </w:rPr>
      </w:pPr>
    </w:p>
    <w:p>
      <w:pPr>
        <w:ind w:left="-436" w:right="60" w:firstLine="987"/>
        <w:spacing w:after="0" w:line="263" w:lineRule="auto"/>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83" w:lineRule="exact"/>
        <w:rPr>
          <w:rFonts w:ascii="Arial" w:cs="Arial" w:eastAsia="Arial" w:hAnsi="Arial"/>
          <w:sz w:val="18"/>
          <w:szCs w:val="18"/>
          <w:color w:val="auto"/>
        </w:rPr>
      </w:pPr>
    </w:p>
    <w:p>
      <w:pPr>
        <w:ind w:left="-436" w:right="120" w:firstLine="987"/>
        <w:spacing w:after="0" w:line="263" w:lineRule="auto"/>
        <w:tabs>
          <w:tab w:leader="none" w:pos="8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83" w:lineRule="exact"/>
        <w:rPr>
          <w:rFonts w:ascii="Arial" w:cs="Arial" w:eastAsia="Arial" w:hAnsi="Arial"/>
          <w:sz w:val="18"/>
          <w:szCs w:val="18"/>
          <w:color w:val="auto"/>
        </w:rPr>
      </w:pPr>
    </w:p>
    <w:p>
      <w:pPr>
        <w:ind w:left="-436" w:right="260" w:firstLine="987"/>
        <w:spacing w:after="0" w:line="277" w:lineRule="auto"/>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170" w:lineRule="exact"/>
        <w:rPr>
          <w:rFonts w:ascii="Arial" w:cs="Arial" w:eastAsia="Arial" w:hAnsi="Arial"/>
          <w:sz w:val="18"/>
          <w:szCs w:val="18"/>
          <w:color w:val="auto"/>
        </w:rPr>
      </w:pPr>
    </w:p>
    <w:p>
      <w:pPr>
        <w:ind w:left="-436" w:right="120" w:firstLine="987"/>
        <w:spacing w:after="0" w:line="311" w:lineRule="auto"/>
        <w:tabs>
          <w:tab w:leader="none" w:pos="81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48" w:lineRule="exact"/>
        <w:rPr>
          <w:rFonts w:ascii="Arial" w:cs="Arial" w:eastAsia="Arial" w:hAnsi="Arial"/>
          <w:sz w:val="16"/>
          <w:szCs w:val="16"/>
          <w:color w:val="auto"/>
        </w:rPr>
      </w:pPr>
    </w:p>
    <w:p>
      <w:pPr>
        <w:ind w:left="-436" w:right="100" w:firstLine="436"/>
        <w:spacing w:after="0" w:line="273" w:lineRule="auto"/>
        <w:tabs>
          <w:tab w:leader="none" w:pos="184"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Additional Acknowledgements and Agreements</w:t>
      </w:r>
      <w:r>
        <w:rPr>
          <w:rFonts w:ascii="Arial" w:cs="Arial" w:eastAsia="Arial" w:hAnsi="Arial"/>
          <w:sz w:val="17"/>
          <w:szCs w:val="17"/>
          <w:color w:val="auto"/>
        </w:rPr>
        <w:t>. Company acknowledges and agrees that (A) Company does not have, and shall not attempt to exercise, any influence over how, when or whether Dealer effects any hedge unwind activity in connection with this Agreement, (B) prior to the Payment Date, neither Company nor its officers or employees shall, directly or indirectly, communicate any information regarding Company or the Shares to any employee of Dealer or its affiliates responsible for trading the Shares in connection with the transactions contemplated hereby and identified to Company and (C) Company is entering into this Agreement in good faith and not as part of a plan or scheme to evade compliance with federal securities laws including, without limitation, Rule 10b-5 promulgated under the Exchange Act.</w:t>
      </w:r>
    </w:p>
    <w:p>
      <w:pPr>
        <w:spacing w:after="0" w:line="177" w:lineRule="exact"/>
        <w:rPr>
          <w:rFonts w:ascii="Arial" w:cs="Arial" w:eastAsia="Arial" w:hAnsi="Arial"/>
          <w:sz w:val="17"/>
          <w:szCs w:val="17"/>
          <w:color w:val="auto"/>
        </w:rPr>
      </w:pPr>
    </w:p>
    <w:p>
      <w:pPr>
        <w:ind w:left="-436" w:firstLine="436"/>
        <w:spacing w:after="0" w:line="254" w:lineRule="auto"/>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Agreements and Acknowledgements Regarding Hedging</w:t>
      </w:r>
      <w:r>
        <w:rPr>
          <w:rFonts w:ascii="Arial" w:cs="Arial" w:eastAsia="Arial" w:hAnsi="Arial"/>
          <w:sz w:val="18"/>
          <w:szCs w:val="18"/>
          <w:color w:val="auto"/>
        </w:rPr>
        <w:t>. Company understands, acknowledges and agrees that: (A) Dealer and its affiliates may buy or sell Shares or other securities or buy or sell options or futures contracts or enter into or unwind swaps or other derivative securities for its own account in connection with the termination of the Capped Call Transactions; (B) Dealer and its affiliates also may be active in the market for Shares other than in connection with hedging activities in relation to the termination of the Capped Call Transactions; (C) Dealer shall make its own determination as to whether, when or in what manner any hedging or market activities in securities of Company shall be conducted and shall do so in a manner that it deems appropriate to hedge its price and market risk with respect to the payment required under this Agreement; and (D) any market activities of Dealer and its affiliates with respect to Shares may affect the market price and volatility of Shares, each in a manner that may be adverse to Company.</w:t>
      </w:r>
    </w:p>
    <w:p>
      <w:pPr>
        <w:spacing w:after="0" w:line="191"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Account for Payment to Company</w:t>
      </w:r>
      <w:r>
        <w:rPr>
          <w:rFonts w:ascii="Arial" w:cs="Arial" w:eastAsia="Arial" w:hAnsi="Arial"/>
          <w:sz w:val="18"/>
          <w:szCs w:val="18"/>
          <w:color w:val="auto"/>
        </w:rPr>
        <w:t>:</w:t>
      </w:r>
    </w:p>
    <w:p>
      <w:pPr>
        <w:spacing w:after="0" w:line="117" w:lineRule="exact"/>
        <w:rPr>
          <w:sz w:val="20"/>
          <w:szCs w:val="20"/>
          <w:color w:val="auto"/>
        </w:rPr>
      </w:pPr>
    </w:p>
    <w:p>
      <w:pPr>
        <w:ind w:left="204"/>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204"/>
        <w:spacing w:after="0"/>
        <w:rPr>
          <w:sz w:val="20"/>
          <w:szCs w:val="20"/>
          <w:color w:val="auto"/>
        </w:rPr>
      </w:pPr>
      <w:r>
        <w:rPr>
          <w:rFonts w:ascii="Arial" w:cs="Arial" w:eastAsia="Arial" w:hAnsi="Arial"/>
          <w:sz w:val="18"/>
          <w:szCs w:val="18"/>
          <w:color w:val="auto"/>
        </w:rPr>
        <w:t>ABA Routing: 021000021</w:t>
      </w:r>
    </w:p>
    <w:p>
      <w:pPr>
        <w:spacing w:after="0" w:line="9" w:lineRule="exact"/>
        <w:rPr>
          <w:sz w:val="20"/>
          <w:szCs w:val="20"/>
          <w:color w:val="auto"/>
        </w:rPr>
      </w:pPr>
    </w:p>
    <w:p>
      <w:pPr>
        <w:ind w:left="204"/>
        <w:spacing w:after="0"/>
        <w:rPr>
          <w:sz w:val="20"/>
          <w:szCs w:val="20"/>
          <w:color w:val="auto"/>
        </w:rPr>
      </w:pPr>
      <w:r>
        <w:rPr>
          <w:rFonts w:ascii="Arial" w:cs="Arial" w:eastAsia="Arial" w:hAnsi="Arial"/>
          <w:sz w:val="18"/>
          <w:szCs w:val="18"/>
          <w:color w:val="auto"/>
        </w:rPr>
        <w:t>Account No.: 156330700</w:t>
      </w:r>
    </w:p>
    <w:p>
      <w:pPr>
        <w:spacing w:after="0" w:line="9" w:lineRule="exact"/>
        <w:rPr>
          <w:sz w:val="20"/>
          <w:szCs w:val="20"/>
          <w:color w:val="auto"/>
        </w:rPr>
      </w:pPr>
    </w:p>
    <w:p>
      <w:pPr>
        <w:ind w:left="204"/>
        <w:spacing w:after="0"/>
        <w:rPr>
          <w:sz w:val="20"/>
          <w:szCs w:val="20"/>
          <w:color w:val="auto"/>
        </w:rPr>
      </w:pPr>
      <w:r>
        <w:rPr>
          <w:rFonts w:ascii="Arial" w:cs="Arial" w:eastAsia="Arial" w:hAnsi="Arial"/>
          <w:sz w:val="18"/>
          <w:szCs w:val="18"/>
          <w:color w:val="auto"/>
        </w:rPr>
        <w:t>Account Name: Take-Two Interactive Software, Inc.</w:t>
      </w:r>
    </w:p>
    <w:p>
      <w:pPr>
        <w:spacing w:after="0" w:line="211" w:lineRule="exact"/>
        <w:rPr>
          <w:sz w:val="20"/>
          <w:szCs w:val="20"/>
          <w:color w:val="auto"/>
        </w:rPr>
      </w:pPr>
    </w:p>
    <w:p>
      <w:pPr>
        <w:ind w:left="-436" w:right="340" w:firstLine="436"/>
        <w:spacing w:after="0" w:line="277" w:lineRule="auto"/>
        <w:tabs>
          <w:tab w:leader="none" w:pos="274"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hereunder shall be governed by and construed in accordance with the laws of the State of New York (without reference to choice of law doctrine).</w:t>
      </w:r>
    </w:p>
    <w:p>
      <w:pPr>
        <w:spacing w:after="0" w:line="170" w:lineRule="exact"/>
        <w:rPr>
          <w:rFonts w:ascii="Arial" w:cs="Arial" w:eastAsia="Arial" w:hAnsi="Arial"/>
          <w:sz w:val="18"/>
          <w:szCs w:val="18"/>
          <w:color w:val="auto"/>
        </w:rPr>
      </w:pPr>
    </w:p>
    <w:p>
      <w:pPr>
        <w:ind w:left="-436" w:firstLine="436"/>
        <w:spacing w:after="0" w:line="277" w:lineRule="auto"/>
        <w:tabs>
          <w:tab w:leader="none" w:pos="26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all of the signatures thereto and hereto were upon the same instrument.</w:t>
      </w:r>
    </w:p>
    <w:p>
      <w:pPr>
        <w:spacing w:after="0" w:line="102" w:lineRule="exact"/>
        <w:rPr>
          <w:rFonts w:ascii="Arial" w:cs="Arial" w:eastAsia="Arial" w:hAnsi="Arial"/>
          <w:sz w:val="18"/>
          <w:szCs w:val="18"/>
          <w:color w:val="auto"/>
        </w:rPr>
      </w:pPr>
    </w:p>
    <w:p>
      <w:pPr>
        <w:ind w:left="5024" w:hanging="106"/>
        <w:spacing w:after="0"/>
        <w:tabs>
          <w:tab w:leader="none" w:pos="50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64"/>
          </w:cols>
          <w:pgMar w:left="876" w:top="274" w:right="459" w:bottom="1440" w:gutter="0" w:footer="0" w:header="0"/>
        </w:sectPr>
      </w:pPr>
    </w:p>
    <w:bookmarkStart w:id="139" w:name="page140"/>
    <w:bookmarkEnd w:id="139"/>
    <w:p>
      <w:pPr>
        <w:ind w:left="-40" w:firstLine="436"/>
        <w:spacing w:after="0" w:line="263" w:lineRule="auto"/>
        <w:tabs>
          <w:tab w:leader="none" w:pos="67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Reliance, etc</w:t>
      </w:r>
      <w:r>
        <w:rPr>
          <w:rFonts w:ascii="Arial" w:cs="Arial" w:eastAsia="Arial" w:hAnsi="Arial"/>
          <w:sz w:val="18"/>
          <w:szCs w:val="18"/>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480" w:top="274" w:right="47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Mike Voris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Mike Voris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Partner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Gerard Griffin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ZYNGA INC. and BARCLAYS BANK PLC</w:t>
      </w:r>
    </w:p>
    <w:p>
      <w:pPr>
        <w:spacing w:after="0" w:line="20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respect to the Capped Call Confirmations (as defined below) is made as of May 20, 2022, between Zynga Inc. (“</w:t>
      </w:r>
      <w:r>
        <w:rPr>
          <w:rFonts w:ascii="Arial" w:cs="Arial" w:eastAsia="Arial" w:hAnsi="Arial"/>
          <w:sz w:val="18"/>
          <w:szCs w:val="18"/>
          <w:b w:val="1"/>
          <w:bCs w:val="1"/>
          <w:color w:val="auto"/>
        </w:rPr>
        <w:t>Company</w:t>
      </w:r>
      <w:r>
        <w:rPr>
          <w:rFonts w:ascii="Arial" w:cs="Arial" w:eastAsia="Arial" w:hAnsi="Arial"/>
          <w:sz w:val="18"/>
          <w:szCs w:val="18"/>
          <w:color w:val="auto"/>
        </w:rPr>
        <w:t>”) and Barclays Bank plc (“</w:t>
      </w:r>
      <w:r>
        <w:rPr>
          <w:rFonts w:ascii="Arial" w:cs="Arial" w:eastAsia="Arial" w:hAnsi="Arial"/>
          <w:sz w:val="18"/>
          <w:szCs w:val="18"/>
          <w:b w:val="1"/>
          <w:bCs w:val="1"/>
          <w:color w:val="auto"/>
        </w:rPr>
        <w:t>Dealer</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WHEREAS, Company issued $762,000,000 principal amount of 0.00% Convertible Senior Notes due 2026 (the “</w:t>
      </w:r>
      <w:r>
        <w:rPr>
          <w:rFonts w:ascii="Arial" w:cs="Arial" w:eastAsia="Arial" w:hAnsi="Arial"/>
          <w:sz w:val="18"/>
          <w:szCs w:val="18"/>
          <w:b w:val="1"/>
          <w:bCs w:val="1"/>
          <w:color w:val="auto"/>
        </w:rPr>
        <w:t>Convertible Notes</w:t>
      </w:r>
      <w:r>
        <w:rPr>
          <w:rFonts w:ascii="Arial" w:cs="Arial" w:eastAsia="Arial" w:hAnsi="Arial"/>
          <w:sz w:val="18"/>
          <w:szCs w:val="18"/>
          <w:color w:val="auto"/>
        </w:rPr>
        <w:t>”) pursuant to an Indenture dated as of December 17, 2020 between Company and Computershare Trust Company, N.A. (as successor to Wells Fargo Bank, National Association), as trustee;</w:t>
      </w:r>
    </w:p>
    <w:p>
      <w:pPr>
        <w:spacing w:after="0" w:line="18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WHEREAS, in connection with the issuance of the Convertible Notes, Company and Dealer entered into a Base Capped Call Transaction (the “</w:t>
      </w:r>
      <w:r>
        <w:rPr>
          <w:rFonts w:ascii="Arial" w:cs="Arial" w:eastAsia="Arial" w:hAnsi="Arial"/>
          <w:sz w:val="17"/>
          <w:szCs w:val="17"/>
          <w:b w:val="1"/>
          <w:bCs w:val="1"/>
          <w:color w:val="auto"/>
        </w:rPr>
        <w:t>Base Capped Call Transaction</w:t>
      </w:r>
      <w:r>
        <w:rPr>
          <w:rFonts w:ascii="Arial" w:cs="Arial" w:eastAsia="Arial" w:hAnsi="Arial"/>
          <w:sz w:val="17"/>
          <w:szCs w:val="17"/>
          <w:color w:val="auto"/>
        </w:rPr>
        <w:t>”) pursuant to an ISDA confirmation dated as of December 14, 2020, which supplements, forms a part of, and is subject to an agreement in the form of the 2002 ISDA Master Agreement, pursuant to which Company purchased from Dealer 762,000 call options (as amended, modified, terminated or unwound from time to time, the “</w:t>
      </w:r>
      <w:r>
        <w:rPr>
          <w:rFonts w:ascii="Arial" w:cs="Arial" w:eastAsia="Arial" w:hAnsi="Arial"/>
          <w:sz w:val="17"/>
          <w:szCs w:val="17"/>
          <w:b w:val="1"/>
          <w:bCs w:val="1"/>
          <w:color w:val="auto"/>
        </w:rPr>
        <w:t>Base Capped Call Confirmation</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WHEREAS, in connection with the exercise of the over-allotment option by the initial purchasers of the Convertible Notes, Company and Dealer entered into an Additional Capped Call Transaction (the “</w:t>
      </w:r>
      <w:r>
        <w:rPr>
          <w:rFonts w:ascii="Arial" w:cs="Arial" w:eastAsia="Arial" w:hAnsi="Arial"/>
          <w:sz w:val="18"/>
          <w:szCs w:val="18"/>
          <w:b w:val="1"/>
          <w:bCs w:val="1"/>
          <w:color w:val="auto"/>
        </w:rPr>
        <w:t>Additional Capped Call Transaction</w:t>
      </w:r>
      <w:r>
        <w:rPr>
          <w:rFonts w:ascii="Arial" w:cs="Arial" w:eastAsia="Arial" w:hAnsi="Arial"/>
          <w:sz w:val="18"/>
          <w:szCs w:val="18"/>
          <w:color w:val="auto"/>
        </w:rPr>
        <w:t>” and, together with the Base Capped Call Transaction, the “</w:t>
      </w:r>
      <w:r>
        <w:rPr>
          <w:rFonts w:ascii="Arial" w:cs="Arial" w:eastAsia="Arial" w:hAnsi="Arial"/>
          <w:sz w:val="18"/>
          <w:szCs w:val="18"/>
          <w:b w:val="1"/>
          <w:bCs w:val="1"/>
          <w:color w:val="auto"/>
        </w:rPr>
        <w:t>Capped Call Transactions</w:t>
      </w:r>
      <w:r>
        <w:rPr>
          <w:rFonts w:ascii="Arial" w:cs="Arial" w:eastAsia="Arial" w:hAnsi="Arial"/>
          <w:sz w:val="18"/>
          <w:szCs w:val="18"/>
          <w:color w:val="auto"/>
        </w:rPr>
        <w:t>”) pursuant to an ISDA confirmation dated as of December 15, 2020, which supplements, forms a part of, and is subject to an agreement in the form of the 2002 ISDA Master Agreement, pursuant to which Company purchased from Dealer an additional 112,500 call options (as amended, modified, terminated or unwound from time to time, the “</w:t>
      </w:r>
      <w:r>
        <w:rPr>
          <w:rFonts w:ascii="Arial" w:cs="Arial" w:eastAsia="Arial" w:hAnsi="Arial"/>
          <w:sz w:val="18"/>
          <w:szCs w:val="18"/>
          <w:b w:val="1"/>
          <w:bCs w:val="1"/>
          <w:color w:val="auto"/>
        </w:rPr>
        <w:t>Additional Capped Call Confirmation</w:t>
      </w:r>
      <w:r>
        <w:rPr>
          <w:rFonts w:ascii="Arial" w:cs="Arial" w:eastAsia="Arial" w:hAnsi="Arial"/>
          <w:sz w:val="18"/>
          <w:szCs w:val="18"/>
          <w:color w:val="auto"/>
        </w:rPr>
        <w:t>” and, together with the Base Capped Call Confirmation,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in anticipation of the consummation of transactions contemplated by the previously announced Agreement and Plan of Merger, dated as of January 9, 2022 (as it may be amended or supplemented from time to time,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 Company, Take-Two-Interactive Software, Inc., Zebra MS I, Inc., a wholly owned subsidiary of Take-Two, and Zebra MS II, Inc., a wholly owned subsidiary of Take-Two (“</w:t>
      </w:r>
      <w:r>
        <w:rPr>
          <w:rFonts w:ascii="Arial" w:cs="Arial" w:eastAsia="Arial" w:hAnsi="Arial"/>
          <w:sz w:val="18"/>
          <w:szCs w:val="18"/>
          <w:b w:val="1"/>
          <w:bCs w:val="1"/>
          <w:color w:val="auto"/>
        </w:rPr>
        <w:t>Merger Sub 2</w:t>
      </w:r>
      <w:r>
        <w:rPr>
          <w:rFonts w:ascii="Arial" w:cs="Arial" w:eastAsia="Arial" w:hAnsi="Arial"/>
          <w:sz w:val="18"/>
          <w:szCs w:val="18"/>
          <w:color w:val="auto"/>
        </w:rPr>
        <w:t>”), Company has requested termination of the Capped Call Transactions;</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NOW, THEREFORE, in consideration of their mutual covenants herein contained, the parties hereto, intending to be legally bound, hereby mutually covenant and agree as follows:</w:t>
      </w:r>
    </w:p>
    <w:p>
      <w:pPr>
        <w:spacing w:after="0" w:line="62" w:lineRule="exact"/>
        <w:rPr>
          <w:sz w:val="20"/>
          <w:szCs w:val="20"/>
          <w:color w:val="auto"/>
        </w:rPr>
      </w:pPr>
    </w:p>
    <w:p>
      <w:pPr>
        <w:ind w:right="920" w:firstLine="436"/>
        <w:spacing w:after="0" w:line="277" w:lineRule="auto"/>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Any capitalized term not otherwise defined herein shall have the meaning set forth for such term in the Capped Call Confirmations.</w:t>
      </w:r>
    </w:p>
    <w:p>
      <w:pPr>
        <w:spacing w:after="0" w:line="62" w:lineRule="exact"/>
        <w:rPr>
          <w:rFonts w:ascii="Arial" w:cs="Arial" w:eastAsia="Arial" w:hAnsi="Arial"/>
          <w:sz w:val="18"/>
          <w:szCs w:val="18"/>
          <w:color w:val="auto"/>
        </w:rPr>
      </w:pPr>
    </w:p>
    <w:p>
      <w:pPr>
        <w:ind w:right="60" w:firstLine="436"/>
        <w:spacing w:after="0" w:line="301" w:lineRule="auto"/>
        <w:tabs>
          <w:tab w:leader="none" w:pos="62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anything to the contrary in the Capped Call Confirmations, Company and Dealer agree that, effective on the date hereof and following the termination contemplated hereby, the Number of Options remaining outstanding under the Base Capped Call Transaction shall be reduced to zero and the Number of Options remaining outstanding under the Additional Capped Call Transaction shall be reduced to zero, and in connection therewith Dealer shall be required to pay to Company the Cash Settlement Amount on the Payment Date pursuant to Sections 3 and 4 below.</w:t>
      </w:r>
    </w:p>
    <w:p>
      <w:pPr>
        <w:spacing w:after="0" w:line="49" w:lineRule="exact"/>
        <w:rPr>
          <w:rFonts w:ascii="Arial" w:cs="Arial" w:eastAsia="Arial" w:hAnsi="Arial"/>
          <w:sz w:val="16"/>
          <w:szCs w:val="16"/>
          <w:color w:val="auto"/>
        </w:rPr>
      </w:pPr>
    </w:p>
    <w:p>
      <w:pPr>
        <w:ind w:right="160" w:firstLine="436"/>
        <w:spacing w:after="0" w:line="301" w:lineRule="auto"/>
        <w:tabs>
          <w:tab w:leader="none" w:pos="62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Payments and Deliveries</w:t>
      </w:r>
      <w:r>
        <w:rPr>
          <w:rFonts w:ascii="Arial" w:cs="Arial" w:eastAsia="Arial" w:hAnsi="Arial"/>
          <w:sz w:val="16"/>
          <w:szCs w:val="16"/>
          <w:color w:val="auto"/>
        </w:rPr>
        <w:t>. On the first Scheduled Trading Day following the final Averaging Date (as defined below) or, if such day is not a Clearance System Business Day, on the next Clearance System Business Day immediately following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Dealer shall pay to Company in immediately available funds cash in an amount equal to the Cash Settlement Amount. The “</w:t>
      </w:r>
      <w:r>
        <w:rPr>
          <w:rFonts w:ascii="Arial" w:cs="Arial" w:eastAsia="Arial" w:hAnsi="Arial"/>
          <w:sz w:val="16"/>
          <w:szCs w:val="16"/>
          <w:b w:val="1"/>
          <w:bCs w:val="1"/>
          <w:color w:val="auto"/>
        </w:rPr>
        <w:t>Cash Settlement Amount</w:t>
      </w:r>
      <w:r>
        <w:rPr>
          <w:rFonts w:ascii="Arial" w:cs="Arial" w:eastAsia="Arial" w:hAnsi="Arial"/>
          <w:sz w:val="16"/>
          <w:szCs w:val="16"/>
          <w:color w:val="auto"/>
        </w:rPr>
        <w:t>” shall mean an amount in US Dollars determined by Dealer using linear interpolation with reference to the table set forth in Schedule A attached hereto.</w:t>
      </w:r>
    </w:p>
    <w:p>
      <w:pPr>
        <w:sectPr>
          <w:pgSz w:w="11900" w:h="16838" w:orient="portrait"/>
          <w:cols w:equalWidth="0" w:num="1">
            <w:col w:w="11020"/>
          </w:cols>
          <w:pgMar w:left="440" w:top="121" w:right="439" w:bottom="1440" w:gutter="0" w:footer="0" w:header="0"/>
        </w:sectPr>
      </w:pPr>
    </w:p>
    <w:bookmarkStart w:id="142" w:name="page143"/>
    <w:bookmarkEnd w:id="142"/>
    <w:p>
      <w:pPr>
        <w:ind w:left="-436" w:firstLine="436"/>
        <w:spacing w:after="0" w:line="286" w:lineRule="auto"/>
        <w:tabs>
          <w:tab w:leader="none" w:pos="184"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Valuation</w:t>
      </w:r>
      <w:r>
        <w:rPr>
          <w:rFonts w:ascii="Arial" w:cs="Arial" w:eastAsia="Arial" w:hAnsi="Arial"/>
          <w:sz w:val="16"/>
          <w:szCs w:val="16"/>
          <w:color w:val="auto"/>
        </w:rPr>
        <w:t>. “</w:t>
      </w:r>
      <w:r>
        <w:rPr>
          <w:rFonts w:ascii="Arial" w:cs="Arial" w:eastAsia="Arial" w:hAnsi="Arial"/>
          <w:sz w:val="16"/>
          <w:szCs w:val="16"/>
          <w:b w:val="1"/>
          <w:bCs w:val="1"/>
          <w:color w:val="auto"/>
        </w:rPr>
        <w:t>Averaging Date</w:t>
      </w:r>
      <w:r>
        <w:rPr>
          <w:rFonts w:ascii="Arial" w:cs="Arial" w:eastAsia="Arial" w:hAnsi="Arial"/>
          <w:sz w:val="16"/>
          <w:szCs w:val="16"/>
          <w:color w:val="auto"/>
        </w:rPr>
        <w:t>” means June 27, 2022 and the four Scheduled Trading Days thereafter (the period of consecutive Scheduled Trading Days from and including June 27, 2022 through the final Averaging Date being collectively referred to as the “</w:t>
      </w:r>
      <w:r>
        <w:rPr>
          <w:rFonts w:ascii="Arial" w:cs="Arial" w:eastAsia="Arial" w:hAnsi="Arial"/>
          <w:sz w:val="16"/>
          <w:szCs w:val="16"/>
          <w:b w:val="1"/>
          <w:bCs w:val="1"/>
          <w:color w:val="auto"/>
        </w:rPr>
        <w:t>Termination 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date is a Disrupted Day in whole, such date shall not constitute an Averaging Date, and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Averaging Date shall occur on the Scheduled Trading Day after the date that would otherwise be the final Averaging Date. “</w:t>
      </w:r>
      <w:r>
        <w:rPr>
          <w:rFonts w:ascii="Arial" w:cs="Arial" w:eastAsia="Arial" w:hAnsi="Arial"/>
          <w:sz w:val="16"/>
          <w:szCs w:val="16"/>
          <w:b w:val="1"/>
          <w:bCs w:val="1"/>
          <w:color w:val="auto"/>
        </w:rPr>
        <w:t>Average VWAP</w:t>
      </w:r>
      <w:r>
        <w:rPr>
          <w:rFonts w:ascii="Arial" w:cs="Arial" w:eastAsia="Arial" w:hAnsi="Arial"/>
          <w:sz w:val="16"/>
          <w:szCs w:val="16"/>
          <w:color w:val="auto"/>
        </w:rPr>
        <w:t>” means the arithmetic average of the VWAP Prices for each Averaging Date during the Termination Valuation Period. “</w:t>
      </w:r>
      <w:r>
        <w:rPr>
          <w:rFonts w:ascii="Arial" w:cs="Arial" w:eastAsia="Arial" w:hAnsi="Arial"/>
          <w:sz w:val="16"/>
          <w:szCs w:val="16"/>
          <w:b w:val="1"/>
          <w:bCs w:val="1"/>
          <w:color w:val="auto"/>
        </w:rPr>
        <w:t>VWAP Price</w:t>
      </w:r>
      <w:r>
        <w:rPr>
          <w:rFonts w:ascii="Arial" w:cs="Arial" w:eastAsia="Arial" w:hAnsi="Arial"/>
          <w:sz w:val="16"/>
          <w:szCs w:val="16"/>
          <w:color w:val="auto"/>
        </w:rPr>
        <w:t>” for any Scheduled Trading Day means the per Share volume-weighted average price as displayed under the heading “Bloomberg VWAP” on Bloomberg page TTWO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in a good faith, commercially reasonable manner). Notwithstanding the foregoing, if (i) any Scheduled Trading Day in the Termination Valuation Period is a Disrupted Day in part or (ii) Dealer determines in its commercially reasonable judgment that on any Scheduled Trading Day during the Termination Valuation Period an extension of the Termination Valuation Period is reasonably necessary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internal policies and procedures, then the VWAP Price for such Scheduled Trading Day(s) shall be the volume-weighted average price per Share on such Scheduled Trading Day on the Exchange for such time period, as determined by Dealer in a commercially reasonable manner and the Cash Settlement Amount shall be adjusted by Dealer in its good faith, commercially reasonable discretion to account for such disruption and/or extension.</w:t>
      </w:r>
    </w:p>
    <w:p>
      <w:pPr>
        <w:spacing w:after="0" w:line="60" w:lineRule="exact"/>
        <w:rPr>
          <w:rFonts w:ascii="Arial" w:cs="Arial" w:eastAsia="Arial" w:hAnsi="Arial"/>
          <w:sz w:val="16"/>
          <w:szCs w:val="16"/>
          <w:color w:val="auto"/>
        </w:rPr>
      </w:pPr>
    </w:p>
    <w:p>
      <w:pPr>
        <w:ind w:left="184" w:hanging="184"/>
        <w:spacing w:after="0"/>
        <w:tabs>
          <w:tab w:leader="none" w:pos="18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and warrants to Dealer on the date hereof that:</w:t>
      </w:r>
    </w:p>
    <w:p>
      <w:pPr>
        <w:spacing w:after="0" w:line="117" w:lineRule="exact"/>
        <w:rPr>
          <w:rFonts w:ascii="Arial" w:cs="Arial" w:eastAsia="Arial" w:hAnsi="Arial"/>
          <w:sz w:val="18"/>
          <w:szCs w:val="18"/>
          <w:color w:val="auto"/>
        </w:rPr>
      </w:pPr>
    </w:p>
    <w:p>
      <w:pPr>
        <w:ind w:left="-436" w:right="40" w:firstLine="987"/>
        <w:spacing w:after="0" w:line="263" w:lineRule="auto"/>
        <w:tabs>
          <w:tab w:leader="none" w:pos="8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75" w:lineRule="exact"/>
        <w:rPr>
          <w:rFonts w:ascii="Arial" w:cs="Arial" w:eastAsia="Arial" w:hAnsi="Arial"/>
          <w:sz w:val="18"/>
          <w:szCs w:val="18"/>
          <w:color w:val="auto"/>
        </w:rPr>
      </w:pPr>
    </w:p>
    <w:p>
      <w:pPr>
        <w:ind w:left="-436" w:right="120" w:firstLine="987"/>
        <w:spacing w:after="0" w:line="263" w:lineRule="auto"/>
        <w:tabs>
          <w:tab w:leader="none" w:pos="81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36" w:right="260" w:firstLine="987"/>
        <w:spacing w:after="0" w:line="277" w:lineRule="auto"/>
        <w:tabs>
          <w:tab w:leader="none" w:pos="8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62" w:lineRule="exact"/>
        <w:rPr>
          <w:rFonts w:ascii="Arial" w:cs="Arial" w:eastAsia="Arial" w:hAnsi="Arial"/>
          <w:sz w:val="18"/>
          <w:szCs w:val="18"/>
          <w:color w:val="auto"/>
        </w:rPr>
      </w:pPr>
    </w:p>
    <w:p>
      <w:pPr>
        <w:ind w:left="-436" w:right="120" w:firstLine="987"/>
        <w:spacing w:after="0" w:line="311" w:lineRule="auto"/>
        <w:tabs>
          <w:tab w:leader="none" w:pos="81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804" w:hanging="253"/>
        <w:spacing w:after="0"/>
        <w:tabs>
          <w:tab w:leader="none" w:pos="80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each of it and its Affiliates is not in possession of any material nonpublic information regarding Company or the Shares; and</w:t>
      </w:r>
    </w:p>
    <w:p>
      <w:pPr>
        <w:spacing w:after="0" w:line="128" w:lineRule="exact"/>
        <w:rPr>
          <w:rFonts w:ascii="Arial" w:cs="Arial" w:eastAsia="Arial" w:hAnsi="Arial"/>
          <w:sz w:val="17"/>
          <w:szCs w:val="17"/>
          <w:color w:val="auto"/>
        </w:rPr>
      </w:pPr>
    </w:p>
    <w:p>
      <w:pPr>
        <w:ind w:left="-436" w:right="20" w:firstLine="987"/>
        <w:spacing w:after="0" w:line="263" w:lineRule="auto"/>
        <w:tabs>
          <w:tab w:leader="none" w:pos="7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it is not entering into this Agreement or purchasing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Dealer</w:t>
      </w:r>
      <w:r>
        <w:rPr>
          <w:rFonts w:ascii="Arial" w:cs="Arial" w:eastAsia="Arial" w:hAnsi="Arial"/>
          <w:sz w:val="18"/>
          <w:szCs w:val="18"/>
          <w:color w:val="auto"/>
        </w:rPr>
        <w:t>. Dealer represents and warrants to Company on the date hereof that:</w:t>
      </w:r>
    </w:p>
    <w:p>
      <w:pPr>
        <w:spacing w:after="0" w:line="117" w:lineRule="exact"/>
        <w:rPr>
          <w:rFonts w:ascii="Arial" w:cs="Arial" w:eastAsia="Arial" w:hAnsi="Arial"/>
          <w:sz w:val="18"/>
          <w:szCs w:val="18"/>
          <w:color w:val="auto"/>
        </w:rPr>
      </w:pPr>
    </w:p>
    <w:p>
      <w:pPr>
        <w:ind w:left="-436" w:right="40" w:firstLine="987"/>
        <w:spacing w:after="0" w:line="263" w:lineRule="auto"/>
        <w:tabs>
          <w:tab w:leader="none" w:pos="8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6" w:lineRule="exact"/>
        <w:rPr>
          <w:rFonts w:ascii="Arial" w:cs="Arial" w:eastAsia="Arial" w:hAnsi="Arial"/>
          <w:sz w:val="18"/>
          <w:szCs w:val="18"/>
          <w:color w:val="auto"/>
        </w:rPr>
      </w:pPr>
    </w:p>
    <w:p>
      <w:pPr>
        <w:ind w:left="5024" w:hanging="106"/>
        <w:spacing w:after="0"/>
        <w:tabs>
          <w:tab w:leader="none" w:pos="5024" w:val="left"/>
        </w:tabs>
        <w:numPr>
          <w:ilvl w:val="2"/>
          <w:numId w:val="15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64"/>
          </w:cols>
          <w:pgMar w:left="876" w:top="270" w:right="459" w:bottom="1440" w:gutter="0" w:footer="0" w:header="0"/>
        </w:sectPr>
      </w:pPr>
    </w:p>
    <w:bookmarkStart w:id="143" w:name="page144"/>
    <w:bookmarkEnd w:id="143"/>
    <w:p>
      <w:pPr>
        <w:ind w:left="-40" w:right="100" w:firstLine="987"/>
        <w:spacing w:after="0" w:line="263" w:lineRule="auto"/>
        <w:tabs>
          <w:tab w:leader="none" w:pos="1206" w:val="left"/>
        </w:tabs>
        <w:numPr>
          <w:ilvl w:val="1"/>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0" w:right="240" w:firstLine="987"/>
        <w:spacing w:after="0" w:line="277" w:lineRule="auto"/>
        <w:tabs>
          <w:tab w:leader="none" w:pos="119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62" w:lineRule="exact"/>
        <w:rPr>
          <w:rFonts w:ascii="Arial" w:cs="Arial" w:eastAsia="Arial" w:hAnsi="Arial"/>
          <w:sz w:val="18"/>
          <w:szCs w:val="18"/>
          <w:color w:val="auto"/>
        </w:rPr>
      </w:pPr>
    </w:p>
    <w:p>
      <w:pPr>
        <w:ind w:left="-40" w:right="80" w:firstLine="987"/>
        <w:spacing w:after="0" w:line="311" w:lineRule="auto"/>
        <w:tabs>
          <w:tab w:leader="none" w:pos="1206"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580" w:hanging="184"/>
        <w:spacing w:after="0"/>
        <w:tabs>
          <w:tab w:leader="none" w:pos="5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Account for Payment to Company</w:t>
      </w:r>
      <w:r>
        <w:rPr>
          <w:rFonts w:ascii="Arial" w:cs="Arial" w:eastAsia="Arial" w:hAnsi="Arial"/>
          <w:sz w:val="18"/>
          <w:szCs w:val="18"/>
          <w:color w:val="auto"/>
        </w:rPr>
        <w:t>:</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ABA Routing: 021000021</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Account No.: 156330700</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Account Name: Take-Two Interactive Software, Inc.</w:t>
      </w:r>
    </w:p>
    <w:p>
      <w:pPr>
        <w:spacing w:after="0" w:line="103" w:lineRule="exact"/>
        <w:rPr>
          <w:sz w:val="20"/>
          <w:szCs w:val="20"/>
          <w:color w:val="auto"/>
        </w:rPr>
      </w:pPr>
    </w:p>
    <w:p>
      <w:pPr>
        <w:ind w:left="-40" w:firstLine="436"/>
        <w:spacing w:after="0" w:line="277" w:lineRule="auto"/>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hereunder shall be governed by and construed in accordance with the laws of the State of New York (without reference to choice of law doctrine).</w:t>
      </w:r>
    </w:p>
    <w:p>
      <w:pPr>
        <w:spacing w:after="0" w:line="62" w:lineRule="exact"/>
        <w:rPr>
          <w:rFonts w:ascii="Arial" w:cs="Arial" w:eastAsia="Arial" w:hAnsi="Arial"/>
          <w:sz w:val="18"/>
          <w:szCs w:val="18"/>
          <w:color w:val="auto"/>
        </w:rPr>
      </w:pPr>
    </w:p>
    <w:p>
      <w:pPr>
        <w:ind w:left="-40" w:right="60" w:firstLine="436"/>
        <w:spacing w:after="0" w:line="277" w:lineRule="auto"/>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all of the signatures thereto and hereto were upon the same instrument.</w:t>
      </w:r>
    </w:p>
    <w:p>
      <w:pPr>
        <w:spacing w:after="0" w:line="62" w:lineRule="exact"/>
        <w:rPr>
          <w:rFonts w:ascii="Arial" w:cs="Arial" w:eastAsia="Arial" w:hAnsi="Arial"/>
          <w:sz w:val="18"/>
          <w:szCs w:val="18"/>
          <w:color w:val="auto"/>
        </w:rPr>
      </w:pPr>
    </w:p>
    <w:p>
      <w:pPr>
        <w:ind w:left="-40" w:firstLine="436"/>
        <w:spacing w:after="0" w:line="263" w:lineRule="auto"/>
        <w:tabs>
          <w:tab w:leader="none" w:pos="67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 Reliance, etc</w:t>
      </w:r>
      <w:r>
        <w:rPr>
          <w:rFonts w:ascii="Arial" w:cs="Arial" w:eastAsia="Arial" w:hAnsi="Arial"/>
          <w:sz w:val="18"/>
          <w:szCs w:val="18"/>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0"/>
          </w:cols>
          <w:pgMar w:left="480" w:top="274" w:right="47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Barclays Bank PLC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Faiz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Faiz Khan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Gerard Griffin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ZYNGA INC. and DEUTSCHE BANK AG, LONDON BRANCH</w:t>
      </w:r>
    </w:p>
    <w:p>
      <w:pPr>
        <w:spacing w:after="0" w:line="20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respect to the Capped Call Confirmations (as defined below) is made as of May 20, 2022, between Zynga Inc. (“</w:t>
      </w:r>
      <w:r>
        <w:rPr>
          <w:rFonts w:ascii="Arial" w:cs="Arial" w:eastAsia="Arial" w:hAnsi="Arial"/>
          <w:sz w:val="18"/>
          <w:szCs w:val="18"/>
          <w:b w:val="1"/>
          <w:bCs w:val="1"/>
          <w:color w:val="auto"/>
        </w:rPr>
        <w:t>Company</w:t>
      </w:r>
      <w:r>
        <w:rPr>
          <w:rFonts w:ascii="Arial" w:cs="Arial" w:eastAsia="Arial" w:hAnsi="Arial"/>
          <w:sz w:val="18"/>
          <w:szCs w:val="18"/>
          <w:color w:val="auto"/>
        </w:rPr>
        <w:t>”) and Deutsche Bank AG, London Branch (“</w:t>
      </w:r>
      <w:r>
        <w:rPr>
          <w:rFonts w:ascii="Arial" w:cs="Arial" w:eastAsia="Arial" w:hAnsi="Arial"/>
          <w:sz w:val="18"/>
          <w:szCs w:val="18"/>
          <w:b w:val="1"/>
          <w:bCs w:val="1"/>
          <w:color w:val="auto"/>
        </w:rPr>
        <w:t>Dealer</w:t>
      </w:r>
      <w:r>
        <w:rPr>
          <w:rFonts w:ascii="Arial" w:cs="Arial" w:eastAsia="Arial" w:hAnsi="Arial"/>
          <w:sz w:val="18"/>
          <w:szCs w:val="18"/>
          <w:color w:val="auto"/>
        </w:rPr>
        <w:t>”).</w:t>
      </w:r>
    </w:p>
    <w:p>
      <w:pPr>
        <w:spacing w:after="0" w:line="162" w:lineRule="exact"/>
        <w:rPr>
          <w:sz w:val="20"/>
          <w:szCs w:val="20"/>
          <w:color w:val="auto"/>
        </w:rPr>
      </w:pPr>
    </w:p>
    <w:p>
      <w:pPr>
        <w:ind w:right="340" w:firstLine="440"/>
        <w:spacing w:after="0" w:line="254" w:lineRule="auto"/>
        <w:rPr>
          <w:sz w:val="20"/>
          <w:szCs w:val="20"/>
          <w:color w:val="auto"/>
        </w:rPr>
      </w:pPr>
      <w:r>
        <w:rPr>
          <w:rFonts w:ascii="Arial" w:cs="Arial" w:eastAsia="Arial" w:hAnsi="Arial"/>
          <w:sz w:val="18"/>
          <w:szCs w:val="18"/>
          <w:b w:val="1"/>
          <w:bCs w:val="1"/>
          <w:color w:val="auto"/>
        </w:rPr>
        <w:t>DEUTSCHE BANK AG, LONDON BRANCH IS NOT REGISTERED AS A BROKER DEALER UNDER THE U.S. SECURITIES EXCHANGE ACT OF 1934. DEUTSCHE BANK SECURITIES INC. (“DBSI”) HAS ACTED SOLELY AS AGENT IN CONNECTION WITH THE TRANSACTIONS DESCRIBED HEREIN AND HAS NO OBLIGATION, BY WAY OF ISSUANCE, ENDORSEMENT, GUARANTEE OR OTHERWISE WITH RESPECT TO THE PERFORMANCE OF EITHER PARTY UNDER THE TRANSACTIONS DESCRIBED HEREIN. AS SUCH, ALL DELIVERY OF FUNDS, ASSETS, NOTICES, DEMANDS AND COMMUNICATIONS OF ANY KIND RELATING TO THE TRANSACTIONS DESCRIBED HEREIN BETWEEN DEUTSCHE BANK AG, LONDON BRANCH, AND COMPANY SHALL BE TRANSMITTED EXCLUSIVELY THROUGH DEUTSCHE BANK SECURITIES INC. DEUTSCHE BANK AG, LONDON BRANCH IS NOT A MEMBER OF THE SECURITIES INVESTOR PROTECTION CORPORATION (SIPC).</w:t>
      </w:r>
    </w:p>
    <w:p>
      <w:pPr>
        <w:spacing w:after="0" w:line="19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WHEREAS, Company issued $762,000,000 principal amount of 0.00% Convertible Senior Notes due 2026 (the “</w:t>
      </w:r>
      <w:r>
        <w:rPr>
          <w:rFonts w:ascii="Arial" w:cs="Arial" w:eastAsia="Arial" w:hAnsi="Arial"/>
          <w:sz w:val="18"/>
          <w:szCs w:val="18"/>
          <w:b w:val="1"/>
          <w:bCs w:val="1"/>
          <w:color w:val="auto"/>
        </w:rPr>
        <w:t>Convertible Notes</w:t>
      </w:r>
      <w:r>
        <w:rPr>
          <w:rFonts w:ascii="Arial" w:cs="Arial" w:eastAsia="Arial" w:hAnsi="Arial"/>
          <w:sz w:val="18"/>
          <w:szCs w:val="18"/>
          <w:color w:val="auto"/>
        </w:rPr>
        <w:t>”) pursuant to an Indenture dated as of December 17, 2020 between Company and Computershare Trust Company, N.A. (as successor to Wells Fargo Bank, National Association), as trustee;</w:t>
      </w:r>
    </w:p>
    <w:p>
      <w:pPr>
        <w:spacing w:after="0" w:line="18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WHEREAS, in connection with the issuance of the Convertible Notes, Company and Dealer entered into a Base Capped Call Transaction (the “</w:t>
      </w:r>
      <w:r>
        <w:rPr>
          <w:rFonts w:ascii="Arial" w:cs="Arial" w:eastAsia="Arial" w:hAnsi="Arial"/>
          <w:sz w:val="17"/>
          <w:szCs w:val="17"/>
          <w:b w:val="1"/>
          <w:bCs w:val="1"/>
          <w:color w:val="auto"/>
        </w:rPr>
        <w:t>Base Capped Call Transaction</w:t>
      </w:r>
      <w:r>
        <w:rPr>
          <w:rFonts w:ascii="Arial" w:cs="Arial" w:eastAsia="Arial" w:hAnsi="Arial"/>
          <w:sz w:val="17"/>
          <w:szCs w:val="17"/>
          <w:color w:val="auto"/>
        </w:rPr>
        <w:t>”) pursuant to an ISDA confirmation dated as of December 14, 2020, which supplements, forms a part of, and is subject to an agreement in the form of the 2002 ISDA Master Agreement, pursuant to which Company purchased from Dealer 762,000 call options (as amended, modified, terminated or unwound from time to time, the “</w:t>
      </w:r>
      <w:r>
        <w:rPr>
          <w:rFonts w:ascii="Arial" w:cs="Arial" w:eastAsia="Arial" w:hAnsi="Arial"/>
          <w:sz w:val="17"/>
          <w:szCs w:val="17"/>
          <w:b w:val="1"/>
          <w:bCs w:val="1"/>
          <w:color w:val="auto"/>
        </w:rPr>
        <w:t>Base Capped Call Confirmation</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WHEREAS, in connection with the exercise of the over-allotment option by the initial purchasers of the Convertible Notes, Company and Dealer entered into an Additional Capped Call Transaction (the “</w:t>
      </w:r>
      <w:r>
        <w:rPr>
          <w:rFonts w:ascii="Arial" w:cs="Arial" w:eastAsia="Arial" w:hAnsi="Arial"/>
          <w:sz w:val="18"/>
          <w:szCs w:val="18"/>
          <w:b w:val="1"/>
          <w:bCs w:val="1"/>
          <w:color w:val="auto"/>
        </w:rPr>
        <w:t>Additional Capped Call Transaction</w:t>
      </w:r>
      <w:r>
        <w:rPr>
          <w:rFonts w:ascii="Arial" w:cs="Arial" w:eastAsia="Arial" w:hAnsi="Arial"/>
          <w:sz w:val="18"/>
          <w:szCs w:val="18"/>
          <w:color w:val="auto"/>
        </w:rPr>
        <w:t>” and, together with the Base Capped Call Transaction, the “</w:t>
      </w:r>
      <w:r>
        <w:rPr>
          <w:rFonts w:ascii="Arial" w:cs="Arial" w:eastAsia="Arial" w:hAnsi="Arial"/>
          <w:sz w:val="18"/>
          <w:szCs w:val="18"/>
          <w:b w:val="1"/>
          <w:bCs w:val="1"/>
          <w:color w:val="auto"/>
        </w:rPr>
        <w:t>Capped Call Transactions</w:t>
      </w:r>
      <w:r>
        <w:rPr>
          <w:rFonts w:ascii="Arial" w:cs="Arial" w:eastAsia="Arial" w:hAnsi="Arial"/>
          <w:sz w:val="18"/>
          <w:szCs w:val="18"/>
          <w:color w:val="auto"/>
        </w:rPr>
        <w:t>”) pursuant to an ISDA confirmation dated as of December 15, 2020, which supplements, forms a part of, and is subject to an agreement in the form of the 2002 ISDA Master Agreement, pursuant to which Company purchased from Dealer an additional 112,500 call options (as amended, modified, terminated or unwound from time to time, the “</w:t>
      </w:r>
      <w:r>
        <w:rPr>
          <w:rFonts w:ascii="Arial" w:cs="Arial" w:eastAsia="Arial" w:hAnsi="Arial"/>
          <w:sz w:val="18"/>
          <w:szCs w:val="18"/>
          <w:b w:val="1"/>
          <w:bCs w:val="1"/>
          <w:color w:val="auto"/>
        </w:rPr>
        <w:t>Additional Capped Call Confirmation</w:t>
      </w:r>
      <w:r>
        <w:rPr>
          <w:rFonts w:ascii="Arial" w:cs="Arial" w:eastAsia="Arial" w:hAnsi="Arial"/>
          <w:sz w:val="18"/>
          <w:szCs w:val="18"/>
          <w:color w:val="auto"/>
        </w:rPr>
        <w:t>” and, together with the Base Capped Call Confirmation,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in anticipation of the consummation of transactions contemplated by the previously announced Agreement and Plan of Merger, dated as of January 9, 2022 (as it may be amended or supplemented from time to time,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 Company, Take-Two-Interactive Software, Inc., Zebra MS I, Inc., a wholly owned subsidiary of Take-Two, and Zebra MS II, Inc., a wholly owned subsidiary of Take-Two (“</w:t>
      </w:r>
      <w:r>
        <w:rPr>
          <w:rFonts w:ascii="Arial" w:cs="Arial" w:eastAsia="Arial" w:hAnsi="Arial"/>
          <w:sz w:val="18"/>
          <w:szCs w:val="18"/>
          <w:b w:val="1"/>
          <w:bCs w:val="1"/>
          <w:color w:val="auto"/>
        </w:rPr>
        <w:t>Merger Sub 2</w:t>
      </w:r>
      <w:r>
        <w:rPr>
          <w:rFonts w:ascii="Arial" w:cs="Arial" w:eastAsia="Arial" w:hAnsi="Arial"/>
          <w:sz w:val="18"/>
          <w:szCs w:val="18"/>
          <w:color w:val="auto"/>
        </w:rPr>
        <w:t>”), Company has requested termination of the Capped Call Transactions;</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NOW, THEREFORE, in consideration of their mutual covenants herein contained, the parties hereto, intending to be legally bound, hereby mutually covenant and agree as follows:</w:t>
      </w:r>
    </w:p>
    <w:p>
      <w:pPr>
        <w:spacing w:after="0" w:line="170" w:lineRule="exact"/>
        <w:rPr>
          <w:sz w:val="20"/>
          <w:szCs w:val="20"/>
          <w:color w:val="auto"/>
        </w:rPr>
      </w:pPr>
    </w:p>
    <w:p>
      <w:pPr>
        <w:ind w:right="920" w:firstLine="436"/>
        <w:spacing w:after="0" w:line="277" w:lineRule="auto"/>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Any capitalized term not otherwise defined herein shall have the meaning set forth for such term in the Capped Call Confirmations.</w:t>
      </w:r>
    </w:p>
    <w:p>
      <w:pPr>
        <w:spacing w:after="0" w:line="170" w:lineRule="exact"/>
        <w:rPr>
          <w:rFonts w:ascii="Arial" w:cs="Arial" w:eastAsia="Arial" w:hAnsi="Arial"/>
          <w:sz w:val="18"/>
          <w:szCs w:val="18"/>
          <w:color w:val="auto"/>
        </w:rPr>
      </w:pPr>
    </w:p>
    <w:p>
      <w:pPr>
        <w:ind w:right="60" w:firstLine="436"/>
        <w:spacing w:after="0" w:line="301" w:lineRule="auto"/>
        <w:tabs>
          <w:tab w:leader="none" w:pos="62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anything to the contrary in the Capped Call Confirmations, Company and Dealer agree that, effective on the date hereof and following the termination contemplated hereby, the Number of Options remaining outstanding under the Base Capped Call Transaction shall be reduced to zero and the Number of Options remaining outstanding under the Additional Capped Call Transaction shall be reduced to zero, and in connection therewith Dealer shall be required to pay to Company the Cash Settlement Amount on the Payment Date pursuant to Sections 3 and 4 below.</w:t>
      </w:r>
    </w:p>
    <w:p>
      <w:pPr>
        <w:sectPr>
          <w:pgSz w:w="11900" w:h="16838" w:orient="portrait"/>
          <w:cols w:equalWidth="0" w:num="1">
            <w:col w:w="11020"/>
          </w:cols>
          <w:pgMar w:left="440" w:top="121" w:right="439" w:bottom="1440" w:gutter="0" w:footer="0" w:header="0"/>
        </w:sectPr>
      </w:pPr>
    </w:p>
    <w:bookmarkStart w:id="146" w:name="page147"/>
    <w:bookmarkEnd w:id="14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payment of the Cash Settlement Amount on the Payment Date, all of the respective rights and obligations of the parties under the Capped Call Confirmations with respect to such Capped Call Transactions shall be terminated, cancelled and extinguished, and each party hereto shall be released and forever discharged by each other party hereto from all obligations under the Capped Call Confirmations with respect to such Capped Call Transactions, other than with respect to representations and warranties set forth in the Capped Call Confirmations and with respect to indemnification or contribution obligations under the Capped Call Confirmations, each of which shall survive.</w:t>
      </w:r>
    </w:p>
    <w:p>
      <w:pPr>
        <w:spacing w:after="0" w:line="176" w:lineRule="exact"/>
        <w:rPr>
          <w:sz w:val="20"/>
          <w:szCs w:val="20"/>
          <w:color w:val="auto"/>
        </w:rPr>
      </w:pPr>
    </w:p>
    <w:p>
      <w:pPr>
        <w:ind w:right="140" w:firstLine="436"/>
        <w:spacing w:after="0" w:line="301" w:lineRule="auto"/>
        <w:tabs>
          <w:tab w:leader="none" w:pos="62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Payments and Deliveries</w:t>
      </w:r>
      <w:r>
        <w:rPr>
          <w:rFonts w:ascii="Arial" w:cs="Arial" w:eastAsia="Arial" w:hAnsi="Arial"/>
          <w:sz w:val="16"/>
          <w:szCs w:val="16"/>
          <w:color w:val="auto"/>
        </w:rPr>
        <w:t>. On the first Scheduled Trading Day following the final Averaging Date (as defined below) or, if such day is not a Clearance System Business Day, on the next Clearance System Business Day immediately following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Dealer shall pay to Company in immediately available funds cash in an amount equal to the Cash Settlement Amount. The “</w:t>
      </w:r>
      <w:r>
        <w:rPr>
          <w:rFonts w:ascii="Arial" w:cs="Arial" w:eastAsia="Arial" w:hAnsi="Arial"/>
          <w:sz w:val="16"/>
          <w:szCs w:val="16"/>
          <w:b w:val="1"/>
          <w:bCs w:val="1"/>
          <w:color w:val="auto"/>
        </w:rPr>
        <w:t>Cash Settlement Amount</w:t>
      </w:r>
      <w:r>
        <w:rPr>
          <w:rFonts w:ascii="Arial" w:cs="Arial" w:eastAsia="Arial" w:hAnsi="Arial"/>
          <w:sz w:val="16"/>
          <w:szCs w:val="16"/>
          <w:color w:val="auto"/>
        </w:rPr>
        <w:t>” shall mean an amount in US Dollars determined by Dealer using linear interpolation with reference to the table set forth in Schedule A attached hereto.</w:t>
      </w:r>
    </w:p>
    <w:p>
      <w:pPr>
        <w:spacing w:after="0" w:line="153" w:lineRule="exact"/>
        <w:rPr>
          <w:rFonts w:ascii="Arial" w:cs="Arial" w:eastAsia="Arial" w:hAnsi="Arial"/>
          <w:sz w:val="16"/>
          <w:szCs w:val="16"/>
          <w:color w:val="auto"/>
        </w:rPr>
      </w:pPr>
    </w:p>
    <w:p>
      <w:pPr>
        <w:ind w:firstLine="436"/>
        <w:spacing w:after="0" w:line="286" w:lineRule="auto"/>
        <w:tabs>
          <w:tab w:leader="none" w:pos="62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Valuation</w:t>
      </w:r>
      <w:r>
        <w:rPr>
          <w:rFonts w:ascii="Arial" w:cs="Arial" w:eastAsia="Arial" w:hAnsi="Arial"/>
          <w:sz w:val="16"/>
          <w:szCs w:val="16"/>
          <w:color w:val="auto"/>
        </w:rPr>
        <w:t>. “</w:t>
      </w:r>
      <w:r>
        <w:rPr>
          <w:rFonts w:ascii="Arial" w:cs="Arial" w:eastAsia="Arial" w:hAnsi="Arial"/>
          <w:sz w:val="16"/>
          <w:szCs w:val="16"/>
          <w:b w:val="1"/>
          <w:bCs w:val="1"/>
          <w:color w:val="auto"/>
        </w:rPr>
        <w:t>Averaging Date</w:t>
      </w:r>
      <w:r>
        <w:rPr>
          <w:rFonts w:ascii="Arial" w:cs="Arial" w:eastAsia="Arial" w:hAnsi="Arial"/>
          <w:sz w:val="16"/>
          <w:szCs w:val="16"/>
          <w:color w:val="auto"/>
        </w:rPr>
        <w:t>” means June 27, 2022 and the four Scheduled Trading Days thereafter (the period of consecutive Scheduled Trading Days from and including June 27, 2022 through the final Averaging Date being collectively referred to as the “</w:t>
      </w:r>
      <w:r>
        <w:rPr>
          <w:rFonts w:ascii="Arial" w:cs="Arial" w:eastAsia="Arial" w:hAnsi="Arial"/>
          <w:sz w:val="16"/>
          <w:szCs w:val="16"/>
          <w:b w:val="1"/>
          <w:bCs w:val="1"/>
          <w:color w:val="auto"/>
        </w:rPr>
        <w:t>Termination 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date is a Disrupted Day in whole, such date shall not constitute an Averaging Date, and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Averaging Date shall occur on the Scheduled Trading Day after the date that would otherwise be the final Averaging Date. “</w:t>
      </w:r>
      <w:r>
        <w:rPr>
          <w:rFonts w:ascii="Arial" w:cs="Arial" w:eastAsia="Arial" w:hAnsi="Arial"/>
          <w:sz w:val="16"/>
          <w:szCs w:val="16"/>
          <w:b w:val="1"/>
          <w:bCs w:val="1"/>
          <w:color w:val="auto"/>
        </w:rPr>
        <w:t>Average VWAP</w:t>
      </w:r>
      <w:r>
        <w:rPr>
          <w:rFonts w:ascii="Arial" w:cs="Arial" w:eastAsia="Arial" w:hAnsi="Arial"/>
          <w:sz w:val="16"/>
          <w:szCs w:val="16"/>
          <w:color w:val="auto"/>
        </w:rPr>
        <w:t>” means the arithmetic average of the VWAP Prices for each Averaging Date during the Termination Valuation Period. “</w:t>
      </w:r>
      <w:r>
        <w:rPr>
          <w:rFonts w:ascii="Arial" w:cs="Arial" w:eastAsia="Arial" w:hAnsi="Arial"/>
          <w:sz w:val="16"/>
          <w:szCs w:val="16"/>
          <w:b w:val="1"/>
          <w:bCs w:val="1"/>
          <w:color w:val="auto"/>
        </w:rPr>
        <w:t>VWAP Price</w:t>
      </w:r>
      <w:r>
        <w:rPr>
          <w:rFonts w:ascii="Arial" w:cs="Arial" w:eastAsia="Arial" w:hAnsi="Arial"/>
          <w:sz w:val="16"/>
          <w:szCs w:val="16"/>
          <w:color w:val="auto"/>
        </w:rPr>
        <w:t>” for any Scheduled Trading Day means the per Share volume-weighted average price as displayed under the heading “Bloomberg VWAP” on Bloomberg page TTWO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in a good faith, commercially reasonable manner). Notwithstanding the foregoing, if (i) any Scheduled Trading Day in the Termination Valuation Period is a Disrupted Day in part or (ii) Dealer determines in its commercially reasonable judgment that on any Scheduled Trading Day during the Termination Valuation Period an extension of the Termination Valuation Period is reasonably necessary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internal policies and procedures, then the VWAP Price for such Scheduled Trading Day(s) shall be the volume-weighted average price per Share on such Scheduled Trading Day on the Exchange for such time period, as determined by Dealer in a commercially reasonable manner and the Cash Settlement Amount shall be adjusted by Dealer in its good faith, commercially reasonable discretion to account for such disruption and/or extension.</w:t>
      </w:r>
    </w:p>
    <w:p>
      <w:pPr>
        <w:spacing w:after="0" w:line="168" w:lineRule="exact"/>
        <w:rPr>
          <w:rFonts w:ascii="Arial" w:cs="Arial" w:eastAsia="Arial" w:hAnsi="Arial"/>
          <w:sz w:val="16"/>
          <w:szCs w:val="16"/>
          <w:color w:val="auto"/>
        </w:rPr>
      </w:pPr>
    </w:p>
    <w:p>
      <w:pPr>
        <w:ind w:left="620" w:hanging="184"/>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and warrants to Dealer on the date hereof that:</w:t>
      </w:r>
    </w:p>
    <w:p>
      <w:pPr>
        <w:spacing w:after="0" w:line="225"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83" w:lineRule="exact"/>
        <w:rPr>
          <w:rFonts w:ascii="Arial" w:cs="Arial" w:eastAsia="Arial" w:hAnsi="Arial"/>
          <w:sz w:val="18"/>
          <w:szCs w:val="18"/>
          <w:color w:val="auto"/>
        </w:rPr>
      </w:pPr>
    </w:p>
    <w:p>
      <w:pPr>
        <w:ind w:right="120" w:firstLine="987"/>
        <w:spacing w:after="0" w:line="263" w:lineRule="auto"/>
        <w:tabs>
          <w:tab w:leader="none" w:pos="124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83" w:lineRule="exact"/>
        <w:rPr>
          <w:rFonts w:ascii="Arial" w:cs="Arial" w:eastAsia="Arial" w:hAnsi="Arial"/>
          <w:sz w:val="18"/>
          <w:szCs w:val="18"/>
          <w:color w:val="auto"/>
        </w:rPr>
      </w:pPr>
    </w:p>
    <w:p>
      <w:pPr>
        <w:ind w:right="260" w:firstLine="987"/>
        <w:spacing w:after="0" w:line="277" w:lineRule="auto"/>
        <w:tabs>
          <w:tab w:leader="none" w:pos="12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170" w:lineRule="exact"/>
        <w:rPr>
          <w:rFonts w:ascii="Arial" w:cs="Arial" w:eastAsia="Arial" w:hAnsi="Arial"/>
          <w:sz w:val="18"/>
          <w:szCs w:val="18"/>
          <w:color w:val="auto"/>
        </w:rPr>
      </w:pPr>
    </w:p>
    <w:p>
      <w:pPr>
        <w:ind w:right="120" w:firstLine="987"/>
        <w:spacing w:after="0" w:line="311" w:lineRule="auto"/>
        <w:tabs>
          <w:tab w:leader="none" w:pos="124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81" w:lineRule="exact"/>
        <w:rPr>
          <w:rFonts w:ascii="Arial" w:cs="Arial" w:eastAsia="Arial" w:hAnsi="Arial"/>
          <w:sz w:val="16"/>
          <w:szCs w:val="16"/>
          <w:color w:val="auto"/>
        </w:rPr>
      </w:pPr>
    </w:p>
    <w:p>
      <w:pPr>
        <w:ind w:left="5460" w:hanging="106"/>
        <w:spacing w:after="0"/>
        <w:tabs>
          <w:tab w:leader="none" w:pos="546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0"/>
          </w:cols>
          <w:pgMar w:left="440" w:top="274" w:right="459" w:bottom="1440" w:gutter="0" w:footer="0" w:header="0"/>
        </w:sectPr>
      </w:pPr>
    </w:p>
    <w:bookmarkStart w:id="147" w:name="page148"/>
    <w:bookmarkEnd w:id="147"/>
    <w:p>
      <w:pPr>
        <w:ind w:left="804" w:hanging="253"/>
        <w:spacing w:after="0"/>
        <w:tabs>
          <w:tab w:leader="none" w:pos="804" w:val="left"/>
        </w:tabs>
        <w:numPr>
          <w:ilvl w:val="1"/>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it and its Affiliates is not in possession of any material nonpublic information regarding Company or the Shares;</w:t>
      </w:r>
    </w:p>
    <w:p>
      <w:pPr>
        <w:spacing w:after="0" w:line="225" w:lineRule="exact"/>
        <w:rPr>
          <w:rFonts w:ascii="Arial" w:cs="Arial" w:eastAsia="Arial" w:hAnsi="Arial"/>
          <w:sz w:val="18"/>
          <w:szCs w:val="18"/>
          <w:color w:val="auto"/>
        </w:rPr>
      </w:pPr>
    </w:p>
    <w:p>
      <w:pPr>
        <w:ind w:left="-436" w:firstLine="987"/>
        <w:spacing w:after="0" w:line="263" w:lineRule="auto"/>
        <w:tabs>
          <w:tab w:leader="none" w:pos="7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it is not entering into this Agreement or purchasing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w:t>
      </w:r>
    </w:p>
    <w:p>
      <w:pPr>
        <w:spacing w:after="0" w:line="183" w:lineRule="exact"/>
        <w:rPr>
          <w:rFonts w:ascii="Arial" w:cs="Arial" w:eastAsia="Arial" w:hAnsi="Arial"/>
          <w:sz w:val="18"/>
          <w:szCs w:val="18"/>
          <w:color w:val="auto"/>
        </w:rPr>
      </w:pPr>
    </w:p>
    <w:p>
      <w:pPr>
        <w:ind w:left="-436" w:right="260" w:firstLine="987"/>
        <w:spacing w:after="0" w:line="277" w:lineRule="auto"/>
        <w:tabs>
          <w:tab w:leader="none" w:pos="81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Company is not, and after consummation of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436" w:right="40" w:firstLine="987"/>
        <w:spacing w:after="0" w:line="277" w:lineRule="auto"/>
        <w:tabs>
          <w:tab w:leader="none" w:pos="81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Company is an “eligible contract participant” (as such term is defined in Section 1a(18) of the Commodity Exchange Act, as amended, other than a person that is an eligible contract participant under Section 1a(18)(C) of the Commodity Exchange Act);</w:t>
      </w:r>
    </w:p>
    <w:p>
      <w:pPr>
        <w:spacing w:after="0" w:line="170" w:lineRule="exact"/>
        <w:rPr>
          <w:rFonts w:ascii="Arial" w:cs="Arial" w:eastAsia="Arial" w:hAnsi="Arial"/>
          <w:sz w:val="18"/>
          <w:szCs w:val="18"/>
          <w:color w:val="auto"/>
        </w:rPr>
      </w:pPr>
    </w:p>
    <w:p>
      <w:pPr>
        <w:ind w:left="-436" w:firstLine="987"/>
        <w:spacing w:after="0" w:line="279" w:lineRule="auto"/>
        <w:tabs>
          <w:tab w:leader="none" w:pos="77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to the knowledge of Company,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provided that Company makes no representation or warranty regarding any such requirement that is applicable generally to the ownership of equity securities;</w:t>
      </w:r>
    </w:p>
    <w:p>
      <w:pPr>
        <w:spacing w:after="0" w:line="171" w:lineRule="exact"/>
        <w:rPr>
          <w:rFonts w:ascii="Arial" w:cs="Arial" w:eastAsia="Arial" w:hAnsi="Arial"/>
          <w:sz w:val="17"/>
          <w:szCs w:val="17"/>
          <w:color w:val="auto"/>
        </w:rPr>
      </w:pPr>
    </w:p>
    <w:p>
      <w:pPr>
        <w:ind w:left="-436" w:right="100" w:firstLine="987"/>
        <w:spacing w:after="0" w:line="277" w:lineRule="auto"/>
        <w:tabs>
          <w:tab w:leader="none" w:pos="77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on the date hereof and the Settlement Date, Company is not and will not be “insolvent” (as such term is defined under Section 101(32) of the Bankruptcy Code); and</w:t>
      </w:r>
    </w:p>
    <w:p>
      <w:pPr>
        <w:spacing w:after="0" w:line="170" w:lineRule="exact"/>
        <w:rPr>
          <w:rFonts w:ascii="Arial" w:cs="Arial" w:eastAsia="Arial" w:hAnsi="Arial"/>
          <w:sz w:val="18"/>
          <w:szCs w:val="18"/>
          <w:color w:val="auto"/>
        </w:rPr>
      </w:pPr>
    </w:p>
    <w:p>
      <w:pPr>
        <w:ind w:left="-436" w:right="500" w:firstLine="987"/>
        <w:spacing w:after="0" w:line="311" w:lineRule="auto"/>
        <w:tabs>
          <w:tab w:leader="none" w:pos="81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it (i) is capable of evaluating investment risks independently, both in general and with regard to all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$50 million.</w:t>
      </w:r>
    </w:p>
    <w:p>
      <w:pPr>
        <w:spacing w:after="0" w:line="148" w:lineRule="exact"/>
        <w:rPr>
          <w:rFonts w:ascii="Arial" w:cs="Arial" w:eastAsia="Arial" w:hAnsi="Arial"/>
          <w:sz w:val="16"/>
          <w:szCs w:val="16"/>
          <w:color w:val="auto"/>
        </w:rPr>
      </w:pPr>
    </w:p>
    <w:p>
      <w:pPr>
        <w:ind w:left="184" w:hanging="184"/>
        <w:spacing w:after="0"/>
        <w:tabs>
          <w:tab w:leader="none" w:pos="184"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Dealer</w:t>
      </w:r>
      <w:r>
        <w:rPr>
          <w:rFonts w:ascii="Arial" w:cs="Arial" w:eastAsia="Arial" w:hAnsi="Arial"/>
          <w:sz w:val="18"/>
          <w:szCs w:val="18"/>
          <w:color w:val="auto"/>
        </w:rPr>
        <w:t>. Dealer represents and warrants to Company on the date hereof that:</w:t>
      </w:r>
    </w:p>
    <w:p>
      <w:pPr>
        <w:spacing w:after="0" w:line="225" w:lineRule="exact"/>
        <w:rPr>
          <w:rFonts w:ascii="Arial" w:cs="Arial" w:eastAsia="Arial" w:hAnsi="Arial"/>
          <w:sz w:val="18"/>
          <w:szCs w:val="18"/>
          <w:color w:val="auto"/>
        </w:rPr>
      </w:pPr>
    </w:p>
    <w:p>
      <w:pPr>
        <w:ind w:left="-436" w:right="20" w:firstLine="987"/>
        <w:spacing w:after="0" w:line="263" w:lineRule="auto"/>
        <w:tabs>
          <w:tab w:leader="none" w:pos="8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83" w:lineRule="exact"/>
        <w:rPr>
          <w:rFonts w:ascii="Arial" w:cs="Arial" w:eastAsia="Arial" w:hAnsi="Arial"/>
          <w:sz w:val="18"/>
          <w:szCs w:val="18"/>
          <w:color w:val="auto"/>
        </w:rPr>
      </w:pPr>
    </w:p>
    <w:p>
      <w:pPr>
        <w:ind w:left="-436" w:right="100" w:firstLine="987"/>
        <w:spacing w:after="0" w:line="263" w:lineRule="auto"/>
        <w:tabs>
          <w:tab w:leader="none" w:pos="81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83" w:lineRule="exact"/>
        <w:rPr>
          <w:rFonts w:ascii="Arial" w:cs="Arial" w:eastAsia="Arial" w:hAnsi="Arial"/>
          <w:sz w:val="18"/>
          <w:szCs w:val="18"/>
          <w:color w:val="auto"/>
        </w:rPr>
      </w:pPr>
    </w:p>
    <w:p>
      <w:pPr>
        <w:ind w:left="-436" w:right="240" w:firstLine="987"/>
        <w:spacing w:after="0" w:line="277" w:lineRule="auto"/>
        <w:tabs>
          <w:tab w:leader="none" w:pos="8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170" w:lineRule="exact"/>
        <w:rPr>
          <w:rFonts w:ascii="Arial" w:cs="Arial" w:eastAsia="Arial" w:hAnsi="Arial"/>
          <w:sz w:val="18"/>
          <w:szCs w:val="18"/>
          <w:color w:val="auto"/>
        </w:rPr>
      </w:pPr>
    </w:p>
    <w:p>
      <w:pPr>
        <w:ind w:left="-436" w:right="100" w:firstLine="987"/>
        <w:spacing w:after="0" w:line="311" w:lineRule="auto"/>
        <w:tabs>
          <w:tab w:leader="none" w:pos="81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81" w:lineRule="exact"/>
        <w:rPr>
          <w:rFonts w:ascii="Arial" w:cs="Arial" w:eastAsia="Arial" w:hAnsi="Arial"/>
          <w:sz w:val="16"/>
          <w:szCs w:val="16"/>
          <w:color w:val="auto"/>
        </w:rPr>
      </w:pPr>
    </w:p>
    <w:p>
      <w:pPr>
        <w:ind w:left="5024" w:hanging="106"/>
        <w:spacing w:after="0"/>
        <w:tabs>
          <w:tab w:leader="none" w:pos="5024" w:val="left"/>
        </w:tabs>
        <w:numPr>
          <w:ilvl w:val="2"/>
          <w:numId w:val="15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44"/>
          </w:cols>
          <w:pgMar w:left="876" w:top="274" w:right="479" w:bottom="1440" w:gutter="0" w:footer="0" w:header="0"/>
        </w:sectPr>
      </w:pPr>
    </w:p>
    <w:bookmarkStart w:id="148" w:name="page149"/>
    <w:bookmarkEnd w:id="148"/>
    <w:p>
      <w:pPr>
        <w:ind w:left="624" w:hanging="184"/>
        <w:spacing w:after="0"/>
        <w:tabs>
          <w:tab w:leader="none" w:pos="624"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 for Payment to Company</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ABA Routing: 021000021</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Account No.: 156330700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Account Name: Take-Two Interactive Software, Inc.</w:t>
      </w:r>
    </w:p>
    <w:p>
      <w:pPr>
        <w:spacing w:after="0" w:line="211" w:lineRule="exact"/>
        <w:rPr>
          <w:sz w:val="20"/>
          <w:szCs w:val="20"/>
          <w:color w:val="auto"/>
        </w:rPr>
      </w:pPr>
    </w:p>
    <w:p>
      <w:pPr>
        <w:ind w:left="4" w:right="20" w:firstLine="436"/>
        <w:spacing w:after="0" w:line="277" w:lineRule="auto"/>
        <w:tabs>
          <w:tab w:leader="none" w:pos="624"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hereunder shall be governed by and construed in accordance with the laws of the State of New York (without reference to choice of law doctrine).</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Jurisdiction; Waiver of Trial by Jury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86" w:lineRule="auto"/>
        <w:tabs>
          <w:tab w:leader="none" w:pos="1240" w:val="left"/>
        </w:tabs>
        <w:numPr>
          <w:ilvl w:val="2"/>
          <w:numId w:val="159"/>
        </w:numPr>
        <w:rPr>
          <w:rFonts w:ascii="Arial" w:cs="Arial" w:eastAsia="Arial" w:hAnsi="Arial"/>
          <w:sz w:val="16"/>
          <w:szCs w:val="16"/>
          <w:color w:val="auto"/>
        </w:rPr>
      </w:pPr>
      <w:r>
        <w:rPr>
          <w:rFonts w:ascii="Arial" w:cs="Arial" w:eastAsia="Arial" w:hAnsi="Arial"/>
          <w:sz w:val="16"/>
          <w:szCs w:val="16"/>
          <w:color w:val="auto"/>
        </w:rPr>
        <w:t>Each party hereby irrevocably and unconditionally submits for itself and its property in any suit, legal action or proceeding relating to this Agreement, or for recognition and enforcement of any judgment in respect thereof, (each, “</w:t>
      </w:r>
      <w:r>
        <w:rPr>
          <w:rFonts w:ascii="Arial" w:cs="Arial" w:eastAsia="Arial" w:hAnsi="Arial"/>
          <w:sz w:val="16"/>
          <w:szCs w:val="16"/>
          <w:b w:val="1"/>
          <w:bCs w:val="1"/>
          <w:color w:val="auto"/>
        </w:rPr>
        <w:t>Proceedings</w:t>
      </w:r>
      <w:r>
        <w:rPr>
          <w:rFonts w:ascii="Arial" w:cs="Arial" w:eastAsia="Arial" w:hAnsi="Arial"/>
          <w:sz w:val="16"/>
          <w:szCs w:val="16"/>
          <w:color w:val="auto"/>
        </w:rPr>
        <w:t>”) to the exclusive jurisdiction of the Supreme Court of the State of New York, sitting in New York County, the courts of the United States of America for the Southern District of New York and appellate courts from any thereof. Nothing in this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Agreement, the party (1) joins, files a claim, or takes any other action, in any such suit, action or proceeding, or (2) otherwise commences any Proceeding in that other jurisdiction as the result of that other suit, action or proceeding having commenced in that other jurisdiction.</w:t>
      </w:r>
    </w:p>
    <w:p>
      <w:pPr>
        <w:spacing w:after="0" w:line="173" w:lineRule="exact"/>
        <w:rPr>
          <w:rFonts w:ascii="Arial" w:cs="Arial" w:eastAsia="Arial" w:hAnsi="Arial"/>
          <w:sz w:val="16"/>
          <w:szCs w:val="16"/>
          <w:color w:val="auto"/>
        </w:rPr>
      </w:pPr>
    </w:p>
    <w:p>
      <w:pPr>
        <w:ind w:left="4" w:right="220" w:firstLine="987"/>
        <w:spacing w:after="0" w:line="259" w:lineRule="auto"/>
        <w:tabs>
          <w:tab w:leader="none" w:pos="125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EACH OF COMPANY AND DEALER HEREBY IRREVOCABLY WAIVES (ON ITS OWN BEHALF AND, TO THE EXTENT PERMITTED BY APPLICABLE LAW, ON BEHALF OF ITS STOCKHOLDERS) ALL RIGHT TO TRIAL BY JURY IN ANY ACTION, PROCEEDING OR COUNTERCLAIM (WHETHER BASED ON CONTRACT, TORT OR OTHERWISE) ARISING OUT OF OR RELATING TO THIS AGREEMENT.</w:t>
      </w:r>
    </w:p>
    <w:p>
      <w:pPr>
        <w:spacing w:after="0" w:line="186" w:lineRule="exact"/>
        <w:rPr>
          <w:rFonts w:ascii="Arial" w:cs="Arial" w:eastAsia="Arial" w:hAnsi="Arial"/>
          <w:sz w:val="18"/>
          <w:szCs w:val="18"/>
          <w:color w:val="auto"/>
        </w:rPr>
      </w:pPr>
    </w:p>
    <w:p>
      <w:pPr>
        <w:ind w:left="4" w:right="180" w:firstLine="436"/>
        <w:spacing w:after="0" w:line="277" w:lineRule="auto"/>
        <w:tabs>
          <w:tab w:leader="none" w:pos="714"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all of the signatures thereto and hereto were upon the same instrument.</w:t>
      </w:r>
    </w:p>
    <w:p>
      <w:pPr>
        <w:spacing w:after="0" w:line="170" w:lineRule="exact"/>
        <w:rPr>
          <w:rFonts w:ascii="Arial" w:cs="Arial" w:eastAsia="Arial" w:hAnsi="Arial"/>
          <w:sz w:val="18"/>
          <w:szCs w:val="18"/>
          <w:color w:val="auto"/>
        </w:rPr>
      </w:pPr>
    </w:p>
    <w:p>
      <w:pPr>
        <w:ind w:left="4" w:right="40" w:firstLine="436"/>
        <w:spacing w:after="0" w:line="263" w:lineRule="auto"/>
        <w:tabs>
          <w:tab w:leader="none" w:pos="707"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No Reliance, etc</w:t>
      </w:r>
      <w:r>
        <w:rPr>
          <w:rFonts w:ascii="Arial" w:cs="Arial" w:eastAsia="Arial" w:hAnsi="Arial"/>
          <w:sz w:val="18"/>
          <w:szCs w:val="18"/>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83" w:lineRule="exact"/>
        <w:rPr>
          <w:rFonts w:ascii="Arial" w:cs="Arial" w:eastAsia="Arial" w:hAnsi="Arial"/>
          <w:sz w:val="18"/>
          <w:szCs w:val="18"/>
          <w:color w:val="auto"/>
        </w:rPr>
      </w:pPr>
    </w:p>
    <w:p>
      <w:pPr>
        <w:ind w:left="4" w:firstLine="436"/>
        <w:spacing w:after="0" w:line="259" w:lineRule="auto"/>
        <w:tabs>
          <w:tab w:leader="none" w:pos="714"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Additional Acknowledgements and Agreements</w:t>
      </w:r>
      <w:r>
        <w:rPr>
          <w:rFonts w:ascii="Arial" w:cs="Arial" w:eastAsia="Arial" w:hAnsi="Arial"/>
          <w:sz w:val="18"/>
          <w:szCs w:val="18"/>
          <w:color w:val="auto"/>
        </w:rPr>
        <w:t>. Company acknowledges and agrees that (A) Company does not have, and shall not attempt to exercise, any influence over how, when or whether Dealer effects any hedge unwind activity in connection with this Agreement and (B) Company is entering into this Agreement in good faith and not as part of a plan or scheme to evade compliance with federal securities laws including, without limitation, Rule 10b-5 promulgated under the Exchange Act.</w:t>
      </w:r>
    </w:p>
    <w:p>
      <w:pPr>
        <w:spacing w:after="0" w:line="186" w:lineRule="exact"/>
        <w:rPr>
          <w:rFonts w:ascii="Arial" w:cs="Arial" w:eastAsia="Arial" w:hAnsi="Arial"/>
          <w:sz w:val="18"/>
          <w:szCs w:val="18"/>
          <w:color w:val="auto"/>
        </w:rPr>
      </w:pPr>
    </w:p>
    <w:p>
      <w:pPr>
        <w:ind w:left="4" w:right="120" w:firstLine="436"/>
        <w:spacing w:after="0" w:line="286" w:lineRule="auto"/>
        <w:tabs>
          <w:tab w:leader="none" w:pos="714"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Agreements and Acknowledgements Regarding Hedging</w:t>
      </w:r>
      <w:r>
        <w:rPr>
          <w:rFonts w:ascii="Arial" w:cs="Arial" w:eastAsia="Arial" w:hAnsi="Arial"/>
          <w:sz w:val="16"/>
          <w:szCs w:val="16"/>
          <w:color w:val="auto"/>
        </w:rPr>
        <w:t>. Company understands, acknowledges and agrees that: (A) Dealer and its affiliates may buy or sell Shares or other securities or buy or sell options or futures contracts or enter into or unwind swaps or other derivative securities for its own account in connection with the termination or amendment of the Capped Call Confirmations; (B) Dealer and its affiliates also may be active in the market for Shares other than in connection with hedging activities in relation to the termination or amendment of the Capped Call Confirmations;</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Dealer shall make its own determination as to whether, when or in what manner any hedging or market activities in securities of Company shall be</w:t>
      </w:r>
    </w:p>
    <w:p>
      <w:pPr>
        <w:spacing w:after="0" w:line="166" w:lineRule="exact"/>
        <w:rPr>
          <w:rFonts w:ascii="Arial" w:cs="Arial" w:eastAsia="Arial" w:hAnsi="Arial"/>
          <w:sz w:val="16"/>
          <w:szCs w:val="16"/>
          <w:color w:val="auto"/>
        </w:rPr>
      </w:pPr>
    </w:p>
    <w:p>
      <w:pPr>
        <w:ind w:left="5464" w:hanging="106"/>
        <w:spacing w:after="0"/>
        <w:tabs>
          <w:tab w:leader="none" w:pos="5464" w:val="left"/>
        </w:tabs>
        <w:numPr>
          <w:ilvl w:val="3"/>
          <w:numId w:val="16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4"/>
          </w:cols>
          <w:pgMar w:left="436" w:top="274" w:right="459" w:bottom="1440" w:gutter="0" w:footer="0" w:header="0"/>
        </w:sectPr>
      </w:pPr>
    </w:p>
    <w:bookmarkStart w:id="149" w:name="page150"/>
    <w:bookmarkEnd w:id="149"/>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conducted and shall do so in a manner that it deems appropriate to hedge its price and market risk with respect to the payment required under this Agreement; (D) any market activities of Dealer and its affiliates with respect to Shares may affect the market price and volatility of Shares, each in a manner that may be adverse to Company and (E) Dealer may purchase or sell shares for its own account at an average price that may be greater than, or less than, any price paid by or to Company in connection with the termination or amendment of the Capped Call Confirmations.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20"/>
          </w:cols>
          <w:pgMar w:left="440" w:top="274" w:right="539" w:bottom="1440" w:gutter="0" w:footer="0" w:header="0"/>
        </w:sectPr>
      </w:pPr>
    </w:p>
    <w:bookmarkStart w:id="150" w:name="page151"/>
    <w:bookmarkEnd w:id="15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Diana 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Diana Nott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Graham 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Graham Orton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Securities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acting solely as agent in connection with this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Diana 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Diana Nott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Graham 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Graham Orton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James Gerard Griffin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99.7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ZYNGA INC. and NOMURA GLOBAL FINANCIAL PRODUCTS INC.</w:t>
      </w:r>
    </w:p>
    <w:p>
      <w:pPr>
        <w:spacing w:after="0" w:line="20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respect to the Capped Call Confirmations (as defined below) is made as of May 20, 2022, between Zynga Inc. (“</w:t>
      </w:r>
      <w:r>
        <w:rPr>
          <w:rFonts w:ascii="Arial" w:cs="Arial" w:eastAsia="Arial" w:hAnsi="Arial"/>
          <w:sz w:val="18"/>
          <w:szCs w:val="18"/>
          <w:b w:val="1"/>
          <w:bCs w:val="1"/>
          <w:color w:val="auto"/>
        </w:rPr>
        <w:t>Company</w:t>
      </w:r>
      <w:r>
        <w:rPr>
          <w:rFonts w:ascii="Arial" w:cs="Arial" w:eastAsia="Arial" w:hAnsi="Arial"/>
          <w:sz w:val="18"/>
          <w:szCs w:val="18"/>
          <w:color w:val="auto"/>
        </w:rPr>
        <w:t>”) and Nomura Global Financial Products Inc. (“</w:t>
      </w:r>
      <w:r>
        <w:rPr>
          <w:rFonts w:ascii="Arial" w:cs="Arial" w:eastAsia="Arial" w:hAnsi="Arial"/>
          <w:sz w:val="18"/>
          <w:szCs w:val="18"/>
          <w:b w:val="1"/>
          <w:bCs w:val="1"/>
          <w:color w:val="auto"/>
        </w:rPr>
        <w:t>Dealer</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WHEREAS, Company issued $762,000,000 principal amount of 0.00% Convertible Senior Notes due 2026 (the “</w:t>
      </w:r>
      <w:r>
        <w:rPr>
          <w:rFonts w:ascii="Arial" w:cs="Arial" w:eastAsia="Arial" w:hAnsi="Arial"/>
          <w:sz w:val="18"/>
          <w:szCs w:val="18"/>
          <w:b w:val="1"/>
          <w:bCs w:val="1"/>
          <w:color w:val="auto"/>
        </w:rPr>
        <w:t>Convertible Notes</w:t>
      </w:r>
      <w:r>
        <w:rPr>
          <w:rFonts w:ascii="Arial" w:cs="Arial" w:eastAsia="Arial" w:hAnsi="Arial"/>
          <w:sz w:val="18"/>
          <w:szCs w:val="18"/>
          <w:color w:val="auto"/>
        </w:rPr>
        <w:t>”) pursuant to an Indenture dated as of December 17, 2020 between Company and Computershare Trust Company, N.A. (as successor to Wells Fargo Bank, National Association), as trustee;</w:t>
      </w:r>
    </w:p>
    <w:p>
      <w:pPr>
        <w:spacing w:after="0" w:line="18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WHEREAS, in connection with the issuance of the Convertible Notes, Company and Dealer entered into a Base Capped Call Transaction (the “</w:t>
      </w:r>
      <w:r>
        <w:rPr>
          <w:rFonts w:ascii="Arial" w:cs="Arial" w:eastAsia="Arial" w:hAnsi="Arial"/>
          <w:sz w:val="17"/>
          <w:szCs w:val="17"/>
          <w:b w:val="1"/>
          <w:bCs w:val="1"/>
          <w:color w:val="auto"/>
        </w:rPr>
        <w:t>Base Capped Call Transaction</w:t>
      </w:r>
      <w:r>
        <w:rPr>
          <w:rFonts w:ascii="Arial" w:cs="Arial" w:eastAsia="Arial" w:hAnsi="Arial"/>
          <w:sz w:val="17"/>
          <w:szCs w:val="17"/>
          <w:color w:val="auto"/>
        </w:rPr>
        <w:t>”) pursuant to an ISDA confirmation dated as of December 14, 2020, which supplements, forms a part of, and is subject to an agreement in the form of the 2002 ISDA Master Agreement, pursuant to which Company purchased from Dealer 762,000 call options (as amended, modified, terminated or unwound from time to time, the “</w:t>
      </w:r>
      <w:r>
        <w:rPr>
          <w:rFonts w:ascii="Arial" w:cs="Arial" w:eastAsia="Arial" w:hAnsi="Arial"/>
          <w:sz w:val="17"/>
          <w:szCs w:val="17"/>
          <w:b w:val="1"/>
          <w:bCs w:val="1"/>
          <w:color w:val="auto"/>
        </w:rPr>
        <w:t>Base Capped Call Confirmation</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WHEREAS, in connection with the exercise of the over-allotment option by the initial purchasers of the Convertible Notes, Company and Dealer entered into an Additional Capped Call Transaction (the “</w:t>
      </w:r>
      <w:r>
        <w:rPr>
          <w:rFonts w:ascii="Arial" w:cs="Arial" w:eastAsia="Arial" w:hAnsi="Arial"/>
          <w:sz w:val="18"/>
          <w:szCs w:val="18"/>
          <w:b w:val="1"/>
          <w:bCs w:val="1"/>
          <w:color w:val="auto"/>
        </w:rPr>
        <w:t>Additional Capped Call Transaction</w:t>
      </w:r>
      <w:r>
        <w:rPr>
          <w:rFonts w:ascii="Arial" w:cs="Arial" w:eastAsia="Arial" w:hAnsi="Arial"/>
          <w:sz w:val="18"/>
          <w:szCs w:val="18"/>
          <w:color w:val="auto"/>
        </w:rPr>
        <w:t>” and, together with the Base Capped Call Transaction, the “</w:t>
      </w:r>
      <w:r>
        <w:rPr>
          <w:rFonts w:ascii="Arial" w:cs="Arial" w:eastAsia="Arial" w:hAnsi="Arial"/>
          <w:sz w:val="18"/>
          <w:szCs w:val="18"/>
          <w:b w:val="1"/>
          <w:bCs w:val="1"/>
          <w:color w:val="auto"/>
        </w:rPr>
        <w:t>Capped Call Transactions</w:t>
      </w:r>
      <w:r>
        <w:rPr>
          <w:rFonts w:ascii="Arial" w:cs="Arial" w:eastAsia="Arial" w:hAnsi="Arial"/>
          <w:sz w:val="18"/>
          <w:szCs w:val="18"/>
          <w:color w:val="auto"/>
        </w:rPr>
        <w:t>”) pursuant to an ISDA confirmation dated as of December 15, 2020, which supplements, forms a part of, and is subject to an agreement in the form of the 2002 ISDA Master Agreement, pursuant to which Company purchased from Dealer an additional 112,500 call options (as amended, modified, terminated or unwound from time to time, the “</w:t>
      </w:r>
      <w:r>
        <w:rPr>
          <w:rFonts w:ascii="Arial" w:cs="Arial" w:eastAsia="Arial" w:hAnsi="Arial"/>
          <w:sz w:val="18"/>
          <w:szCs w:val="18"/>
          <w:b w:val="1"/>
          <w:bCs w:val="1"/>
          <w:color w:val="auto"/>
        </w:rPr>
        <w:t>Additional Capped Call Confirmation</w:t>
      </w:r>
      <w:r>
        <w:rPr>
          <w:rFonts w:ascii="Arial" w:cs="Arial" w:eastAsia="Arial" w:hAnsi="Arial"/>
          <w:sz w:val="18"/>
          <w:szCs w:val="18"/>
          <w:color w:val="auto"/>
        </w:rPr>
        <w:t>” and, together with the Base Capped Call Confirmation,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in anticipation of the consummation of transactions contemplated by the previously announced Agreement and Plan of Merger, dated as of January 9, 2022 (as it may be amended or supplemented from time to time,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 Company, Take-Two-Interactive Software, Inc., Zebra MS I, Inc., a wholly owned subsidiary of Take-Two, and Zebra MS II, Inc., a wholly owned subsidiary of Take-Two (“</w:t>
      </w:r>
      <w:r>
        <w:rPr>
          <w:rFonts w:ascii="Arial" w:cs="Arial" w:eastAsia="Arial" w:hAnsi="Arial"/>
          <w:sz w:val="18"/>
          <w:szCs w:val="18"/>
          <w:b w:val="1"/>
          <w:bCs w:val="1"/>
          <w:color w:val="auto"/>
        </w:rPr>
        <w:t>Merger Sub 2</w:t>
      </w:r>
      <w:r>
        <w:rPr>
          <w:rFonts w:ascii="Arial" w:cs="Arial" w:eastAsia="Arial" w:hAnsi="Arial"/>
          <w:sz w:val="18"/>
          <w:szCs w:val="18"/>
          <w:color w:val="auto"/>
        </w:rPr>
        <w:t>”), Company has requested termination of the Capped Call Transactions;</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NOW, THEREFORE, in consideration of their mutual covenants herein contained, the parties hereto, intending to be legally bound, hereby mutually covenant and agree as follows:</w:t>
      </w:r>
    </w:p>
    <w:p>
      <w:pPr>
        <w:spacing w:after="0" w:line="62" w:lineRule="exact"/>
        <w:rPr>
          <w:sz w:val="20"/>
          <w:szCs w:val="20"/>
          <w:color w:val="auto"/>
        </w:rPr>
      </w:pPr>
    </w:p>
    <w:p>
      <w:pPr>
        <w:ind w:right="920" w:firstLine="436"/>
        <w:spacing w:after="0" w:line="277" w:lineRule="auto"/>
        <w:tabs>
          <w:tab w:leader="none" w:pos="6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Any capitalized term not otherwise defined herein shall have the meaning set forth for such term in the Capped Call Confirmations.</w:t>
      </w:r>
    </w:p>
    <w:p>
      <w:pPr>
        <w:spacing w:after="0" w:line="62" w:lineRule="exact"/>
        <w:rPr>
          <w:rFonts w:ascii="Arial" w:cs="Arial" w:eastAsia="Arial" w:hAnsi="Arial"/>
          <w:sz w:val="18"/>
          <w:szCs w:val="18"/>
          <w:color w:val="auto"/>
        </w:rPr>
      </w:pPr>
    </w:p>
    <w:p>
      <w:pPr>
        <w:ind w:right="60" w:firstLine="436"/>
        <w:spacing w:after="0" w:line="301" w:lineRule="auto"/>
        <w:tabs>
          <w:tab w:leader="none" w:pos="620"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anything to the contrary in the Capped Call Confirmations, Company and Dealer agree that, effective on the date hereof and following the termination contemplated hereby, the Number of Options remaining outstanding under the Base Capped Call Transaction shall be reduced to zero and the Number of Options remaining outstanding under the Additional Capped Call Transaction shall be reduced to zero, and in connection therewith Dealer shall be required to pay to Company the Cash Settlement Amount on the Payment Date pursuant to Sections 3 and 4 below.</w:t>
      </w:r>
    </w:p>
    <w:p>
      <w:pPr>
        <w:spacing w:after="0" w:line="49" w:lineRule="exact"/>
        <w:rPr>
          <w:rFonts w:ascii="Arial" w:cs="Arial" w:eastAsia="Arial" w:hAnsi="Arial"/>
          <w:sz w:val="16"/>
          <w:szCs w:val="16"/>
          <w:color w:val="auto"/>
        </w:rPr>
      </w:pPr>
    </w:p>
    <w:p>
      <w:pPr>
        <w:ind w:right="40" w:firstLine="436"/>
        <w:spacing w:after="0" w:line="289" w:lineRule="auto"/>
        <w:tabs>
          <w:tab w:leader="none" w:pos="620"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Payments and Deliveries</w:t>
      </w:r>
      <w:r>
        <w:rPr>
          <w:rFonts w:ascii="Arial" w:cs="Arial" w:eastAsia="Arial" w:hAnsi="Arial"/>
          <w:sz w:val="16"/>
          <w:szCs w:val="16"/>
          <w:color w:val="auto"/>
        </w:rPr>
        <w:t>. On the first Scheduled Trading Day following the final Averaging Date (as defined below) or, if such day is not a Clearance System Business Day, on the next Clearance System Business Day immediately following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Dealer shall pay to Company in immediately available funds cash in an amount equal to the Cash Settlement Amount. The “</w:t>
      </w:r>
      <w:r>
        <w:rPr>
          <w:rFonts w:ascii="Arial" w:cs="Arial" w:eastAsia="Arial" w:hAnsi="Arial"/>
          <w:sz w:val="16"/>
          <w:szCs w:val="16"/>
          <w:b w:val="1"/>
          <w:bCs w:val="1"/>
          <w:color w:val="auto"/>
        </w:rPr>
        <w:t>Cash Settlement Amount</w:t>
      </w:r>
      <w:r>
        <w:rPr>
          <w:rFonts w:ascii="Arial" w:cs="Arial" w:eastAsia="Arial" w:hAnsi="Arial"/>
          <w:sz w:val="16"/>
          <w:szCs w:val="16"/>
          <w:color w:val="auto"/>
        </w:rPr>
        <w:t>” shall mean an amount in US Dollars determined by Dealer using linear interpolation with reference to the table set forth in Schedule A attached hereto. Each of Dealer and the Company hereby agrees that, upon payment of the Cash Settlement Amount by Dealer: (i) the Capped Call Transactions and all of the respective rights and obligations of Dealer and the Company thereunder are cancelled and terminated and (ii) the Company releases and discharges Dealer from and agrees not to make any claim against Dealer with respect to any obligations of Dealer arising out of, and to be performed in connection with, the Capped Call Transactions. Each of the parties hereby represents and acknowledges to the other that, upon payment of the Cash Settlement Amount by Dealer, no further amounts are owed by Dealer to the Company or to any other party with respect to the Capped Call Transactions.</w:t>
      </w:r>
    </w:p>
    <w:p>
      <w:pPr>
        <w:sectPr>
          <w:pgSz w:w="11900" w:h="16838" w:orient="portrait"/>
          <w:cols w:equalWidth="0" w:num="1">
            <w:col w:w="11020"/>
          </w:cols>
          <w:pgMar w:left="440" w:top="121" w:right="439" w:bottom="1440" w:gutter="0" w:footer="0" w:header="0"/>
        </w:sectPr>
      </w:pPr>
    </w:p>
    <w:bookmarkStart w:id="152" w:name="page153"/>
    <w:bookmarkEnd w:id="152"/>
    <w:p>
      <w:pPr>
        <w:ind w:left="-436" w:firstLine="436"/>
        <w:spacing w:after="0" w:line="286" w:lineRule="auto"/>
        <w:tabs>
          <w:tab w:leader="none" w:pos="184"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Valuation</w:t>
      </w:r>
      <w:r>
        <w:rPr>
          <w:rFonts w:ascii="Arial" w:cs="Arial" w:eastAsia="Arial" w:hAnsi="Arial"/>
          <w:sz w:val="16"/>
          <w:szCs w:val="16"/>
          <w:color w:val="auto"/>
        </w:rPr>
        <w:t>. “</w:t>
      </w:r>
      <w:r>
        <w:rPr>
          <w:rFonts w:ascii="Arial" w:cs="Arial" w:eastAsia="Arial" w:hAnsi="Arial"/>
          <w:sz w:val="16"/>
          <w:szCs w:val="16"/>
          <w:b w:val="1"/>
          <w:bCs w:val="1"/>
          <w:color w:val="auto"/>
        </w:rPr>
        <w:t>Averaging Date</w:t>
      </w:r>
      <w:r>
        <w:rPr>
          <w:rFonts w:ascii="Arial" w:cs="Arial" w:eastAsia="Arial" w:hAnsi="Arial"/>
          <w:sz w:val="16"/>
          <w:szCs w:val="16"/>
          <w:color w:val="auto"/>
        </w:rPr>
        <w:t>” means June 27, 2022 and the four Scheduled Trading Days thereafter (the period of consecutive Scheduled Trading Days from and including June 27, 2022 through the final Averaging Date being collectively referred to as the “</w:t>
      </w:r>
      <w:r>
        <w:rPr>
          <w:rFonts w:ascii="Arial" w:cs="Arial" w:eastAsia="Arial" w:hAnsi="Arial"/>
          <w:sz w:val="16"/>
          <w:szCs w:val="16"/>
          <w:b w:val="1"/>
          <w:bCs w:val="1"/>
          <w:color w:val="auto"/>
        </w:rPr>
        <w:t>Termination 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date is a Disrupted Day in whole, such date shall not constitute an Averaging Date, and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Averaging Date shall occur on the Scheduled Trading Day after the date that would otherwise be the final Averaging Date. “</w:t>
      </w:r>
      <w:r>
        <w:rPr>
          <w:rFonts w:ascii="Arial" w:cs="Arial" w:eastAsia="Arial" w:hAnsi="Arial"/>
          <w:sz w:val="16"/>
          <w:szCs w:val="16"/>
          <w:b w:val="1"/>
          <w:bCs w:val="1"/>
          <w:color w:val="auto"/>
        </w:rPr>
        <w:t>Average VWAP</w:t>
      </w:r>
      <w:r>
        <w:rPr>
          <w:rFonts w:ascii="Arial" w:cs="Arial" w:eastAsia="Arial" w:hAnsi="Arial"/>
          <w:sz w:val="16"/>
          <w:szCs w:val="16"/>
          <w:color w:val="auto"/>
        </w:rPr>
        <w:t>” means the arithmetic average of the VWAP Prices for each Averaging Date during the Termination Valuation Period. “</w:t>
      </w:r>
      <w:r>
        <w:rPr>
          <w:rFonts w:ascii="Arial" w:cs="Arial" w:eastAsia="Arial" w:hAnsi="Arial"/>
          <w:sz w:val="16"/>
          <w:szCs w:val="16"/>
          <w:b w:val="1"/>
          <w:bCs w:val="1"/>
          <w:color w:val="auto"/>
        </w:rPr>
        <w:t>VWAP Price</w:t>
      </w:r>
      <w:r>
        <w:rPr>
          <w:rFonts w:ascii="Arial" w:cs="Arial" w:eastAsia="Arial" w:hAnsi="Arial"/>
          <w:sz w:val="16"/>
          <w:szCs w:val="16"/>
          <w:color w:val="auto"/>
        </w:rPr>
        <w:t>” for any Scheduled Trading Day means the per Share volume-weighted average price as displayed under the heading “Bloomberg VWAP” on Bloomberg page TTWO &lt;equity&gt; AQR (or any successor thereto) in respect of the period from 9:30 am to 4:00 pm (New York City time) on such Scheduled Trading Day (or if such volume-weighted average price is unavailable, the market value of one Share on such Scheduled Trading Day for such time period, as determined by Dealer in a good faith, commercially reasonable manner). Notwithstanding the foregoing, if (i) any Scheduled Trading Day in the Termination Valuation Period is a Disrupted Day in part or (ii) Dealer determines in its commercially reasonable judgment that on any Scheduled Trading Day during the Termination Valuation Period an extension of the Termination Valuation Period is reasonably necessary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internal policies and procedures, then the VWAP Price for such Scheduled Trading Day(s) shall be the volume-weighted average price per Share on such Scheduled Trading Day on the Exchange for such time period, as determined by Dealer in a commercially reasonable manner and the Cash Settlement Amount shall be adjusted by Dealer in its good faith, commercially reasonable discretion to account for such disruption and/or extension.</w:t>
      </w:r>
    </w:p>
    <w:p>
      <w:pPr>
        <w:spacing w:after="0" w:line="60" w:lineRule="exact"/>
        <w:rPr>
          <w:rFonts w:ascii="Arial" w:cs="Arial" w:eastAsia="Arial" w:hAnsi="Arial"/>
          <w:sz w:val="16"/>
          <w:szCs w:val="16"/>
          <w:color w:val="auto"/>
        </w:rPr>
      </w:pPr>
    </w:p>
    <w:p>
      <w:pPr>
        <w:ind w:left="184" w:hanging="184"/>
        <w:spacing w:after="0"/>
        <w:tabs>
          <w:tab w:leader="none" w:pos="18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and warrants to Dealer on the date hereof that:</w:t>
      </w:r>
    </w:p>
    <w:p>
      <w:pPr>
        <w:spacing w:after="0" w:line="117" w:lineRule="exact"/>
        <w:rPr>
          <w:rFonts w:ascii="Arial" w:cs="Arial" w:eastAsia="Arial" w:hAnsi="Arial"/>
          <w:sz w:val="18"/>
          <w:szCs w:val="18"/>
          <w:color w:val="auto"/>
        </w:rPr>
      </w:pPr>
    </w:p>
    <w:p>
      <w:pPr>
        <w:ind w:left="-436" w:right="40" w:firstLine="987"/>
        <w:spacing w:after="0" w:line="263" w:lineRule="auto"/>
        <w:tabs>
          <w:tab w:leader="none" w:pos="8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75" w:lineRule="exact"/>
        <w:rPr>
          <w:rFonts w:ascii="Arial" w:cs="Arial" w:eastAsia="Arial" w:hAnsi="Arial"/>
          <w:sz w:val="18"/>
          <w:szCs w:val="18"/>
          <w:color w:val="auto"/>
        </w:rPr>
      </w:pPr>
    </w:p>
    <w:p>
      <w:pPr>
        <w:ind w:left="-436" w:right="120" w:firstLine="987"/>
        <w:spacing w:after="0" w:line="263" w:lineRule="auto"/>
        <w:tabs>
          <w:tab w:leader="none" w:pos="81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36" w:right="260" w:firstLine="987"/>
        <w:spacing w:after="0" w:line="277" w:lineRule="auto"/>
        <w:tabs>
          <w:tab w:leader="none" w:pos="8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62" w:lineRule="exact"/>
        <w:rPr>
          <w:rFonts w:ascii="Arial" w:cs="Arial" w:eastAsia="Arial" w:hAnsi="Arial"/>
          <w:sz w:val="18"/>
          <w:szCs w:val="18"/>
          <w:color w:val="auto"/>
        </w:rPr>
      </w:pPr>
    </w:p>
    <w:p>
      <w:pPr>
        <w:ind w:left="-436" w:right="120" w:firstLine="987"/>
        <w:spacing w:after="0" w:line="311" w:lineRule="auto"/>
        <w:tabs>
          <w:tab w:leader="none" w:pos="81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804" w:hanging="253"/>
        <w:spacing w:after="0"/>
        <w:tabs>
          <w:tab w:leader="none" w:pos="804" w:val="left"/>
        </w:tabs>
        <w:numPr>
          <w:ilvl w:val="1"/>
          <w:numId w:val="162"/>
        </w:numPr>
        <w:rPr>
          <w:rFonts w:ascii="Arial" w:cs="Arial" w:eastAsia="Arial" w:hAnsi="Arial"/>
          <w:sz w:val="17"/>
          <w:szCs w:val="17"/>
          <w:color w:val="auto"/>
        </w:rPr>
      </w:pPr>
      <w:r>
        <w:rPr>
          <w:rFonts w:ascii="Arial" w:cs="Arial" w:eastAsia="Arial" w:hAnsi="Arial"/>
          <w:sz w:val="17"/>
          <w:szCs w:val="17"/>
          <w:color w:val="auto"/>
        </w:rPr>
        <w:t>each of it and its Affiliates is not in possession of any material nonpublic information regarding Company or the Shares; and</w:t>
      </w:r>
    </w:p>
    <w:p>
      <w:pPr>
        <w:spacing w:after="0" w:line="128" w:lineRule="exact"/>
        <w:rPr>
          <w:rFonts w:ascii="Arial" w:cs="Arial" w:eastAsia="Arial" w:hAnsi="Arial"/>
          <w:sz w:val="17"/>
          <w:szCs w:val="17"/>
          <w:color w:val="auto"/>
        </w:rPr>
      </w:pPr>
    </w:p>
    <w:p>
      <w:pPr>
        <w:ind w:left="-436" w:right="20" w:firstLine="987"/>
        <w:spacing w:after="0" w:line="263" w:lineRule="auto"/>
        <w:tabs>
          <w:tab w:leader="none" w:pos="7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it is not entering into this Agreement or purchasing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Dealer</w:t>
      </w:r>
      <w:r>
        <w:rPr>
          <w:rFonts w:ascii="Arial" w:cs="Arial" w:eastAsia="Arial" w:hAnsi="Arial"/>
          <w:sz w:val="18"/>
          <w:szCs w:val="18"/>
          <w:color w:val="auto"/>
        </w:rPr>
        <w:t>. Dealer represents and warrants to Company on the date hereof that:</w:t>
      </w:r>
    </w:p>
    <w:p>
      <w:pPr>
        <w:spacing w:after="0" w:line="157" w:lineRule="exact"/>
        <w:rPr>
          <w:rFonts w:ascii="Arial" w:cs="Arial" w:eastAsia="Arial" w:hAnsi="Arial"/>
          <w:sz w:val="18"/>
          <w:szCs w:val="18"/>
          <w:color w:val="auto"/>
        </w:rPr>
      </w:pPr>
    </w:p>
    <w:p>
      <w:pPr>
        <w:ind w:left="5024" w:hanging="106"/>
        <w:spacing w:after="0"/>
        <w:tabs>
          <w:tab w:leader="none" w:pos="502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64"/>
          </w:cols>
          <w:pgMar w:left="876" w:top="270" w:right="459" w:bottom="1440" w:gutter="0" w:footer="0" w:header="0"/>
        </w:sectPr>
      </w:pPr>
    </w:p>
    <w:bookmarkStart w:id="153" w:name="page154"/>
    <w:bookmarkEnd w:id="153"/>
    <w:p>
      <w:pPr>
        <w:ind w:left="-20" w:right="40" w:firstLine="987"/>
        <w:spacing w:after="0" w:line="263" w:lineRule="auto"/>
        <w:tabs>
          <w:tab w:leader="none" w:pos="1216"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75" w:lineRule="exact"/>
        <w:rPr>
          <w:rFonts w:ascii="Arial" w:cs="Arial" w:eastAsia="Arial" w:hAnsi="Arial"/>
          <w:sz w:val="18"/>
          <w:szCs w:val="18"/>
          <w:color w:val="auto"/>
        </w:rPr>
      </w:pPr>
    </w:p>
    <w:p>
      <w:pPr>
        <w:ind w:left="-20" w:right="120" w:firstLine="987"/>
        <w:spacing w:after="0" w:line="263" w:lineRule="auto"/>
        <w:tabs>
          <w:tab w:leader="none" w:pos="122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20" w:right="260" w:firstLine="987"/>
        <w:spacing w:after="0" w:line="277" w:lineRule="auto"/>
        <w:tabs>
          <w:tab w:leader="none" w:pos="121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62" w:lineRule="exact"/>
        <w:rPr>
          <w:rFonts w:ascii="Arial" w:cs="Arial" w:eastAsia="Arial" w:hAnsi="Arial"/>
          <w:sz w:val="18"/>
          <w:szCs w:val="18"/>
          <w:color w:val="auto"/>
        </w:rPr>
      </w:pPr>
    </w:p>
    <w:p>
      <w:pPr>
        <w:ind w:left="-20" w:right="120" w:firstLine="987"/>
        <w:spacing w:after="0" w:line="311" w:lineRule="auto"/>
        <w:tabs>
          <w:tab w:leader="none" w:pos="122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600" w:hanging="184"/>
        <w:spacing w:after="0"/>
        <w:tabs>
          <w:tab w:leader="none" w:pos="60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Account for Payment to Company</w:t>
      </w:r>
      <w:r>
        <w:rPr>
          <w:rFonts w:ascii="Arial" w:cs="Arial" w:eastAsia="Arial" w:hAnsi="Arial"/>
          <w:sz w:val="18"/>
          <w:szCs w:val="18"/>
          <w:color w:val="auto"/>
        </w:rPr>
        <w:t>:</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ABA Routing: 021000021</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Account No.: 156330700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Account Name: Take-Two Interactive Software, Inc.</w:t>
      </w:r>
    </w:p>
    <w:p>
      <w:pPr>
        <w:spacing w:after="0" w:line="103" w:lineRule="exact"/>
        <w:rPr>
          <w:sz w:val="20"/>
          <w:szCs w:val="20"/>
          <w:color w:val="auto"/>
        </w:rPr>
      </w:pPr>
    </w:p>
    <w:p>
      <w:pPr>
        <w:ind w:left="-20" w:right="20" w:firstLine="436"/>
        <w:spacing w:after="0" w:line="277" w:lineRule="auto"/>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hereunder shall be governed by and construed in accordance with the laws of the State of New York (without reference to choice of law doctrine).</w:t>
      </w:r>
    </w:p>
    <w:p>
      <w:pPr>
        <w:spacing w:after="0" w:line="62" w:lineRule="exact"/>
        <w:rPr>
          <w:rFonts w:ascii="Arial" w:cs="Arial" w:eastAsia="Arial" w:hAnsi="Arial"/>
          <w:sz w:val="18"/>
          <w:szCs w:val="18"/>
          <w:color w:val="auto"/>
        </w:rPr>
      </w:pPr>
    </w:p>
    <w:p>
      <w:pPr>
        <w:ind w:left="-20" w:right="80" w:firstLine="436"/>
        <w:spacing w:after="0" w:line="277" w:lineRule="auto"/>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all of the signatures thereto and hereto were upon the same instrument.</w:t>
      </w:r>
    </w:p>
    <w:p>
      <w:pPr>
        <w:spacing w:after="0" w:line="62" w:lineRule="exact"/>
        <w:rPr>
          <w:rFonts w:ascii="Arial" w:cs="Arial" w:eastAsia="Arial" w:hAnsi="Arial"/>
          <w:sz w:val="18"/>
          <w:szCs w:val="18"/>
          <w:color w:val="auto"/>
        </w:rPr>
      </w:pPr>
    </w:p>
    <w:p>
      <w:pPr>
        <w:ind w:left="-20" w:right="20" w:firstLine="436"/>
        <w:spacing w:after="0" w:line="263" w:lineRule="auto"/>
        <w:tabs>
          <w:tab w:leader="none" w:pos="69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 Reliance, etc</w:t>
      </w:r>
      <w:r>
        <w:rPr>
          <w:rFonts w:ascii="Arial" w:cs="Arial" w:eastAsia="Arial" w:hAnsi="Arial"/>
          <w:sz w:val="18"/>
          <w:szCs w:val="18"/>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71" w:lineRule="exact"/>
        <w:rPr>
          <w:rFonts w:ascii="Arial" w:cs="Arial" w:eastAsia="Arial" w:hAnsi="Arial"/>
          <w:sz w:val="18"/>
          <w:szCs w:val="18"/>
          <w:color w:val="auto"/>
        </w:rPr>
      </w:pPr>
    </w:p>
    <w:p>
      <w:pPr>
        <w:ind w:left="-20" w:firstLine="436"/>
        <w:spacing w:after="0" w:line="273" w:lineRule="auto"/>
        <w:tabs>
          <w:tab w:leader="none" w:pos="683"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Role of Agent</w:t>
      </w:r>
      <w:r>
        <w:rPr>
          <w:rFonts w:ascii="Arial" w:cs="Arial" w:eastAsia="Arial" w:hAnsi="Arial"/>
          <w:sz w:val="17"/>
          <w:szCs w:val="17"/>
          <w:color w:val="auto"/>
        </w:rPr>
        <w:t>. Dealer is not registered as a broker or dealer under the Exchange Act. Nomura Securities International, Inc. (“</w:t>
      </w:r>
      <w:r>
        <w:rPr>
          <w:rFonts w:ascii="Arial" w:cs="Arial" w:eastAsia="Arial" w:hAnsi="Arial"/>
          <w:sz w:val="17"/>
          <w:szCs w:val="17"/>
          <w:b w:val="1"/>
          <w:bCs w:val="1"/>
          <w:color w:val="auto"/>
        </w:rPr>
        <w:t>Agent</w:t>
      </w:r>
      <w:r>
        <w:rPr>
          <w:rFonts w:ascii="Arial" w:cs="Arial" w:eastAsia="Arial" w:hAnsi="Arial"/>
          <w:sz w:val="17"/>
          <w:szCs w:val="17"/>
          <w:color w:val="auto"/>
        </w:rPr>
        <w:t>”) has acted solely as agent for Dealer and Counterparty to the extent required by law in connection with the Capped Call Transactions and has no obligations, by way of issuance, endorsement, guarantee or otherwise, with respect to the performance of either party under the Capped Call Transactions. The parties agree to proceed solely against each other, and not against Agent, in seeking enforcement of their rights and obligations with respect to the Capped Call Transactions, including their rights and obligations with respect to payment of funds and delivery of securities. Agent may have been paid a fee by Dealer in connection with the Capped Call Transactions. Further details will be furnished upon written request. The time of dealing for the Capped Call Transactions will be furnished by Agent upon written request.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60" w:top="274" w:right="459" w:bottom="1440" w:gutter="0" w:footer="0" w:header="0"/>
        </w:sectPr>
      </w:pPr>
    </w:p>
    <w:bookmarkStart w:id="154" w:name="page155"/>
    <w:bookmarkEnd w:id="154"/>
    <w:p>
      <w:pPr>
        <w:jc w:val="right"/>
        <w:ind w:right="4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Nomura Global Financial Products Inc.</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Chenard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Chenard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Gerard Griffin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99.8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ZYNGA INC. and BANK OF MONTREAL</w:t>
      </w:r>
    </w:p>
    <w:p>
      <w:pPr>
        <w:spacing w:after="0" w:line="207"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respect to the Capped Call Confirmations (as defined below) is made as of May 20, 2022, between Zynga Inc. (“</w:t>
      </w:r>
      <w:r>
        <w:rPr>
          <w:rFonts w:ascii="Arial" w:cs="Arial" w:eastAsia="Arial" w:hAnsi="Arial"/>
          <w:sz w:val="18"/>
          <w:szCs w:val="18"/>
          <w:b w:val="1"/>
          <w:bCs w:val="1"/>
          <w:color w:val="auto"/>
        </w:rPr>
        <w:t>Company</w:t>
      </w:r>
      <w:r>
        <w:rPr>
          <w:rFonts w:ascii="Arial" w:cs="Arial" w:eastAsia="Arial" w:hAnsi="Arial"/>
          <w:sz w:val="18"/>
          <w:szCs w:val="18"/>
          <w:color w:val="auto"/>
        </w:rPr>
        <w:t>”) and Bank of Montreal (“</w:t>
      </w:r>
      <w:r>
        <w:rPr>
          <w:rFonts w:ascii="Arial" w:cs="Arial" w:eastAsia="Arial" w:hAnsi="Arial"/>
          <w:sz w:val="18"/>
          <w:szCs w:val="18"/>
          <w:b w:val="1"/>
          <w:bCs w:val="1"/>
          <w:color w:val="auto"/>
        </w:rPr>
        <w:t>Dealer</w:t>
      </w:r>
      <w:r>
        <w:rPr>
          <w:rFonts w:ascii="Arial" w:cs="Arial" w:eastAsia="Arial" w:hAnsi="Arial"/>
          <w:sz w:val="18"/>
          <w:szCs w:val="18"/>
          <w:color w:val="auto"/>
        </w:rPr>
        <w:t>”) through its agent BMO Capital Markets Corp (“</w:t>
      </w:r>
      <w:r>
        <w:rPr>
          <w:rFonts w:ascii="Arial" w:cs="Arial" w:eastAsia="Arial" w:hAnsi="Arial"/>
          <w:sz w:val="18"/>
          <w:szCs w:val="18"/>
          <w:b w:val="1"/>
          <w:bCs w:val="1"/>
          <w:color w:val="auto"/>
        </w:rPr>
        <w:t>Agent</w:t>
      </w:r>
      <w:r>
        <w:rPr>
          <w:rFonts w:ascii="Arial" w:cs="Arial" w:eastAsia="Arial" w:hAnsi="Arial"/>
          <w:sz w:val="18"/>
          <w:szCs w:val="18"/>
          <w:color w:val="auto"/>
        </w:rPr>
        <w:t>”), solely in connection with Rule 15a-6 of the Exchange Act.</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WHEREAS, Company issued $762,000,000 principal amount of 0.00% Convertible Senior Notes due 2026 (the “</w:t>
      </w:r>
      <w:r>
        <w:rPr>
          <w:rFonts w:ascii="Arial" w:cs="Arial" w:eastAsia="Arial" w:hAnsi="Arial"/>
          <w:sz w:val="18"/>
          <w:szCs w:val="18"/>
          <w:b w:val="1"/>
          <w:bCs w:val="1"/>
          <w:color w:val="auto"/>
        </w:rPr>
        <w:t>Convertible Notes</w:t>
      </w:r>
      <w:r>
        <w:rPr>
          <w:rFonts w:ascii="Arial" w:cs="Arial" w:eastAsia="Arial" w:hAnsi="Arial"/>
          <w:sz w:val="18"/>
          <w:szCs w:val="18"/>
          <w:color w:val="auto"/>
        </w:rPr>
        <w:t>”) pursuant to an Indenture dated as of December 17, 2020 between Company and Computershare Trust Company, N.A. (as successor to Wells Fargo Bank, National Association), as trustee;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in connection with the issuance of the Convertible Notes, Company and Dealer entered into a Base Capped Call Transaction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Capped Call Transaction</w:t>
      </w:r>
      <w:r>
        <w:rPr>
          <w:rFonts w:ascii="Arial" w:cs="Arial" w:eastAsia="Arial" w:hAnsi="Arial"/>
          <w:sz w:val="16"/>
          <w:szCs w:val="16"/>
          <w:color w:val="auto"/>
        </w:rPr>
        <w:t>”) pursuant to a confirmation dated as of December 14, 2020, which supplements, forms a part of, and is subject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in the form of the 2002 ISDA Master Agreement, pursuant to which Company purchased from Dealer 762,000 call options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modified, terminated or unwound from time to time, the “</w:t>
      </w:r>
      <w:r>
        <w:rPr>
          <w:rFonts w:ascii="Arial" w:cs="Arial" w:eastAsia="Arial" w:hAnsi="Arial"/>
          <w:sz w:val="18"/>
          <w:szCs w:val="18"/>
          <w:b w:val="1"/>
          <w:bCs w:val="1"/>
          <w:color w:val="auto"/>
        </w:rPr>
        <w:t>Base Capped Call Confirmation</w:t>
      </w:r>
      <w:r>
        <w:rPr>
          <w:rFonts w:ascii="Arial" w:cs="Arial" w:eastAsia="Arial" w:hAnsi="Arial"/>
          <w:sz w:val="18"/>
          <w:szCs w:val="18"/>
          <w:color w:val="auto"/>
        </w:rPr>
        <w:t>”);</w:t>
      </w:r>
    </w:p>
    <w:p>
      <w:pPr>
        <w:spacing w:after="0" w:line="21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WHEREAS, in connection with the exercise of the over-allotment option by the initial purchasers of the Convertible Notes, Company and Dealer entered into an Additional Capped Call Transaction (the “</w:t>
      </w:r>
      <w:r>
        <w:rPr>
          <w:rFonts w:ascii="Arial" w:cs="Arial" w:eastAsia="Arial" w:hAnsi="Arial"/>
          <w:sz w:val="18"/>
          <w:szCs w:val="18"/>
          <w:b w:val="1"/>
          <w:bCs w:val="1"/>
          <w:color w:val="auto"/>
        </w:rPr>
        <w:t>Additional Capped Call Transaction</w:t>
      </w:r>
      <w:r>
        <w:rPr>
          <w:rFonts w:ascii="Arial" w:cs="Arial" w:eastAsia="Arial" w:hAnsi="Arial"/>
          <w:sz w:val="18"/>
          <w:szCs w:val="18"/>
          <w:color w:val="auto"/>
        </w:rPr>
        <w:t>” and, together with the Base Capped Call Transaction, the “</w:t>
      </w:r>
      <w:r>
        <w:rPr>
          <w:rFonts w:ascii="Arial" w:cs="Arial" w:eastAsia="Arial" w:hAnsi="Arial"/>
          <w:sz w:val="18"/>
          <w:szCs w:val="18"/>
          <w:b w:val="1"/>
          <w:bCs w:val="1"/>
          <w:color w:val="auto"/>
        </w:rPr>
        <w:t>Capped Call Transactions</w:t>
      </w:r>
      <w:r>
        <w:rPr>
          <w:rFonts w:ascii="Arial" w:cs="Arial" w:eastAsia="Arial" w:hAnsi="Arial"/>
          <w:sz w:val="18"/>
          <w:szCs w:val="18"/>
          <w:color w:val="auto"/>
        </w:rPr>
        <w:t>”) pursuant to a confirmation dated as of December 15, 2020, which supplements, forms a part of, and is subject to an agreement in the form of the 2002 ISDA Master Agreement, pursuant to which Company purchased from Dealer an additional 112,500 call options (as amended, modified, terminated or unwound from time to time, the “</w:t>
      </w:r>
      <w:r>
        <w:rPr>
          <w:rFonts w:ascii="Arial" w:cs="Arial" w:eastAsia="Arial" w:hAnsi="Arial"/>
          <w:sz w:val="18"/>
          <w:szCs w:val="18"/>
          <w:b w:val="1"/>
          <w:bCs w:val="1"/>
          <w:color w:val="auto"/>
        </w:rPr>
        <w:t>Additional Capped Call Confirmation</w:t>
      </w:r>
      <w:r>
        <w:rPr>
          <w:rFonts w:ascii="Arial" w:cs="Arial" w:eastAsia="Arial" w:hAnsi="Arial"/>
          <w:sz w:val="18"/>
          <w:szCs w:val="18"/>
          <w:color w:val="auto"/>
        </w:rPr>
        <w:t>” and, together with the Base Capped Call Confirmation,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in anticipation of the consummation of transactions contemplated by the previously announced Agreement and Plan of Merger, dated as of January 9, 2022 (as it may be amended or supplemented from time to time,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 Company, Take-Two-Interactive Software, Inc., Zebra MS I, Inc., a wholly owned subsidiary of Take-Two, and Zebra MS II, Inc., a wholly owned subsidiary of Take-Two (“</w:t>
      </w:r>
      <w:r>
        <w:rPr>
          <w:rFonts w:ascii="Arial" w:cs="Arial" w:eastAsia="Arial" w:hAnsi="Arial"/>
          <w:sz w:val="18"/>
          <w:szCs w:val="18"/>
          <w:b w:val="1"/>
          <w:bCs w:val="1"/>
          <w:color w:val="auto"/>
        </w:rPr>
        <w:t>Merger Sub 2</w:t>
      </w:r>
      <w:r>
        <w:rPr>
          <w:rFonts w:ascii="Arial" w:cs="Arial" w:eastAsia="Arial" w:hAnsi="Arial"/>
          <w:sz w:val="18"/>
          <w:szCs w:val="18"/>
          <w:color w:val="auto"/>
        </w:rPr>
        <w:t>”), Company has requested termination of the Capped Call Transactions;</w:t>
      </w:r>
    </w:p>
    <w:p>
      <w:pPr>
        <w:spacing w:after="0" w:line="79"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NOW, THEREFORE, in consideration of their mutual covenants herein contained, the parties hereto, intending to be legally bound, hereby mutually covenant and agree as follows:</w:t>
      </w:r>
    </w:p>
    <w:p>
      <w:pPr>
        <w:spacing w:after="0" w:line="62" w:lineRule="exact"/>
        <w:rPr>
          <w:sz w:val="20"/>
          <w:szCs w:val="20"/>
          <w:color w:val="auto"/>
        </w:rPr>
      </w:pPr>
    </w:p>
    <w:p>
      <w:pPr>
        <w:ind w:right="920" w:firstLine="436"/>
        <w:spacing w:after="0" w:line="277" w:lineRule="auto"/>
        <w:tabs>
          <w:tab w:leader="none" w:pos="62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Any capitalized term not otherwise defined herein shall have the meaning set forth for such term in the Capped Call Confirmations.</w:t>
      </w:r>
    </w:p>
    <w:p>
      <w:pPr>
        <w:spacing w:after="0" w:line="62" w:lineRule="exact"/>
        <w:rPr>
          <w:rFonts w:ascii="Arial" w:cs="Arial" w:eastAsia="Arial" w:hAnsi="Arial"/>
          <w:sz w:val="18"/>
          <w:szCs w:val="18"/>
          <w:color w:val="auto"/>
        </w:rPr>
      </w:pPr>
    </w:p>
    <w:p>
      <w:pPr>
        <w:ind w:right="60" w:firstLine="436"/>
        <w:spacing w:after="0" w:line="301" w:lineRule="auto"/>
        <w:tabs>
          <w:tab w:leader="none" w:pos="62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anything to the contrary in the Capped Call Confirmations, Company and Dealer agree that, effective on the date hereof and following the termination contemplated hereby, the Number of Options remaining outstanding under the Base Capped Call Transaction shall be reduced to zero and the Number of Options remaining outstanding under the Additional Capped Call Transaction shall be reduced to zero, and in connection therewith Dealer shall be required to pay to Company the Cash Settlement Amount on the Payment Date pursuant to Sections 3 and 4 below.</w:t>
      </w:r>
    </w:p>
    <w:p>
      <w:pPr>
        <w:spacing w:after="0" w:line="49" w:lineRule="exact"/>
        <w:rPr>
          <w:rFonts w:ascii="Arial" w:cs="Arial" w:eastAsia="Arial" w:hAnsi="Arial"/>
          <w:sz w:val="16"/>
          <w:szCs w:val="16"/>
          <w:color w:val="auto"/>
        </w:rPr>
      </w:pPr>
    </w:p>
    <w:p>
      <w:pPr>
        <w:jc w:val="both"/>
        <w:ind w:right="160" w:firstLine="436"/>
        <w:spacing w:after="0" w:line="301" w:lineRule="auto"/>
        <w:tabs>
          <w:tab w:leader="none" w:pos="62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Payments and Deliveries</w:t>
      </w:r>
      <w:r>
        <w:rPr>
          <w:rFonts w:ascii="Arial" w:cs="Arial" w:eastAsia="Arial" w:hAnsi="Arial"/>
          <w:sz w:val="16"/>
          <w:szCs w:val="16"/>
          <w:color w:val="auto"/>
        </w:rPr>
        <w:t>. On the second Scheduled Trading Day following the final Averaging Date (as defined below) or, if such day is not a Clearance System Business Day, on the next Clearance System Business Day immediately following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Dealer shall pay to Company in immediately available funds cash in an amount equal to the Cash Settlement Amount. The “</w:t>
      </w:r>
      <w:r>
        <w:rPr>
          <w:rFonts w:ascii="Arial" w:cs="Arial" w:eastAsia="Arial" w:hAnsi="Arial"/>
          <w:sz w:val="16"/>
          <w:szCs w:val="16"/>
          <w:b w:val="1"/>
          <w:bCs w:val="1"/>
          <w:color w:val="auto"/>
        </w:rPr>
        <w:t>Cash Settlement Amount</w:t>
      </w:r>
      <w:r>
        <w:rPr>
          <w:rFonts w:ascii="Arial" w:cs="Arial" w:eastAsia="Arial" w:hAnsi="Arial"/>
          <w:sz w:val="16"/>
          <w:szCs w:val="16"/>
          <w:color w:val="auto"/>
        </w:rPr>
        <w:t>” shall mean an amount in US Dollars determined by Dealer using linear interpolation with reference to the table set forth in Schedule A attached hereto.</w:t>
      </w:r>
    </w:p>
    <w:p>
      <w:pPr>
        <w:sectPr>
          <w:pgSz w:w="11900" w:h="16838" w:orient="portrait"/>
          <w:cols w:equalWidth="0" w:num="1">
            <w:col w:w="11020"/>
          </w:cols>
          <w:pgMar w:left="440" w:top="121" w:right="439" w:bottom="1440" w:gutter="0" w:footer="0" w:header="0"/>
        </w:sectPr>
      </w:pPr>
    </w:p>
    <w:bookmarkStart w:id="156" w:name="page157"/>
    <w:bookmarkEnd w:id="156"/>
    <w:p>
      <w:pPr>
        <w:ind w:left="4" w:firstLine="436"/>
        <w:spacing w:after="0" w:line="284" w:lineRule="auto"/>
        <w:tabs>
          <w:tab w:leader="none" w:pos="624"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Valuation</w:t>
      </w:r>
      <w:r>
        <w:rPr>
          <w:rFonts w:ascii="Arial" w:cs="Arial" w:eastAsia="Arial" w:hAnsi="Arial"/>
          <w:sz w:val="16"/>
          <w:szCs w:val="16"/>
          <w:color w:val="auto"/>
        </w:rPr>
        <w:t>. “</w:t>
      </w:r>
      <w:r>
        <w:rPr>
          <w:rFonts w:ascii="Arial" w:cs="Arial" w:eastAsia="Arial" w:hAnsi="Arial"/>
          <w:sz w:val="16"/>
          <w:szCs w:val="16"/>
          <w:b w:val="1"/>
          <w:bCs w:val="1"/>
          <w:color w:val="auto"/>
        </w:rPr>
        <w:t>Averaging Date</w:t>
      </w:r>
      <w:r>
        <w:rPr>
          <w:rFonts w:ascii="Arial" w:cs="Arial" w:eastAsia="Arial" w:hAnsi="Arial"/>
          <w:sz w:val="16"/>
          <w:szCs w:val="16"/>
          <w:color w:val="auto"/>
        </w:rPr>
        <w:t>” means June 27, 2022 and the four Scheduled Trading Days thereafter (the period of consecutive Scheduled Trading Days from and including June 27, 2022 through the final Averaging Date being collectively referred to as the “</w:t>
      </w:r>
      <w:r>
        <w:rPr>
          <w:rFonts w:ascii="Arial" w:cs="Arial" w:eastAsia="Arial" w:hAnsi="Arial"/>
          <w:sz w:val="16"/>
          <w:szCs w:val="16"/>
          <w:b w:val="1"/>
          <w:bCs w:val="1"/>
          <w:color w:val="auto"/>
        </w:rPr>
        <w:t>Termination 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date is a Disrupted Day in whole, such date shall not constitute an Averaging Date, and an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Averaging Date shall occur on the Scheduled Trading Day after the date that would otherwise be the final Averaging Date. “</w:t>
      </w:r>
      <w:r>
        <w:rPr>
          <w:rFonts w:ascii="Arial" w:cs="Arial" w:eastAsia="Arial" w:hAnsi="Arial"/>
          <w:sz w:val="16"/>
          <w:szCs w:val="16"/>
          <w:b w:val="1"/>
          <w:bCs w:val="1"/>
          <w:color w:val="auto"/>
        </w:rPr>
        <w:t>Average VWAP</w:t>
      </w:r>
      <w:r>
        <w:rPr>
          <w:rFonts w:ascii="Arial" w:cs="Arial" w:eastAsia="Arial" w:hAnsi="Arial"/>
          <w:sz w:val="16"/>
          <w:szCs w:val="16"/>
          <w:color w:val="auto"/>
        </w:rPr>
        <w:t>” means the arithmetic average of the VWAP Prices for each Averaging Date during the Termination Valuation Period. “</w:t>
      </w:r>
      <w:r>
        <w:rPr>
          <w:rFonts w:ascii="Arial" w:cs="Arial" w:eastAsia="Arial" w:hAnsi="Arial"/>
          <w:sz w:val="16"/>
          <w:szCs w:val="16"/>
          <w:b w:val="1"/>
          <w:bCs w:val="1"/>
          <w:color w:val="auto"/>
        </w:rPr>
        <w:t>VWAP Price</w:t>
      </w:r>
      <w:r>
        <w:rPr>
          <w:rFonts w:ascii="Arial" w:cs="Arial" w:eastAsia="Arial" w:hAnsi="Arial"/>
          <w:sz w:val="16"/>
          <w:szCs w:val="16"/>
          <w:color w:val="auto"/>
        </w:rPr>
        <w:t>” for any Scheduled Trading Day means the per Share volume-weighted average price as displayed under the heading “Bloomberg VWAP” on Bloomberg page TTWO &lt;equity&gt; AQR (or any successor thereto) in respect of the period from 9:30 am to 4:00 pm (New York City time) on such Scheduled Trading Day (or if such volume-weighted average price is unavailable or is, in the Calculation Agent’s reasonable discretion, manifestly erroneous, the market value of one Share on such Scheduled Trading Day for such time period, as determined by Dealer in a good faith, commercially reasonable manner using a volume-weighted method). Notwithstanding the foregoing, if (i) any Scheduled Trading Day in the Termination Valuation Period is a Disrupted Day in part or</w:t>
      </w:r>
    </w:p>
    <w:p>
      <w:pPr>
        <w:spacing w:after="0" w:line="1" w:lineRule="exact"/>
        <w:rPr>
          <w:rFonts w:ascii="Arial" w:cs="Arial" w:eastAsia="Arial" w:hAnsi="Arial"/>
          <w:sz w:val="16"/>
          <w:szCs w:val="16"/>
          <w:color w:val="auto"/>
        </w:rPr>
      </w:pPr>
    </w:p>
    <w:p>
      <w:pPr>
        <w:ind w:left="4" w:hanging="4"/>
        <w:spacing w:after="0" w:line="268" w:lineRule="auto"/>
        <w:tabs>
          <w:tab w:leader="none" w:pos="26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Dealer determines in its commercially reasonable judgment that on any Scheduled Trading Day during the Termination Valuation Period an extension of the Termination Valuation Period is reasonably necessary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internal policies and procedures, then (i) the VWAP Price for such Scheduled Trading Day(s) shall be the volume-weighted average price per Share on such Scheduled Trading Day on the Exchange for such time period, as determined by Dealer in a commercially reasonable manner using a volume-weighted method, (ii) Dealer may add, in whole or in part, additional Averaging Dates to the Termination Valuation Period, and (iii) the Cash Settlement Amount shall be adjusted by Dealer in its good faith, commercially reasonable discretion to account for such disruption and/or extension.</w:t>
      </w:r>
    </w:p>
    <w:p>
      <w:pPr>
        <w:spacing w:after="0" w:line="75" w:lineRule="exact"/>
        <w:rPr>
          <w:rFonts w:ascii="Arial" w:cs="Arial" w:eastAsia="Arial" w:hAnsi="Arial"/>
          <w:sz w:val="17"/>
          <w:szCs w:val="17"/>
          <w:color w:val="auto"/>
        </w:rPr>
      </w:pPr>
    </w:p>
    <w:p>
      <w:pPr>
        <w:ind w:left="624" w:hanging="184"/>
        <w:spacing w:after="0"/>
        <w:tabs>
          <w:tab w:leader="none" w:pos="624"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and warrants to Dealer on the date hereof that:</w:t>
      </w:r>
    </w:p>
    <w:p>
      <w:pPr>
        <w:spacing w:after="0" w:line="117" w:lineRule="exact"/>
        <w:rPr>
          <w:rFonts w:ascii="Arial" w:cs="Arial" w:eastAsia="Arial" w:hAnsi="Arial"/>
          <w:sz w:val="18"/>
          <w:szCs w:val="18"/>
          <w:color w:val="auto"/>
        </w:rPr>
      </w:pPr>
    </w:p>
    <w:p>
      <w:pPr>
        <w:ind w:left="4" w:right="20" w:firstLine="987"/>
        <w:spacing w:after="0" w:line="263" w:lineRule="auto"/>
        <w:tabs>
          <w:tab w:leader="none" w:pos="124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75" w:lineRule="exact"/>
        <w:rPr>
          <w:rFonts w:ascii="Arial" w:cs="Arial" w:eastAsia="Arial" w:hAnsi="Arial"/>
          <w:sz w:val="18"/>
          <w:szCs w:val="18"/>
          <w:color w:val="auto"/>
        </w:rPr>
      </w:pPr>
    </w:p>
    <w:p>
      <w:pPr>
        <w:ind w:left="4" w:right="100" w:firstLine="987"/>
        <w:spacing w:after="0" w:line="263" w:lineRule="auto"/>
        <w:tabs>
          <w:tab w:leader="none" w:pos="125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 w:right="240" w:firstLine="987"/>
        <w:spacing w:after="0" w:line="277" w:lineRule="auto"/>
        <w:tabs>
          <w:tab w:leader="none" w:pos="124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w:t>
      </w:r>
    </w:p>
    <w:p>
      <w:pPr>
        <w:spacing w:after="0" w:line="62" w:lineRule="exact"/>
        <w:rPr>
          <w:rFonts w:ascii="Arial" w:cs="Arial" w:eastAsia="Arial" w:hAnsi="Arial"/>
          <w:sz w:val="18"/>
          <w:szCs w:val="18"/>
          <w:color w:val="auto"/>
        </w:rPr>
      </w:pPr>
    </w:p>
    <w:p>
      <w:pPr>
        <w:ind w:left="4" w:right="100" w:firstLine="987"/>
        <w:spacing w:after="0" w:line="311" w:lineRule="auto"/>
        <w:tabs>
          <w:tab w:leader="none" w:pos="125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1244" w:hanging="253"/>
        <w:spacing w:after="0"/>
        <w:tabs>
          <w:tab w:leader="none" w:pos="1244" w:val="left"/>
        </w:tabs>
        <w:numPr>
          <w:ilvl w:val="2"/>
          <w:numId w:val="168"/>
        </w:numPr>
        <w:rPr>
          <w:rFonts w:ascii="Arial" w:cs="Arial" w:eastAsia="Arial" w:hAnsi="Arial"/>
          <w:sz w:val="18"/>
          <w:szCs w:val="18"/>
          <w:color w:val="auto"/>
        </w:rPr>
      </w:pPr>
      <w:r>
        <w:rPr>
          <w:rFonts w:ascii="Arial" w:cs="Arial" w:eastAsia="Arial" w:hAnsi="Arial"/>
          <w:sz w:val="18"/>
          <w:szCs w:val="18"/>
          <w:color w:val="auto"/>
        </w:rPr>
        <w:t>each of it and its Affiliates is not in possession of any material nonpublic information regarding Company or the Shares;</w:t>
      </w:r>
    </w:p>
    <w:p>
      <w:pPr>
        <w:spacing w:after="0" w:line="117" w:lineRule="exact"/>
        <w:rPr>
          <w:rFonts w:ascii="Arial" w:cs="Arial" w:eastAsia="Arial" w:hAnsi="Arial"/>
          <w:sz w:val="18"/>
          <w:szCs w:val="18"/>
          <w:color w:val="auto"/>
        </w:rPr>
      </w:pPr>
    </w:p>
    <w:p>
      <w:pPr>
        <w:ind w:left="4" w:firstLine="987"/>
        <w:spacing w:after="0" w:line="263" w:lineRule="auto"/>
        <w:tabs>
          <w:tab w:leader="none" w:pos="122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it is not entering into this Agreement or purchasing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w:t>
      </w:r>
    </w:p>
    <w:p>
      <w:pPr>
        <w:spacing w:after="0" w:line="75" w:lineRule="exact"/>
        <w:rPr>
          <w:rFonts w:ascii="Arial" w:cs="Arial" w:eastAsia="Arial" w:hAnsi="Arial"/>
          <w:sz w:val="18"/>
          <w:szCs w:val="18"/>
          <w:color w:val="auto"/>
        </w:rPr>
      </w:pPr>
    </w:p>
    <w:p>
      <w:pPr>
        <w:ind w:left="4" w:firstLine="987"/>
        <w:spacing w:after="0" w:line="263" w:lineRule="auto"/>
        <w:tabs>
          <w:tab w:leader="none" w:pos="125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Take-Two Interactive Software, Inc.’s most recent Annual Report on Form 10-K did not, as of the date of its filing, contain any untrue statement of a material fact or any omission of a material fact required to be stated therein or necessary to make the statements therein, in the light of the circumstances in which they were made, not misleading;</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3"/>
          <w:numId w:val="16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4"/>
          </w:cols>
          <w:pgMar w:left="436" w:top="270" w:right="479" w:bottom="1440" w:gutter="0" w:footer="0" w:header="0"/>
        </w:sectPr>
      </w:pPr>
    </w:p>
    <w:bookmarkStart w:id="157" w:name="page158"/>
    <w:bookmarkEnd w:id="157"/>
    <w:p>
      <w:pPr>
        <w:ind w:left="-436" w:right="80" w:firstLine="987"/>
        <w:spacing w:after="0" w:line="259" w:lineRule="auto"/>
        <w:tabs>
          <w:tab w:leader="none" w:pos="810" w:val="left"/>
        </w:tabs>
        <w:numPr>
          <w:ilvl w:val="1"/>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understands that notwithstanding any other relationship between Company and Dealer and its affiliates, in connection with the Capped Call Transactions and any other over-the-counter derivative transactions between Company and Dealer or its affiliates, Dealer or its affiliates is acting as principal and is not a fiduciary or advisor in respect of any such transaction, including any entry, exercise, amendment, unwind or termination thereof; and</w:t>
      </w:r>
    </w:p>
    <w:p>
      <w:pPr>
        <w:spacing w:after="0" w:line="78" w:lineRule="exact"/>
        <w:rPr>
          <w:rFonts w:ascii="Arial" w:cs="Arial" w:eastAsia="Arial" w:hAnsi="Arial"/>
          <w:sz w:val="18"/>
          <w:szCs w:val="18"/>
          <w:color w:val="auto"/>
        </w:rPr>
      </w:pPr>
    </w:p>
    <w:p>
      <w:pPr>
        <w:ind w:left="-436" w:right="480" w:firstLine="987"/>
        <w:spacing w:after="0" w:line="311" w:lineRule="auto"/>
        <w:tabs>
          <w:tab w:leader="none" w:pos="77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it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40" w:lineRule="exact"/>
        <w:rPr>
          <w:rFonts w:ascii="Arial" w:cs="Arial" w:eastAsia="Arial" w:hAnsi="Arial"/>
          <w:sz w:val="16"/>
          <w:szCs w:val="16"/>
          <w:color w:val="auto"/>
        </w:rPr>
      </w:pPr>
    </w:p>
    <w:p>
      <w:pPr>
        <w:ind w:left="184" w:hanging="184"/>
        <w:spacing w:after="0"/>
        <w:tabs>
          <w:tab w:leader="none" w:pos="184"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Dealer</w:t>
      </w:r>
      <w:r>
        <w:rPr>
          <w:rFonts w:ascii="Arial" w:cs="Arial" w:eastAsia="Arial" w:hAnsi="Arial"/>
          <w:sz w:val="18"/>
          <w:szCs w:val="18"/>
          <w:color w:val="auto"/>
        </w:rPr>
        <w:t>. Dealer represents and warrants to Company on the date hereof that:</w:t>
      </w:r>
    </w:p>
    <w:p>
      <w:pPr>
        <w:spacing w:after="0" w:line="117" w:lineRule="exact"/>
        <w:rPr>
          <w:rFonts w:ascii="Arial" w:cs="Arial" w:eastAsia="Arial" w:hAnsi="Arial"/>
          <w:sz w:val="18"/>
          <w:szCs w:val="18"/>
          <w:color w:val="auto"/>
        </w:rPr>
      </w:pPr>
    </w:p>
    <w:p>
      <w:pPr>
        <w:ind w:left="-436" w:right="20" w:firstLine="987"/>
        <w:spacing w:after="0" w:line="263" w:lineRule="auto"/>
        <w:tabs>
          <w:tab w:leader="none" w:pos="8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75" w:lineRule="exact"/>
        <w:rPr>
          <w:rFonts w:ascii="Arial" w:cs="Arial" w:eastAsia="Arial" w:hAnsi="Arial"/>
          <w:sz w:val="18"/>
          <w:szCs w:val="18"/>
          <w:color w:val="auto"/>
        </w:rPr>
      </w:pPr>
    </w:p>
    <w:p>
      <w:pPr>
        <w:ind w:left="-436" w:right="100" w:firstLine="987"/>
        <w:spacing w:after="0" w:line="263" w:lineRule="auto"/>
        <w:tabs>
          <w:tab w:leader="none" w:pos="81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75" w:lineRule="exact"/>
        <w:rPr>
          <w:rFonts w:ascii="Arial" w:cs="Arial" w:eastAsia="Arial" w:hAnsi="Arial"/>
          <w:sz w:val="18"/>
          <w:szCs w:val="18"/>
          <w:color w:val="auto"/>
        </w:rPr>
      </w:pPr>
    </w:p>
    <w:p>
      <w:pPr>
        <w:ind w:left="-436" w:right="240" w:firstLine="987"/>
        <w:spacing w:after="0" w:line="277" w:lineRule="auto"/>
        <w:tabs>
          <w:tab w:leader="none" w:pos="8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62" w:lineRule="exact"/>
        <w:rPr>
          <w:rFonts w:ascii="Arial" w:cs="Arial" w:eastAsia="Arial" w:hAnsi="Arial"/>
          <w:sz w:val="18"/>
          <w:szCs w:val="18"/>
          <w:color w:val="auto"/>
        </w:rPr>
      </w:pPr>
    </w:p>
    <w:p>
      <w:pPr>
        <w:ind w:left="-436" w:right="100" w:firstLine="987"/>
        <w:spacing w:after="0" w:line="311" w:lineRule="auto"/>
        <w:tabs>
          <w:tab w:leader="none" w:pos="81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40" w:lineRule="exact"/>
        <w:rPr>
          <w:rFonts w:ascii="Arial" w:cs="Arial" w:eastAsia="Arial" w:hAnsi="Arial"/>
          <w:sz w:val="16"/>
          <w:szCs w:val="16"/>
          <w:color w:val="auto"/>
        </w:rPr>
      </w:pPr>
    </w:p>
    <w:p>
      <w:pPr>
        <w:ind w:left="184" w:hanging="184"/>
        <w:spacing w:after="0"/>
        <w:tabs>
          <w:tab w:leader="none" w:pos="184"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Account for Payment to Company</w:t>
      </w:r>
      <w:r>
        <w:rPr>
          <w:rFonts w:ascii="Arial" w:cs="Arial" w:eastAsia="Arial" w:hAnsi="Arial"/>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ABA Routing: 021000021</w:t>
      </w:r>
    </w:p>
    <w:p>
      <w:pPr>
        <w:spacing w:after="0" w:line="9"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Account No.: 156330700</w:t>
      </w:r>
    </w:p>
    <w:p>
      <w:pPr>
        <w:spacing w:after="0" w:line="9"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Account Name: Take-Two Interactive Software, Inc.</w:t>
      </w:r>
    </w:p>
    <w:p>
      <w:pPr>
        <w:spacing w:after="0" w:line="103" w:lineRule="exact"/>
        <w:rPr>
          <w:sz w:val="20"/>
          <w:szCs w:val="20"/>
          <w:color w:val="auto"/>
        </w:rPr>
      </w:pPr>
    </w:p>
    <w:p>
      <w:pPr>
        <w:ind w:left="-436" w:firstLine="436"/>
        <w:spacing w:after="0" w:line="277" w:lineRule="auto"/>
        <w:tabs>
          <w:tab w:leader="none" w:pos="184"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hereunder shall be governed by and construed in accordance with the laws of the State of New York (without reference to choice of law doctrine).</w:t>
      </w:r>
    </w:p>
    <w:p>
      <w:pPr>
        <w:spacing w:after="0" w:line="62" w:lineRule="exact"/>
        <w:rPr>
          <w:rFonts w:ascii="Arial" w:cs="Arial" w:eastAsia="Arial" w:hAnsi="Arial"/>
          <w:sz w:val="18"/>
          <w:szCs w:val="18"/>
          <w:color w:val="auto"/>
        </w:rPr>
      </w:pPr>
    </w:p>
    <w:p>
      <w:pPr>
        <w:ind w:left="-436" w:right="60" w:firstLine="436"/>
        <w:spacing w:after="0" w:line="277" w:lineRule="auto"/>
        <w:tabs>
          <w:tab w:leader="none" w:pos="184"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all of the signatures thereto and hereto were upon the same instrument.</w:t>
      </w:r>
    </w:p>
    <w:p>
      <w:pPr>
        <w:spacing w:after="0" w:line="62" w:lineRule="exact"/>
        <w:rPr>
          <w:rFonts w:ascii="Arial" w:cs="Arial" w:eastAsia="Arial" w:hAnsi="Arial"/>
          <w:sz w:val="18"/>
          <w:szCs w:val="18"/>
          <w:color w:val="auto"/>
        </w:rPr>
      </w:pPr>
    </w:p>
    <w:p>
      <w:pPr>
        <w:ind w:left="-436" w:firstLine="436"/>
        <w:spacing w:after="0" w:line="263" w:lineRule="auto"/>
        <w:tabs>
          <w:tab w:leader="none" w:pos="274"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Reliance, etc</w:t>
      </w:r>
      <w:r>
        <w:rPr>
          <w:rFonts w:ascii="Arial" w:cs="Arial" w:eastAsia="Arial" w:hAnsi="Arial"/>
          <w:sz w:val="18"/>
          <w:szCs w:val="18"/>
          <w:color w:val="auto"/>
        </w:rPr>
        <w:t>. Company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75" w:lineRule="exact"/>
        <w:rPr>
          <w:rFonts w:ascii="Arial" w:cs="Arial" w:eastAsia="Arial" w:hAnsi="Arial"/>
          <w:sz w:val="18"/>
          <w:szCs w:val="18"/>
          <w:color w:val="auto"/>
        </w:rPr>
      </w:pPr>
    </w:p>
    <w:p>
      <w:pPr>
        <w:ind w:left="-436" w:right="80" w:firstLine="436"/>
        <w:spacing w:after="0" w:line="301" w:lineRule="auto"/>
        <w:tabs>
          <w:tab w:leader="none" w:pos="267"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Role of Agent</w:t>
      </w:r>
      <w:r>
        <w:rPr>
          <w:rFonts w:ascii="Arial" w:cs="Arial" w:eastAsia="Arial" w:hAnsi="Arial"/>
          <w:sz w:val="16"/>
          <w:szCs w:val="16"/>
          <w:color w:val="auto"/>
        </w:rPr>
        <w:t>. Each of Dealer and Company acknowledges to and agrees with the other party hereto and to and with the Agent that (i) the Agent is acting as agent for Dealer under the Agreement pursuant to instructions from such party, (ii) the Agent is not a principal or party to the Agreement, and may transfer its rights and obligations with respect to the Agreement, (iii) the Agent shall have no responsibility, obligation or liability, by way of issuance, guaranty, endorsement or otherwise in any manner with respect to the performance of either party under the Agreement (including</w:t>
      </w:r>
    </w:p>
    <w:p>
      <w:pPr>
        <w:spacing w:after="0" w:line="89" w:lineRule="exact"/>
        <w:rPr>
          <w:rFonts w:ascii="Arial" w:cs="Arial" w:eastAsia="Arial" w:hAnsi="Arial"/>
          <w:sz w:val="16"/>
          <w:szCs w:val="16"/>
          <w:color w:val="auto"/>
        </w:rPr>
      </w:pPr>
    </w:p>
    <w:p>
      <w:pPr>
        <w:ind w:left="5024" w:hanging="106"/>
        <w:spacing w:after="0"/>
        <w:tabs>
          <w:tab w:leader="none" w:pos="502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44"/>
          </w:cols>
          <w:pgMar w:left="876" w:top="274" w:right="479" w:bottom="1440" w:gutter="0" w:footer="0" w:header="0"/>
        </w:sectPr>
      </w:pPr>
    </w:p>
    <w:bookmarkStart w:id="158" w:name="page159"/>
    <w:bookmarkEnd w:id="15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arising from any failure by Dealer or Company to pay or perform any obligation under the Agreement), (iv) Dealer and the Agent have not given, and Company is not relying (for purposes of making any investment decision or otherwise) upon, any statements, opinions or representations (whether written or oral) of Dealer or the Agent, other than the representations expressly set forth in this Agreement, and (v) each party agrees to proceed solely against the other party, and not the Agent, to collect or recover any money or securities owed to it in connection with the Agreement. Each party hereto acknowledges and agrees that the Agent is an intended third party beneficiary hereunder. Company acknowledges that the Agent is an affiliate of Dealer. Dealer will be acting for its own account in respect of this Agreement transactions contemplated hereunder.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BANK OF MONTREAL</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Sue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Sue Henderson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 Derivatives Operations</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 xml:space="preserve">BMO CAPITAL MARKETS CORP., </w:t>
      </w:r>
      <w:r>
        <w:rPr>
          <w:rFonts w:ascii="Arial" w:cs="Arial" w:eastAsia="Arial" w:hAnsi="Arial"/>
          <w:sz w:val="17"/>
          <w:szCs w:val="17"/>
          <w:color w:val="auto"/>
        </w:rPr>
        <w:t>solely in its capacity</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agent for Bank of Montreal</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Matthew Coley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Matthew Coley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Manager, Derivatives Operations</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Brian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Brian Riley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Managing Director, Global Markets</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Gerard Griffin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ectPr>
          <w:pgSz w:w="11900" w:h="16838" w:orient="portrait"/>
          <w:cols w:equalWidth="0" w:num="1">
            <w:col w:w="10540"/>
          </w:cols>
          <w:pgMar w:left="880" w:top="274" w:right="479" w:bottom="1440" w:gutter="0" w:footer="0" w:header="0"/>
        </w:sectPr>
      </w:pPr>
    </w:p>
    <w:bookmarkStart w:id="160" w:name="page161"/>
    <w:bookmarkEnd w:id="160"/>
    <w:p>
      <w:pPr>
        <w:ind w:left="10084"/>
        <w:spacing w:after="0"/>
        <w:rPr>
          <w:sz w:val="20"/>
          <w:szCs w:val="20"/>
          <w:color w:val="auto"/>
        </w:rPr>
      </w:pPr>
      <w:r>
        <w:rPr>
          <w:rFonts w:ascii="Arial" w:cs="Arial" w:eastAsia="Arial" w:hAnsi="Arial"/>
          <w:sz w:val="16"/>
          <w:szCs w:val="16"/>
          <w:b w:val="1"/>
          <w:bCs w:val="1"/>
          <w:color w:val="auto"/>
        </w:rPr>
        <w:t>Exhibit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1268730" cy="12687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TAKE-TWO CONTACTS</w:t>
      </w:r>
      <w:r>
        <w:rPr>
          <w:rFonts w:ascii="Arial" w:cs="Arial" w:eastAsia="Arial" w:hAnsi="Arial"/>
          <w:sz w:val="18"/>
          <w:szCs w:val="18"/>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Nicole Shevins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Investor Relations &amp; Corporate Communications</w:t>
      </w:r>
    </w:p>
    <w:p>
      <w:pPr>
        <w:spacing w:after="0" w:line="32" w:lineRule="exact"/>
        <w:rPr>
          <w:sz w:val="20"/>
          <w:szCs w:val="20"/>
          <w:color w:val="auto"/>
        </w:rPr>
      </w:pPr>
    </w:p>
    <w:p>
      <w:pPr>
        <w:ind w:left="4" w:right="1080" w:hanging="4"/>
        <w:spacing w:after="0" w:line="323" w:lineRule="auto"/>
        <w:tabs>
          <w:tab w:leader="none" w:pos="43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536-3005 </w:t>
      </w:r>
      <w:r>
        <w:rPr>
          <w:rFonts w:ascii="Arial" w:cs="Arial" w:eastAsia="Arial" w:hAnsi="Arial"/>
          <w:sz w:val="16"/>
          <w:szCs w:val="16"/>
          <w:u w:val="single" w:color="auto"/>
          <w:color w:val="auto"/>
        </w:rPr>
        <w:t>Nicole.Shevins@take2games.com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FOR IMMEDIATE RELEASE</w:t>
      </w:r>
    </w:p>
    <w:p>
      <w:pPr>
        <w:spacing w:after="0" w:line="337" w:lineRule="exact"/>
        <w:rPr>
          <w:sz w:val="20"/>
          <w:szCs w:val="20"/>
          <w:color w:val="auto"/>
        </w:rPr>
      </w:pPr>
    </w:p>
    <w:p>
      <w:pPr>
        <w:ind w:left="6"/>
        <w:spacing w:after="0"/>
        <w:rPr>
          <w:sz w:val="20"/>
          <w:szCs w:val="20"/>
          <w:color w:val="auto"/>
        </w:rPr>
      </w:pPr>
      <w:r>
        <w:rPr>
          <w:rFonts w:ascii="Arial" w:cs="Arial" w:eastAsia="Arial" w:hAnsi="Arial"/>
          <w:sz w:val="18"/>
          <w:szCs w:val="18"/>
          <w:color w:val="auto"/>
        </w:rPr>
        <w:t>(Corporate Press)</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Alan Lewis</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Communications &amp; Public Affairs</w:t>
      </w:r>
    </w:p>
    <w:p>
      <w:pPr>
        <w:spacing w:after="0" w:line="32" w:lineRule="exact"/>
        <w:rPr>
          <w:sz w:val="20"/>
          <w:szCs w:val="20"/>
          <w:color w:val="auto"/>
        </w:rPr>
      </w:pPr>
    </w:p>
    <w:p>
      <w:pPr>
        <w:ind w:left="6" w:right="4620" w:hanging="6"/>
        <w:spacing w:after="0" w:line="323" w:lineRule="auto"/>
        <w:tabs>
          <w:tab w:leader="none" w:pos="4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536-2983 </w:t>
      </w:r>
      <w:r>
        <w:rPr>
          <w:rFonts w:ascii="Arial" w:cs="Arial" w:eastAsia="Arial" w:hAnsi="Arial"/>
          <w:sz w:val="16"/>
          <w:szCs w:val="16"/>
          <w:u w:val="single" w:color="auto"/>
          <w:color w:val="auto"/>
        </w:rPr>
        <w:t>Alan.Lewis@take2games.com</w:t>
      </w:r>
    </w:p>
    <w:p>
      <w:pPr>
        <w:spacing w:after="0" w:line="134" w:lineRule="exact"/>
        <w:rPr>
          <w:sz w:val="20"/>
          <w:szCs w:val="20"/>
          <w:color w:val="auto"/>
        </w:rPr>
      </w:pPr>
    </w:p>
    <w:p>
      <w:pPr>
        <w:sectPr>
          <w:pgSz w:w="11900" w:h="16838" w:orient="portrait"/>
          <w:cols w:equalWidth="0" w:num="2">
            <w:col w:w="3544" w:space="654"/>
            <w:col w:w="6826"/>
          </w:cols>
          <w:pgMar w:left="436" w:top="12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Take-Two Interactive Software, Inc. Completes Combination with</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Zynga Inc.</w:t>
      </w:r>
    </w:p>
    <w:p>
      <w:pPr>
        <w:spacing w:after="0" w:line="207" w:lineRule="exact"/>
        <w:rPr>
          <w:sz w:val="20"/>
          <w:szCs w:val="20"/>
          <w:color w:val="auto"/>
        </w:rPr>
      </w:pPr>
    </w:p>
    <w:p>
      <w:pPr>
        <w:jc w:val="both"/>
        <w:ind w:left="4" w:right="360"/>
        <w:spacing w:after="0" w:line="266" w:lineRule="auto"/>
        <w:rPr>
          <w:sz w:val="20"/>
          <w:szCs w:val="20"/>
          <w:color w:val="auto"/>
        </w:rPr>
      </w:pPr>
      <w:r>
        <w:rPr>
          <w:rFonts w:ascii="Arial" w:cs="Arial" w:eastAsia="Arial" w:hAnsi="Arial"/>
          <w:sz w:val="18"/>
          <w:szCs w:val="18"/>
          <w:b w:val="1"/>
          <w:bCs w:val="1"/>
          <w:u w:val="single" w:color="auto"/>
          <w:color w:val="auto"/>
        </w:rPr>
        <w:t>New York, NY – May 23, 2022</w:t>
      </w:r>
      <w:r>
        <w:rPr>
          <w:rFonts w:ascii="Arial" w:cs="Arial" w:eastAsia="Arial" w:hAnsi="Arial"/>
          <w:sz w:val="18"/>
          <w:szCs w:val="18"/>
          <w:b w:val="1"/>
          <w:bCs w:val="1"/>
          <w:color w:val="auto"/>
        </w:rPr>
        <w:t xml:space="preserve"> </w:t>
      </w:r>
      <w:r>
        <w:rPr>
          <w:rFonts w:ascii="Arial" w:cs="Arial" w:eastAsia="Arial" w:hAnsi="Arial"/>
          <w:sz w:val="18"/>
          <w:szCs w:val="18"/>
          <w:color w:val="auto"/>
        </w:rPr>
        <w:t>—Take-Two Interactive Software, Inc. (NASDAQ: TTWO) (“Take-Two” or the “Company”) announced today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of its combination with Zynga Inc. (“Zynga”). Under the terms of the merger agreement, Zynga stockholders received $3.50 in cash and 0.0406 shares of Take-Two common stock per share of Zynga common stock.</w:t>
      </w:r>
    </w:p>
    <w:p>
      <w:pPr>
        <w:spacing w:after="0" w:line="180"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“We are thrilled to complete our combination with Zynga, which is a pivotal step to increase exponentially our Net Bookings from mobile, the fastest-growing segment in interactive entertainment, while also providing us with substantial cost synergies and revenue opportunities,” said Strauss Zelnick, Chairman and CEO of Take-Two. “As we bring together our exceptional talent, exciting pipelines of games, and industry-leading technologies and capabilities, we believe that we can take our portfolio to another level of creativity, innovation, and quality. Each of our teams has a strong history of operational execution, and together, we expect that we will enhance our financial profile through greater scale and profitability, paving the way for us to deliver strong shareholder value.”</w:t>
      </w:r>
    </w:p>
    <w:p>
      <w:pPr>
        <w:spacing w:after="0" w:line="192"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“We are excited for Zynga’s next-generation mobile platform, free-to-play expertise, diverse offering of games and incredible team to join the Take-Two family,” said Frank Gibeau, CEO of Zynga. “We are eager to continue building an unparalleled portfolio of games that will reach broader markets and lead to continued growth for this next chapter of Zynga’s history.”</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Take-Two Interactive Software</w:t>
      </w:r>
    </w:p>
    <w:p>
      <w:pPr>
        <w:spacing w:after="0" w:line="121"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Headquartered in New York City, Take-Two Interactive Software, Inc. is a leading developer, publisher, and marketer of interactive entertainment for consumers around the globe. The Company develops and publishes products principally through Rockstar Games, 2K, Private Division, and Zynga. Our products are currently designed for console gaming systems, PC, and Mobile including smartphones and tablets, and are delivered through physical retail, digital download, online platforms, and cloud streaming services. The Company’s common stock is publicly traded on NASDAQ under the symbol TTWO.</w:t>
      </w:r>
    </w:p>
    <w:p>
      <w:pPr>
        <w:sectPr>
          <w:pgSz w:w="11900" w:h="16838" w:orient="portrait"/>
          <w:cols w:equalWidth="0" w:num="1">
            <w:col w:w="11024"/>
          </w:cols>
          <w:pgMar w:left="436" w:top="121" w:right="4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trademarks and copyrights contained herein are the property of their respective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Zynga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Zynga is a global leader in interactive entertainment with a mission to connect the world through games and a wholly-owned subsidiary of Take-Two Interactive Software, Inc. With massive global reach in more than 175 countries and regions, the combined diverse portfolio of popular game franchises has been downloaded more than 5 billion times on mobile, including </w:t>
      </w:r>
      <w:r>
        <w:rPr>
          <w:rFonts w:ascii="Arial" w:cs="Arial" w:eastAsia="Arial" w:hAnsi="Arial"/>
          <w:sz w:val="17"/>
          <w:szCs w:val="17"/>
          <w:i w:val="1"/>
          <w:iCs w:val="1"/>
          <w:color w:val="auto"/>
        </w:rPr>
        <w:t>CSR Racing</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Dragon City, Empires &amp; Puzzles</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FarmVille</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Golf Rival</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Hair Challenge</w:t>
      </w:r>
      <w:r>
        <w:rPr>
          <w:rFonts w:ascii="Arial" w:cs="Arial" w:eastAsia="Arial" w:hAnsi="Arial"/>
          <w:sz w:val="14"/>
          <w:szCs w:val="14"/>
          <w:color w:val="auto"/>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Harry Potter: Puzzles &amp; Spells</w:t>
      </w:r>
      <w:r>
        <w:rPr>
          <w:rFonts w:ascii="Arial" w:cs="Arial" w:eastAsia="Arial" w:hAnsi="Arial"/>
          <w:sz w:val="14"/>
          <w:szCs w:val="14"/>
          <w:color w:val="auto"/>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High Heels</w:t>
      </w:r>
      <w:r>
        <w:rPr>
          <w:rFonts w:ascii="Arial" w:cs="Arial" w:eastAsia="Arial" w:hAnsi="Arial"/>
          <w:sz w:val="17"/>
          <w:szCs w:val="17"/>
          <w:color w:val="auto"/>
        </w:rPr>
        <w:t>!</w:t>
      </w:r>
      <w:r>
        <w:rPr>
          <w:rFonts w:ascii="Arial" w:cs="Arial" w:eastAsia="Arial" w:hAnsi="Arial"/>
          <w:sz w:val="14"/>
          <w:szCs w:val="14"/>
          <w:color w:val="auto"/>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Merge Dragons</w:t>
      </w:r>
      <w:r>
        <w:rPr>
          <w:rFonts w:ascii="Arial" w:cs="Arial" w:eastAsia="Arial" w:hAnsi="Arial"/>
          <w:sz w:val="17"/>
          <w:szCs w:val="17"/>
          <w:color w:val="auto"/>
        </w:rPr>
        <w:t>!</w:t>
      </w:r>
      <w:r>
        <w:rPr>
          <w:rFonts w:ascii="Arial" w:cs="Arial" w:eastAsia="Arial" w:hAnsi="Arial"/>
          <w:sz w:val="14"/>
          <w:szCs w:val="14"/>
          <w:color w:val="auto"/>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Merge Magic</w:t>
      </w:r>
      <w:r>
        <w:rPr>
          <w:rFonts w:ascii="Arial" w:cs="Arial" w:eastAsia="Arial" w:hAnsi="Arial"/>
          <w:sz w:val="17"/>
          <w:szCs w:val="17"/>
          <w:color w:val="auto"/>
        </w:rPr>
        <w:t>!</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Monster Legends, Toon Blast</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Top Eleven, Toy Blast</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Two Dots, Words With Friends</w:t>
      </w:r>
      <w:r>
        <w:rPr>
          <w:rFonts w:ascii="Arial" w:cs="Arial" w:eastAsia="Arial" w:hAnsi="Arial"/>
          <w:sz w:val="14"/>
          <w:szCs w:val="14"/>
          <w:color w:val="auto"/>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Zynga Poker</w:t>
      </w:r>
      <w:r>
        <w:rPr>
          <w:rFonts w:ascii="Arial" w:cs="Arial" w:eastAsia="Arial" w:hAnsi="Arial"/>
          <w:sz w:val="14"/>
          <w:szCs w:val="14"/>
          <w:color w:val="auto"/>
        </w:rPr>
        <w:t>TM</w:t>
      </w:r>
      <w:r>
        <w:rPr>
          <w:rFonts w:ascii="Arial" w:cs="Arial" w:eastAsia="Arial" w:hAnsi="Arial"/>
          <w:sz w:val="17"/>
          <w:szCs w:val="17"/>
          <w:color w:val="auto"/>
        </w:rPr>
        <w:t>. Zynga is also an industry-leading next-generation platform with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optimize programmatic advertising and yields at scale with Chartboost, a leading mobile advertising and monetization platform. Founded in 2007, Zynga is headquartered in California with locations in North America, Europe and Asia. For more information, visit </w:t>
      </w:r>
      <w:r>
        <w:rPr>
          <w:rFonts w:ascii="Arial" w:cs="Arial" w:eastAsia="Arial" w:hAnsi="Arial"/>
          <w:sz w:val="17"/>
          <w:szCs w:val="17"/>
          <w:u w:val="single" w:color="auto"/>
          <w:color w:val="auto"/>
        </w:rPr>
        <w:t>www.zynga.com</w:t>
      </w:r>
      <w:r>
        <w:rPr>
          <w:rFonts w:ascii="Arial" w:cs="Arial" w:eastAsia="Arial" w:hAnsi="Arial"/>
          <w:sz w:val="17"/>
          <w:szCs w:val="17"/>
          <w:color w:val="auto"/>
        </w:rPr>
        <w:t xml:space="preserve"> or follow Zynga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Instagram</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or the </w:t>
      </w:r>
      <w:r>
        <w:rPr>
          <w:rFonts w:ascii="Arial" w:cs="Arial" w:eastAsia="Arial" w:hAnsi="Arial"/>
          <w:sz w:val="17"/>
          <w:szCs w:val="17"/>
          <w:u w:val="single" w:color="auto"/>
          <w:color w:val="auto"/>
        </w:rPr>
        <w:t>Zynga blog</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Statements contained herein which are not historical facts may be considered forward-looking statements under federal securities laws and may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identified by words such as “anticipates,” “believes,” “estimates,” “expects,” “intends,” “plans,” “potential,” “predicts,” “projects,” “seeks,” “should,”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“will,” or words of similar meaning and include, but are not limited to, statements regarding the business combination of Take-Two and Zynga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outlook for Take-Two’s future business and financial performance. Such forward-looking statements are based on the current beliefs of Take-Two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assumptions made by and information currently available to us, which are subject to inherent uncertainties, risks and changes in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are difficult to predict. Actual outcomes and results may vary materially from these forward-looking statements based on a variety of risks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uncertainties including: risks that the Company’s combination with Zynga disrupts each company’s current plans and operations; the diversion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of the management team of Take-Two from its ongoing business operations; the ability of Take-Two to retain key personnel; the ability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realize the benefits of the combination, including net bookings opportunities and cost synergies; the ability to successfully integrate Zynga’s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with Take-Two’s business or to integrate the businesses within the anticipated timeframe; the outcome of any legal proceedings that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may be instituted against the Company, Zynga or others related to the combination; the amount of the costs, fees, expenses and charges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combination; the uncertainty of the impact of the COVID-19 pandemic and measures taken in response thereto; the effect of economic, market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conditions, including competition, consumer demand and the discretionary spending patterns of customers, or changes in such conditions,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on Take-Two’s operations, revenue, cash flow, operating expenses, employee hiring and retention, relationships with business partners,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launch or monetization of games and other products, and customer engagement, retention and growth; the risks of conducting Take-Two’s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internationally; the impact of changes in interest rates by the Federal Reserve and other central banks; the impact of potential inflation,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volatility in foreign currency exchange rates and supply chain disruptions; the ability to maintain acceptable pricing levels and monetization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rates for Take-Two’s games; and risks relating to the market value of Take-Two’s common stock issued in the combination. Other important factors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are contained in the joint proxy statement/prospectus mailed by Take-Two to its stockholders in connection with the business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Take-Two and Zynga and in Take-Two’s and Zynga’s most recent Annual Reports on Form 10-K, including the risks summarized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entitled “Risk Factors,” in Take-Two’s and Zynga’s most recent Quarterly Reports on Form 10-Q, and in each company’s other periodic filings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SEC, which can be accessed at www.take2games.com or www.sec.gov. All forward-looking statements are qualified by these cautionary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apply only as of the date they are made. Take-Two does not undertake any obligation to update any forward-looking statement, whether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new information, future events or otherwise.</w:t>
      </w:r>
    </w:p>
    <w:p>
      <w:pPr>
        <w:sectPr>
          <w:pgSz w:w="11900" w:h="16838" w:orient="portrait"/>
          <w:cols w:equalWidth="0" w:num="1">
            <w:col w:w="10940"/>
          </w:cols>
          <w:pgMar w:left="440" w:top="274" w:right="5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This communication relates to a business combination of Take-Two and Zynga. In connection with the business combination Take-Two filed a registration statement on Form S-4 with the U.S. Securities and Exchange Commission (the “SEC”), that includes a joint proxy statement/prospectus. The registration statement on Form S-4, including the joint proxy statement/prospectus, provides details of the combination and the attendant benefits and risks. The registration statement was declared effective on April 7, 2022, and the definitive joint proxy statement/prospectus was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sent to Take-Two and Zynga stockholders. This communication is not a substitute for the registration statement on Form S-4, including the joint proxy statement/prospectus, or any other document that Take-Two or Zynga may file with the SEC or send to their respective stockholders in connection with the combination. Investors and security holders are urged to read the registration statement on Form S-4, including the definitive joint proxy statement/prospectus, and all other relevant documents filed with the SEC or sent to Take-Two’s or Zynga’s stockholders as they become available because they will contain important information about the combination. All documents are available free of charge at the SEC’s website (www.sec.gov). You may also obtain these documents by contacting Take-Two’s Investor Relations department at contact@take2games.com. This communication does not constitute an offer to sell or the solicitation of an offer to buy any securities or a solicitation of any vote or approval.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0960"/>
          </w:cols>
          <w:pgMar w:left="440" w:top="270" w:right="499" w:bottom="1440" w:gutter="0" w:footer="0" w:header="0"/>
        </w:sectPr>
      </w:pPr>
    </w:p>
    <w:bookmarkStart w:id="163" w:name="page164"/>
    <w:bookmarkEnd w:id="163"/>
    <w:p>
      <w:pPr>
        <w:ind w:left="10004"/>
        <w:spacing w:after="0"/>
        <w:rPr>
          <w:sz w:val="20"/>
          <w:szCs w:val="20"/>
          <w:color w:val="auto"/>
        </w:rPr>
      </w:pPr>
      <w:r>
        <w:rPr>
          <w:rFonts w:ascii="Arial" w:cs="Arial" w:eastAsia="Arial" w:hAnsi="Arial"/>
          <w:sz w:val="16"/>
          <w:szCs w:val="16"/>
          <w:b w:val="1"/>
          <w:bCs w:val="1"/>
          <w:color w:val="auto"/>
        </w:rPr>
        <w:t>Exhibit 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1268730" cy="12687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TAKE-TWO CONTACTS</w:t>
      </w:r>
      <w:r>
        <w:rPr>
          <w:rFonts w:ascii="Arial" w:cs="Arial" w:eastAsia="Arial" w:hAnsi="Arial"/>
          <w:sz w:val="18"/>
          <w:szCs w:val="18"/>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Nicole Shevins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Investor Relations &amp; Corporate Communications</w:t>
      </w:r>
    </w:p>
    <w:p>
      <w:pPr>
        <w:spacing w:after="0" w:line="32" w:lineRule="exact"/>
        <w:rPr>
          <w:sz w:val="20"/>
          <w:szCs w:val="20"/>
          <w:color w:val="auto"/>
        </w:rPr>
      </w:pPr>
    </w:p>
    <w:p>
      <w:pPr>
        <w:ind w:left="4" w:right="2440" w:hanging="4"/>
        <w:spacing w:after="0" w:line="323" w:lineRule="auto"/>
        <w:tabs>
          <w:tab w:leader="none" w:pos="43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536-3005 </w:t>
      </w:r>
      <w:r>
        <w:rPr>
          <w:rFonts w:ascii="Arial" w:cs="Arial" w:eastAsia="Arial" w:hAnsi="Arial"/>
          <w:sz w:val="16"/>
          <w:szCs w:val="16"/>
          <w:u w:val="single" w:color="auto"/>
          <w:color w:val="auto"/>
        </w:rPr>
        <w:t>Nicole.Shevins@take2games.com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(Corporate 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Alan Lewis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Communications &amp; Public Affairs</w:t>
      </w:r>
    </w:p>
    <w:p>
      <w:pPr>
        <w:spacing w:after="0" w:line="32" w:lineRule="exact"/>
        <w:rPr>
          <w:sz w:val="20"/>
          <w:szCs w:val="20"/>
          <w:color w:val="auto"/>
        </w:rPr>
      </w:pPr>
    </w:p>
    <w:p>
      <w:pPr>
        <w:ind w:right="3200" w:firstLine="5"/>
        <w:spacing w:after="0" w:line="323" w:lineRule="auto"/>
        <w:tabs>
          <w:tab w:leader="none" w:pos="43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536-2983 </w:t>
      </w:r>
      <w:r>
        <w:rPr>
          <w:rFonts w:ascii="Arial" w:cs="Arial" w:eastAsia="Arial" w:hAnsi="Arial"/>
          <w:sz w:val="16"/>
          <w:szCs w:val="16"/>
          <w:u w:val="single" w:color="auto"/>
          <w:color w:val="auto"/>
        </w:rPr>
        <w:t>Alan.Lewis@take2games.com</w:t>
      </w:r>
    </w:p>
    <w:p>
      <w:pPr>
        <w:spacing w:after="0" w:line="134" w:lineRule="exact"/>
        <w:rPr>
          <w:sz w:val="20"/>
          <w:szCs w:val="20"/>
          <w:color w:val="auto"/>
        </w:rPr>
      </w:pPr>
    </w:p>
    <w:p>
      <w:pPr>
        <w:sectPr>
          <w:pgSz w:w="11900" w:h="16838" w:orient="portrait"/>
          <w:cols w:equalWidth="0" w:num="2">
            <w:col w:w="4904" w:space="720"/>
            <w:col w:w="5400"/>
          </w:cols>
          <w:pgMar w:left="436" w:top="121" w:right="439" w:bottom="1440" w:gutter="0" w:footer="0" w:header="0"/>
          <w:type w:val="continuous"/>
        </w:sectPr>
      </w:pPr>
    </w:p>
    <w:p>
      <w:pPr>
        <w:jc w:val="center"/>
        <w:ind w:right="-3"/>
        <w:spacing w:after="0"/>
        <w:rPr>
          <w:sz w:val="20"/>
          <w:szCs w:val="20"/>
          <w:color w:val="auto"/>
        </w:rPr>
      </w:pPr>
      <w:r>
        <w:rPr>
          <w:rFonts w:ascii="Arial" w:cs="Arial" w:eastAsia="Arial" w:hAnsi="Arial"/>
          <w:sz w:val="16"/>
          <w:szCs w:val="16"/>
          <w:b w:val="1"/>
          <w:bCs w:val="1"/>
          <w:color w:val="auto"/>
        </w:rPr>
        <w:t>Take-Two Interactive Software Announces Offers to Purchase by Zynga Inc. Of Any and All of Zynga’s Outstanding 0.25% Convertible Senior</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due 2024 and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0% Convertible Senior Notes due 2026</w:t>
      </w:r>
    </w:p>
    <w:p>
      <w:pPr>
        <w:spacing w:after="0" w:line="207"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b w:val="1"/>
          <w:bCs w:val="1"/>
          <w:u w:val="single" w:color="auto"/>
          <w:color w:val="auto"/>
        </w:rPr>
        <w:t>New York, NY – May 23, 2022</w:t>
      </w:r>
      <w:r>
        <w:rPr>
          <w:rFonts w:ascii="Arial" w:cs="Arial" w:eastAsia="Arial" w:hAnsi="Arial"/>
          <w:sz w:val="17"/>
          <w:szCs w:val="17"/>
          <w:b w:val="1"/>
          <w:bCs w:val="1"/>
          <w:color w:val="auto"/>
        </w:rPr>
        <w:t xml:space="preserve"> </w:t>
      </w:r>
      <w:r>
        <w:rPr>
          <w:rFonts w:ascii="Arial" w:cs="Arial" w:eastAsia="Arial" w:hAnsi="Arial"/>
          <w:sz w:val="17"/>
          <w:szCs w:val="17"/>
          <w:color w:val="auto"/>
        </w:rPr>
        <w:t>— Take-Two Interactive Software, Inc. (NASDAQ: TTWO) (“Take-Two”) today announced that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Zynga Inc. (f/k/a Zebra MS II, Inc.) has commenced tender offers to repurchase any and all of Zynga’s outstanding 0.25% Convertible Senior Notes due 2024 (the “2024 Notes”) and 0% Convertible Senior Notes due 2026 (the “2026 Notes” and, together with the 2024 Notes, the “Notes”) in compliance with the terms of the indentures governing the Notes (the “Indentures”). The tender offers are required to be made as a result of the transactions consummated on May 23, 2022 (the “Closing Date”) pursuant to the Agreement and Plan of Merger, dated as of January 9, 2022, by and among Take-Two, Zynga Inc. (“Old Zynga”), Zebra MS II, Inc. and Zebra MS I, Inc., including the merger of Zebra MS I with and into Old Zynga and the subsequent merger of Old Zynga with and into Zebra MS II (the “Combination”).</w:t>
      </w:r>
    </w:p>
    <w:p>
      <w:pPr>
        <w:spacing w:after="0" w:line="176"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Under the terms of the Indentures, the Combination constituted a Fundamental Change (as defined in each of the Indentures), and holders of the Notes, therefore, have the right to require Zynga to repurchase all or a portion of their Notes at a purchase price equal to 100% of the aggregate principal amount of their Notes to be repurchased, plus, in the case of the 2024 Notes, accrued and unpaid interest on the 2024 Notes to, but excluding, the Fundamental Change Repurchase Date (as defined below).</w:t>
      </w:r>
    </w:p>
    <w:p>
      <w:pPr>
        <w:spacing w:after="0" w:line="187" w:lineRule="exact"/>
        <w:rPr>
          <w:sz w:val="20"/>
          <w:szCs w:val="20"/>
          <w:color w:val="auto"/>
        </w:rPr>
      </w:pPr>
    </w:p>
    <w:p>
      <w:pPr>
        <w:ind w:left="4" w:right="160"/>
        <w:spacing w:after="0" w:line="286" w:lineRule="auto"/>
        <w:rPr>
          <w:sz w:val="20"/>
          <w:szCs w:val="20"/>
          <w:color w:val="auto"/>
        </w:rPr>
      </w:pPr>
      <w:r>
        <w:rPr>
          <w:rFonts w:ascii="Arial" w:cs="Arial" w:eastAsia="Arial" w:hAnsi="Arial"/>
          <w:sz w:val="17"/>
          <w:szCs w:val="17"/>
          <w:color w:val="auto"/>
        </w:rPr>
        <w:t>As a result of the Combination, holders also have the right to convert their Notes in whole or in part (in a principal amount of $1,000 or an integral multiple thereof) during the period from the Closing Date to the close of business on June 22, 2022 (the “Fundamental Change Conversion Period”), at the applicable conversion rate. As a result of the Combination, the Notes are convertible into units of reference property</w:t>
      </w:r>
    </w:p>
    <w:p>
      <w:pPr>
        <w:sectPr>
          <w:pgSz w:w="11900" w:h="16838" w:orient="portrait"/>
          <w:cols w:equalWidth="0" w:num="1">
            <w:col w:w="11024"/>
          </w:cols>
          <w:pgMar w:left="436" w:top="121" w:right="439" w:bottom="1440" w:gutter="0" w:footer="0" w:header="0"/>
          <w:type w:val="continuous"/>
        </w:sectPr>
      </w:pPr>
    </w:p>
    <w:bookmarkStart w:id="164" w:name="page165"/>
    <w:bookmarkEnd w:id="16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equal to the consideration paid to holders of Old Zynga’s common stock in the Combination of $3.50 in cash and 0.0406 shares of Take-Two common stock per share. During the Fundamental Change Conversion Period, the Conversion Rate for the 2024 Notes will be 137.3699, which includes a Make-Whole calculated based on the average last reported sales prices of Old Zynga’s common stock over the five trading day period ended on May 20, 2022, and as a result each $1,000 principal amount 2024 Note will be convertible into 5.5772 shares of Take-Two common stock, with cash paid in lieu of any such fractional shares, and $480.79 in cash. During the Fundamental Change Conversion Period, the Conversion Rate for the 2026 Notes will be</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76.5404, and as a result each $1,000 principal amount 2026 Note will be convertible into 3.1075 shares of Take-Two common stock, with cash paid in lieu of any such fractional shares, and $267.89 in cash. Although the Combination constituted a Make-Whole Fundamental Change for both series of Notes, Holders of the 2026 Notes will not be entitled an increase in the Conversion Rate under the terms of the applicable Indenture because the average last reported sales prices of Old Zynga’s common stock over the five trading day period ended on May 20, 2022 was less than the minimum price per share that is required under the Indenture for the 2026 Notes for holders of the 2026 Notes to be entitled to receive an increase in the conversion rate.</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tender offers will expire at 5:00 p.m., New York City time, on June 22, 2022. The repurchase date for any Notes tendered pursuant to the tender offers will be June 23, 2022 (the “Fundamental Change Repurchase Date”).</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Tenders of the Notes must be made prior to the expiration of the applicable tender offer and may be withdrawn at any time prior to the expiration of the applicable tender offer through compliance with the proper withdrawal procedure outlined in the Offer to Purchase for the applicable series of Notes.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None of Take-Two, Zynga, their respective boards of directors, or the trustee, paying agent and conversion agent for the Notes and the respective tender offers, is making any recommendation to noteholders as to whether to tender or refrain from tendering their Notes in the tender offers or whether to convert their Notes. Noteholders must decide how many Notes they will tender or convert, if any. The terms and conditions of the tender offers are described in the Offers to Purchase distributed to holders of the Notes.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trustee, paying agent and conversion agent for the tender offers is Computershare Trust Company, N.A. (as successor to Wells Fargo Bank, National Association). Offers to Purchase will today be distributed to noteholders of record and filed with the Securities and Exchange Commission. For questions and requests for assistance in connection with the mechanics of surrender of Notes for repurchase under the Fundamental Change Repurchase Right or the conversion of the Notes may be directed to the paying agent and conversion agent at the following address: c/o Computershare Trust Company N.A., Corporate Trust Operations MAC N9300-070 600, S. 4th Street, 7th floor, Minneapolis, MN 55415.</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shall not constitute an offer to sell or the solicitation of an offer to buy any securities, nor shall there be any offer or sale of securities in any jurisdiction in which such offer, solicitation or sale would be unlawful. The tender offers are being made only pursuant to the Offers to Purchase and related materials that Zynga will distribute to holders of the Notes after Zynga files with the Securities and Exchange Commission its Schedule TO and Offers to Purchase. Holders of the Notes should read carefully the applicable Offer to Purchase and related materials because they contain important information, including the various terms of, and conditions to, the applicable tender offer. After Zynga files its Schedule TO and Offers to Purchase with the Securities and Exchange Commission, holders of the Notes may obtain a free copy of the tender offer statement on Schedule TO, the Offers to Purchase and other documents that Zynga will be filing with the Securities and Exchange Commission at the Securities and Exchange Commission’s website at www.sec.gov or by contacting Computershare Trust Company, N.A., the trustee, paying agent and conversion agent for the tender offers, at the following address: c/o Computershare Trust Company N.A., Corporate Trust Operations MAC N9300-070 600, S. 4th Street, 7th floor, Minneapolis, MN 55415. Holders of the Notes are urged to carefully read these materials prior to making any decision with respect to the applicable tender offer.</w:t>
      </w:r>
    </w:p>
    <w:p>
      <w:pPr>
        <w:sectPr>
          <w:pgSz w:w="11900" w:h="16838" w:orient="portrait"/>
          <w:cols w:equalWidth="0" w:num="1">
            <w:col w:w="10980"/>
          </w:cols>
          <w:pgMar w:left="440" w:top="274" w:right="4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Take-Two Interactive Software</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Headquartered in New York City, Take-Two Interactive Software, Inc. is a leading developer, publisher, and marketer of interactive entertainment for consumers around the globe. The Company develops and publishes products principally through Rockstar Games, 2K, Private Division, and Zynga. Our products are currently designed for console gaming systems, PC, and Mobile including smartphones and tablets, and are delivered through physical retail, digital download, online platforms, and cloud streaming services. The Company’s common stock is publicly traded on NASDAQ under the symbol TTWO.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Zynga Inc.</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Zynga is a global leader in interactive entertainment with a mission to connect the world through games and a wholly-owned subsidiary of Take-Two Interactive Software, Inc. With massive global reach in more than 175 countries and regions, the combined diverse portfolio of popular game franchises has been downloaded more than 5 billion times on mobile, including </w:t>
      </w:r>
      <w:r>
        <w:rPr>
          <w:rFonts w:ascii="Arial" w:cs="Arial" w:eastAsia="Arial" w:hAnsi="Arial"/>
          <w:sz w:val="17"/>
          <w:szCs w:val="17"/>
          <w:i w:val="1"/>
          <w:iCs w:val="1"/>
          <w:color w:val="auto"/>
        </w:rPr>
        <w:t>CSR Racing</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Dragon City, Empires &amp; Puzzles</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FarmVille</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Golf Rival</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Hair Challenge</w:t>
      </w:r>
      <w:r>
        <w:rPr>
          <w:rFonts w:ascii="Arial" w:cs="Arial" w:eastAsia="Arial" w:hAnsi="Arial"/>
          <w:sz w:val="14"/>
          <w:szCs w:val="14"/>
          <w:color w:val="auto"/>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Harry Potter: Puzzles &amp; Spells</w:t>
      </w:r>
      <w:r>
        <w:rPr>
          <w:rFonts w:ascii="Arial" w:cs="Arial" w:eastAsia="Arial" w:hAnsi="Arial"/>
          <w:sz w:val="14"/>
          <w:szCs w:val="14"/>
          <w:color w:val="auto"/>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High Heels</w:t>
      </w:r>
      <w:r>
        <w:rPr>
          <w:rFonts w:ascii="Arial" w:cs="Arial" w:eastAsia="Arial" w:hAnsi="Arial"/>
          <w:sz w:val="17"/>
          <w:szCs w:val="17"/>
          <w:color w:val="auto"/>
        </w:rPr>
        <w:t>!</w:t>
      </w:r>
      <w:r>
        <w:rPr>
          <w:rFonts w:ascii="Arial" w:cs="Arial" w:eastAsia="Arial" w:hAnsi="Arial"/>
          <w:sz w:val="14"/>
          <w:szCs w:val="14"/>
          <w:color w:val="auto"/>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Merge Dragons</w:t>
      </w:r>
      <w:r>
        <w:rPr>
          <w:rFonts w:ascii="Arial" w:cs="Arial" w:eastAsia="Arial" w:hAnsi="Arial"/>
          <w:sz w:val="17"/>
          <w:szCs w:val="17"/>
          <w:color w:val="auto"/>
        </w:rPr>
        <w:t>!</w:t>
      </w:r>
      <w:r>
        <w:rPr>
          <w:rFonts w:ascii="Arial" w:cs="Arial" w:eastAsia="Arial" w:hAnsi="Arial"/>
          <w:sz w:val="14"/>
          <w:szCs w:val="14"/>
          <w:color w:val="auto"/>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Merge Magic</w:t>
      </w:r>
      <w:r>
        <w:rPr>
          <w:rFonts w:ascii="Arial" w:cs="Arial" w:eastAsia="Arial" w:hAnsi="Arial"/>
          <w:sz w:val="17"/>
          <w:szCs w:val="17"/>
          <w:color w:val="auto"/>
        </w:rPr>
        <w:t>!</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Monster Legends, Toon Blast</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Top Eleven, Toy Blast</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Two Dots, Words With Friends</w:t>
      </w:r>
      <w:r>
        <w:rPr>
          <w:rFonts w:ascii="Arial" w:cs="Arial" w:eastAsia="Arial" w:hAnsi="Arial"/>
          <w:sz w:val="14"/>
          <w:szCs w:val="14"/>
          <w:color w:val="auto"/>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Zynga Poker</w:t>
      </w:r>
      <w:r>
        <w:rPr>
          <w:rFonts w:ascii="Arial" w:cs="Arial" w:eastAsia="Arial" w:hAnsi="Arial"/>
          <w:sz w:val="14"/>
          <w:szCs w:val="14"/>
          <w:color w:val="auto"/>
        </w:rPr>
        <w:t>TM</w:t>
      </w:r>
      <w:r>
        <w:rPr>
          <w:rFonts w:ascii="Arial" w:cs="Arial" w:eastAsia="Arial" w:hAnsi="Arial"/>
          <w:sz w:val="17"/>
          <w:szCs w:val="17"/>
          <w:color w:val="auto"/>
        </w:rPr>
        <w:t>. Zynga is also an industry-leading next-generation platform with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optimize programmatic advertising and yields at scale with Chartboost, a leading mobile advertising and monetization platform. Founded in 2007, Zynga is headquartered in California with locations in North America, Europe and Asia. For more information, visit </w:t>
      </w:r>
      <w:r>
        <w:rPr>
          <w:rFonts w:ascii="Arial" w:cs="Arial" w:eastAsia="Arial" w:hAnsi="Arial"/>
          <w:sz w:val="17"/>
          <w:szCs w:val="17"/>
          <w:u w:val="single" w:color="auto"/>
          <w:color w:val="auto"/>
        </w:rPr>
        <w:t>www.zynga.com</w:t>
      </w:r>
      <w:r>
        <w:rPr>
          <w:rFonts w:ascii="Arial" w:cs="Arial" w:eastAsia="Arial" w:hAnsi="Arial"/>
          <w:sz w:val="17"/>
          <w:szCs w:val="17"/>
          <w:color w:val="auto"/>
        </w:rPr>
        <w:t xml:space="preserve"> or follow Zynga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Instagram</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or the </w:t>
      </w:r>
      <w:r>
        <w:rPr>
          <w:rFonts w:ascii="Arial" w:cs="Arial" w:eastAsia="Arial" w:hAnsi="Arial"/>
          <w:sz w:val="17"/>
          <w:szCs w:val="17"/>
          <w:u w:val="single" w:color="auto"/>
          <w:color w:val="auto"/>
        </w:rPr>
        <w:t>Zynga blog</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as that term is defined under the Private Securities Litigation Reform Act of 1995 and other securities laws. For these statements, Take-Two claims the protection of the safe harbor for forward-looking statements contained in Section 27A of the Securities Act of 1933 and Section 21E of the Securities Exchange Act of 1934. These statements are based on current expectations, estimates, or forecasts about our businesses, the industries in which Take-Two operates, and the current beliefs and assumptions of management of Take-Two; they do not relate strictly to historical or current facts. Without limiting the foregoing, words or phrases such as “expect,” “anticipate,” “goal,” “project,” “intend,” “plan,” “believe,” “seek,” “may,” “could,” “aspire,” and variations of such words and similar expressions generally identify forward-looking statements. In addition, any statements that refer to predictions or projections of our future financial performance, anticipated growth, strategic objectives, performance drivers and trends in the businesses of Take-Two, and other characterizations of future events or circumstances are forward-looking statements. Readers are cautioned that these forward-looking statements are only predictions about future events, activities or developments and are subject to numerous risks, uncertainties, and assumptions that are difficult to predict, including: risks that the Combination disrupts the current plans and operations of Take-Two; the diversion of the management team of Take-Two from its ongoing business operations; the ability of Take-Two to retain key personnel; the ability of Take-Two to realize the benefits of the Combination, including net bookings opportunities and cost synergies; the ability to successfully integrate Old Zynga’s business with Take-Two’s business or to integrate the businesses within the anticipated timeframe; the outcome of any legal proceedings that may be instituted against Old Zynga or Take-Two in connection with the Combination; the uncertainty of the impact of the COVID-19 pandemic and measures taken in response thereto; the effect of economic, market or business conditions, including competition, consumer demand and the discretionary spending patterns of customers, or changes in such conditions, have on the operations, revenue, cash flow, operating expenses, employee hiring and retention, relationships with business partners, the development, launch or monetization of games and other products, and customer engagement, retention and growth, in each case, of Zynga and Take-Two; the risks of conducting the businesses of Zynga and Take-Two internationally; the impact of changes in interest rates by the Federal Reserve and other central banks; the impact of potential inflation, volatility in foreign currency exchange rates and supply chain disruptions; and the ability to maintain acceptable pricing levels and</w:t>
      </w:r>
    </w:p>
    <w:p>
      <w:pPr>
        <w:sectPr>
          <w:pgSz w:w="11900" w:h="16838" w:orient="portrait"/>
          <w:cols w:equalWidth="0" w:num="1">
            <w:col w:w="11000"/>
          </w:cols>
          <w:pgMar w:left="440" w:top="270" w:right="459" w:bottom="1440" w:gutter="0" w:footer="0" w:header="0"/>
        </w:sectPr>
      </w:pPr>
    </w:p>
    <w:bookmarkStart w:id="166" w:name="page167"/>
    <w:bookmarkEnd w:id="16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monetization rates for the games of Zynga and Take-Two. Zynga and Take-Two caution that undue reliance should not be placed on such forward-looking statements, which speak only as of the date made. Other important factors and information are contained in Take-Two’s and Old Zynga’s most recent Annual Reports on Form 10-K, including the risks summarized in the section entitled “Risk Factors,” Old Zynga’s most recent Quarterly Reports on Form 10-Q, and each company’s other periodic filings with the Securities and Exchange Commission. Zynga and Take-Two expressly disclaim any obligation or undertaking to release publicly any updates or revisions to any forward-looking statements contained herein to reflect any change in the expectations of Zynga and Take-Two with regard thereto or any change in events, conditions or circumstances on which any such statement is based.</w:t>
      </w:r>
    </w:p>
    <w:p>
      <w:pPr>
        <w:spacing w:after="0" w:line="1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 #</w:t>
      </w:r>
    </w:p>
    <w:sectPr>
      <w:pgSz w:w="11900" w:h="16838" w:orient="portrait"/>
      <w:cols w:equalWidth="0" w:num="1">
        <w:col w:w="10760"/>
      </w:cols>
      <w:pgMar w:left="4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lvl w:ilvl="1">
      <w:lvlJc w:val="left"/>
      <w:lvlText w:val="-"/>
      <w:numFmt w:val="bullet"/>
      <w:start w:val="1"/>
    </w:lvl>
  </w:abstractNum>
  <w:abstractNum w:abstractNumId="2">
    <w:nsid w:val="3222E7CD"/>
    <w:multiLevelType w:val="hybridMultilevel"/>
    <w:lvl w:ilvl="0">
      <w:lvlJc w:val="left"/>
      <w:lvlText w:val="(%1)"/>
      <w:numFmt w:val="lowerLetter"/>
      <w:start w:val="1"/>
    </w:lvl>
  </w:abstractNum>
  <w:abstractNum w:abstractNumId="3">
    <w:nsid w:val="74DE0EE3"/>
    <w:multiLevelType w:val="hybridMultilevel"/>
    <w:lvl w:ilvl="0">
      <w:lvlJc w:val="left"/>
      <w:lvlText w:val="(%1)"/>
      <w:numFmt w:val="decimal"/>
      <w:start w:val="1"/>
    </w:lvl>
  </w:abstractNum>
  <w:abstractNum w:abstractNumId="4">
    <w:nsid w:val="68EBC550"/>
    <w:multiLevelType w:val="hybridMultilevel"/>
    <w:lvl w:ilvl="0">
      <w:lvlJc w:val="left"/>
      <w:lvlText w:val="(%1)"/>
      <w:numFmt w:val="decimal"/>
      <w:start w:val="1"/>
    </w:lvl>
  </w:abstractNum>
  <w:abstractNum w:abstractNumId="5">
    <w:nsid w:val="2DF6D648"/>
    <w:multiLevelType w:val="hybridMultilevel"/>
    <w:lvl w:ilvl="0">
      <w:lvlJc w:val="left"/>
      <w:lvlText w:val="(%1)"/>
      <w:numFmt w:val="decimal"/>
      <w:start w:val="1"/>
    </w:lvl>
  </w:abstractNum>
  <w:abstractNum w:abstractNumId="6">
    <w:nsid w:val="46B7D447"/>
    <w:multiLevelType w:val="hybridMultilevel"/>
    <w:lvl w:ilvl="0">
      <w:lvlJc w:val="left"/>
      <w:lvlText w:val="(%1)"/>
      <w:numFmt w:val="lowerRoman"/>
      <w:start w:val="1"/>
    </w:lvl>
  </w:abstractNum>
  <w:abstractNum w:abstractNumId="7">
    <w:nsid w:val="4A2AC315"/>
    <w:multiLevelType w:val="hybridMultilevel"/>
    <w:lvl w:ilvl="0">
      <w:lvlJc w:val="left"/>
      <w:lvlText w:val="(%1)"/>
      <w:numFmt w:val="lowerRoman"/>
      <w:start w:val="1"/>
    </w:lvl>
  </w:abstractNum>
  <w:abstractNum w:abstractNumId="8">
    <w:nsid w:val="39EE015C"/>
    <w:multiLevelType w:val="hybridMultilevel"/>
    <w:lvl w:ilvl="0">
      <w:lvlJc w:val="left"/>
      <w:lvlText w:val="(%1)"/>
      <w:numFmt w:val="lowerRoman"/>
      <w:start w:val="1"/>
    </w:lvl>
  </w:abstractNum>
  <w:abstractNum w:abstractNumId="9">
    <w:nsid w:val="57FC4FBB"/>
    <w:multiLevelType w:val="hybridMultilevel"/>
    <w:lvl w:ilvl="0">
      <w:lvlJc w:val="left"/>
      <w:lvlText w:val="(%1)"/>
      <w:numFmt w:val="lowerRoman"/>
      <w:start w:val="1"/>
    </w:lvl>
  </w:abstractNum>
  <w:abstractNum w:abstractNumId="10">
    <w:nsid w:val="CC1016F"/>
    <w:multiLevelType w:val="hybridMultilevel"/>
    <w:lvl w:ilvl="0">
      <w:lvlJc w:val="left"/>
      <w:lvlText w:val="(%1)"/>
      <w:numFmt w:val="lowerLetter"/>
      <w:start w:val="1"/>
    </w:lvl>
  </w:abstractNum>
  <w:abstractNum w:abstractNumId="11">
    <w:nsid w:val="43F18422"/>
    <w:multiLevelType w:val="hybridMultilevel"/>
    <w:lvl w:ilvl="0">
      <w:lvlJc w:val="left"/>
      <w:lvlText w:val="(%1)"/>
      <w:numFmt w:val="lowerLetter"/>
      <w:start w:val="3"/>
    </w:lvl>
  </w:abstractNum>
  <w:abstractNum w:abstractNumId="12">
    <w:nsid w:val="60EF0119"/>
    <w:multiLevelType w:val="hybridMultilevel"/>
    <w:lvl w:ilvl="0">
      <w:lvlJc w:val="left"/>
      <w:lvlText w:val="(%1)"/>
      <w:numFmt w:val="lowerLetter"/>
      <w:start w:val="6"/>
    </w:lvl>
  </w:abstractNum>
  <w:abstractNum w:abstractNumId="13">
    <w:nsid w:val="26F324BA"/>
    <w:multiLevelType w:val="hybridMultilevel"/>
    <w:lvl w:ilvl="0">
      <w:lvlJc w:val="left"/>
      <w:lvlText w:val="(%1)"/>
      <w:numFmt w:val="lowerLetter"/>
      <w:start w:val="2"/>
    </w:lvl>
  </w:abstractNum>
  <w:abstractNum w:abstractNumId="14">
    <w:nsid w:val="7F01579B"/>
    <w:multiLevelType w:val="hybridMultilevel"/>
    <w:lvl w:ilvl="0">
      <w:lvlJc w:val="left"/>
      <w:lvlText w:val="(%1)"/>
      <w:numFmt w:val="lowerRoman"/>
      <w:start w:val="2"/>
    </w:lvl>
  </w:abstractNum>
  <w:abstractNum w:abstractNumId="15">
    <w:nsid w:val="49DA307D"/>
    <w:multiLevelType w:val="hybridMultilevel"/>
    <w:lvl w:ilvl="0">
      <w:lvlJc w:val="left"/>
      <w:lvlText w:val="(%1)"/>
      <w:numFmt w:val="lowerLetter"/>
      <w:start w:val="1"/>
    </w:lvl>
  </w:abstractNum>
  <w:abstractNum w:abstractNumId="16">
    <w:nsid w:val="7055A5F5"/>
    <w:multiLevelType w:val="hybridMultilevel"/>
    <w:lvl w:ilvl="0">
      <w:lvlJc w:val="left"/>
      <w:lvlText w:val="(%1)"/>
      <w:numFmt w:val="lowerLetter"/>
      <w:start w:val="2"/>
    </w:lvl>
  </w:abstractNum>
  <w:abstractNum w:abstractNumId="17">
    <w:nsid w:val="5FB8370B"/>
    <w:multiLevelType w:val="hybridMultilevel"/>
    <w:lvl w:ilvl="0">
      <w:lvlJc w:val="left"/>
      <w:lvlText w:val="(%1)"/>
      <w:numFmt w:val="lowerLetter"/>
      <w:start w:val="1"/>
    </w:lvl>
  </w:abstractNum>
  <w:abstractNum w:abstractNumId="18">
    <w:nsid w:val="50801EE1"/>
    <w:multiLevelType w:val="hybridMultilevel"/>
    <w:lvl w:ilvl="0">
      <w:lvlJc w:val="left"/>
      <w:lvlText w:val="(%1)"/>
      <w:numFmt w:val="lowerLetter"/>
      <w:start w:val="2"/>
    </w:lvl>
  </w:abstractNum>
  <w:abstractNum w:abstractNumId="19">
    <w:nsid w:val="488AC1A"/>
    <w:multiLevelType w:val="hybridMultilevel"/>
    <w:lvl w:ilvl="0">
      <w:lvlJc w:val="left"/>
      <w:lvlText w:val="(%1)"/>
      <w:numFmt w:val="decimal"/>
      <w:start w:val="519"/>
    </w:lvl>
  </w:abstractNum>
  <w:abstractNum w:abstractNumId="20">
    <w:nsid w:val="5FB8011C"/>
    <w:multiLevelType w:val="hybridMultilevel"/>
    <w:lvl w:ilvl="0">
      <w:lvlJc w:val="left"/>
      <w:lvlText w:val="(%1)"/>
      <w:numFmt w:val="lowerRoman"/>
      <w:start w:val="5"/>
    </w:lvl>
  </w:abstractNum>
  <w:abstractNum w:abstractNumId="21">
    <w:nsid w:val="6AA78F7F"/>
    <w:multiLevelType w:val="hybridMultilevel"/>
    <w:lvl w:ilvl="0">
      <w:lvlJc w:val="left"/>
      <w:lvlText w:val="(%1)"/>
      <w:numFmt w:val="lowerRoman"/>
      <w:start w:val="2"/>
    </w:lvl>
  </w:abstractNum>
  <w:abstractNum w:abstractNumId="22">
    <w:nsid w:val="7672BD23"/>
    <w:multiLevelType w:val="hybridMultilevel"/>
    <w:lvl w:ilvl="0">
      <w:lvlJc w:val="left"/>
      <w:lvlText w:val="(%1)"/>
      <w:numFmt w:val="lowerLetter"/>
      <w:start w:val="4"/>
    </w:lvl>
  </w:abstractNum>
  <w:abstractNum w:abstractNumId="23">
    <w:nsid w:val="6FC75AF8"/>
    <w:multiLevelType w:val="hybridMultilevel"/>
    <w:lvl w:ilvl="0">
      <w:lvlJc w:val="left"/>
      <w:lvlText w:val="(%1)"/>
      <w:numFmt w:val="lowerLetter"/>
      <w:start w:val="2"/>
    </w:lvl>
  </w:abstractNum>
  <w:abstractNum w:abstractNumId="24">
    <w:nsid w:val="6A5F7029"/>
    <w:multiLevelType w:val="hybridMultilevel"/>
    <w:lvl w:ilvl="0">
      <w:lvlJc w:val="left"/>
      <w:lvlText w:val="(%1)"/>
      <w:numFmt w:val="lowerLetter"/>
      <w:start w:val="1"/>
    </w:lvl>
  </w:abstractNum>
  <w:abstractNum w:abstractNumId="25">
    <w:nsid w:val="7D5E18F8"/>
    <w:multiLevelType w:val="hybridMultilevel"/>
    <w:lvl w:ilvl="0">
      <w:lvlJc w:val="left"/>
      <w:lvlText w:val="(%1)"/>
      <w:numFmt w:val="lowerLetter"/>
      <w:start w:val="2"/>
    </w:lvl>
  </w:abstractNum>
  <w:abstractNum w:abstractNumId="26">
    <w:nsid w:val="5F3534A4"/>
    <w:multiLevelType w:val="hybridMultilevel"/>
    <w:lvl w:ilvl="0">
      <w:lvlJc w:val="left"/>
      <w:lvlText w:val="(%1)"/>
      <w:numFmt w:val="lowerRoman"/>
      <w:start w:val="1"/>
    </w:lvl>
  </w:abstractNum>
  <w:abstractNum w:abstractNumId="27">
    <w:nsid w:val="73A1821B"/>
    <w:multiLevelType w:val="hybridMultilevel"/>
    <w:lvl w:ilvl="0">
      <w:lvlJc w:val="left"/>
      <w:lvlText w:val="(%1)"/>
      <w:numFmt w:val="lowerRoman"/>
      <w:start w:val="3"/>
    </w:lvl>
  </w:abstractNum>
  <w:abstractNum w:abstractNumId="28">
    <w:nsid w:val="7DE67713"/>
    <w:multiLevelType w:val="hybridMultilevel"/>
    <w:lvl w:ilvl="0">
      <w:lvlJc w:val="left"/>
      <w:lvlText w:val="(%1)"/>
      <w:numFmt w:val="lowerLetter"/>
      <w:start w:val="1"/>
    </w:lvl>
  </w:abstractNum>
  <w:abstractNum w:abstractNumId="29">
    <w:nsid w:val="555C55B5"/>
    <w:multiLevelType w:val="hybridMultilevel"/>
    <w:lvl w:ilvl="0">
      <w:lvlJc w:val="left"/>
      <w:lvlText w:val="(%1)"/>
      <w:numFmt w:val="lowerLetter"/>
      <w:start w:val="2"/>
    </w:lvl>
  </w:abstractNum>
  <w:abstractNum w:abstractNumId="30">
    <w:nsid w:val="3FA62ACA"/>
    <w:multiLevelType w:val="hybridMultilevel"/>
    <w:lvl w:ilvl="0">
      <w:lvlJc w:val="left"/>
      <w:lvlText w:val="(%1)"/>
      <w:numFmt w:val="lowerLetter"/>
      <w:start w:val="3"/>
    </w:lvl>
  </w:abstractNum>
  <w:abstractNum w:abstractNumId="31">
    <w:nsid w:val="14FCE74E"/>
    <w:multiLevelType w:val="hybridMultilevel"/>
    <w:lvl w:ilvl="0">
      <w:lvlJc w:val="left"/>
      <w:lvlText w:val="(%1)"/>
      <w:numFmt w:val="lowerLetter"/>
      <w:start w:val="5"/>
    </w:lvl>
  </w:abstractNum>
  <w:abstractNum w:abstractNumId="32">
    <w:nsid w:val="6A3DD3E8"/>
    <w:multiLevelType w:val="hybridMultilevel"/>
    <w:lvl w:ilvl="0">
      <w:lvlJc w:val="left"/>
      <w:lvlText w:val="%1"/>
      <w:numFmt w:val="lowerLetter"/>
      <w:start w:val="1"/>
    </w:lvl>
    <w:lvl w:ilvl="1">
      <w:lvlJc w:val="left"/>
      <w:lvlText w:val="(%2)"/>
      <w:numFmt w:val="lowerLetter"/>
      <w:start w:val="6"/>
    </w:lvl>
  </w:abstractNum>
  <w:abstractNum w:abstractNumId="33">
    <w:nsid w:val="71C91298"/>
    <w:multiLevelType w:val="hybridMultilevel"/>
    <w:lvl w:ilvl="0">
      <w:lvlJc w:val="left"/>
      <w:lvlText w:val="(%1)"/>
      <w:numFmt w:val="lowerLetter"/>
      <w:start w:val="35"/>
    </w:lvl>
    <w:lvl w:ilvl="1">
      <w:lvlJc w:val="left"/>
      <w:lvlText w:val="(%2)"/>
      <w:numFmt w:val="lowerLetter"/>
      <w:start w:val="7"/>
    </w:lvl>
  </w:abstractNum>
  <w:abstractNum w:abstractNumId="34">
    <w:nsid w:val="9DAF632"/>
    <w:multiLevelType w:val="hybridMultilevel"/>
    <w:lvl w:ilvl="0">
      <w:lvlJc w:val="left"/>
      <w:lvlText w:val="(%1)"/>
      <w:numFmt w:val="lowerRoman"/>
      <w:start w:val="1"/>
    </w:lvl>
  </w:abstractNum>
  <w:abstractNum w:abstractNumId="35">
    <w:nsid w:val="53299938"/>
    <w:multiLevelType w:val="hybridMultilevel"/>
    <w:lvl w:ilvl="0">
      <w:lvlJc w:val="left"/>
      <w:lvlText w:val="(%1)"/>
      <w:numFmt w:val="lowerLetter"/>
      <w:start w:val="10"/>
    </w:lvl>
  </w:abstractNum>
  <w:abstractNum w:abstractNumId="36">
    <w:nsid w:val="1FBFE8E0"/>
    <w:multiLevelType w:val="hybridMultilevel"/>
    <w:lvl w:ilvl="0">
      <w:lvlJc w:val="left"/>
      <w:lvlText w:val="(%1)"/>
      <w:numFmt w:val="lowerLetter"/>
      <w:start w:val="11"/>
    </w:lvl>
  </w:abstractNum>
  <w:abstractNum w:abstractNumId="37">
    <w:nsid w:val="5092CA79"/>
    <w:multiLevelType w:val="hybridMultilevel"/>
    <w:lvl w:ilvl="0">
      <w:lvlJc w:val="left"/>
      <w:lvlText w:val="(%1)"/>
      <w:numFmt w:val="lowerLetter"/>
      <w:start w:val="2"/>
    </w:lvl>
  </w:abstractNum>
  <w:abstractNum w:abstractNumId="38">
    <w:nsid w:val="1D545C4D"/>
    <w:multiLevelType w:val="hybridMultilevel"/>
    <w:lvl w:ilvl="0">
      <w:lvlJc w:val="left"/>
      <w:lvlText w:val="%1"/>
      <w:numFmt w:val="lowerRoman"/>
      <w:start w:val="1"/>
    </w:lvl>
    <w:lvl w:ilvl="1">
      <w:lvlJc w:val="left"/>
      <w:lvlText w:val="(%2)"/>
      <w:numFmt w:val="lowerLetter"/>
      <w:start w:val="2"/>
    </w:lvl>
  </w:abstractNum>
  <w:abstractNum w:abstractNumId="39">
    <w:nsid w:val="59ADEA3D"/>
    <w:multiLevelType w:val="hybridMultilevel"/>
    <w:lvl w:ilvl="0">
      <w:lvlJc w:val="left"/>
      <w:lvlText w:val="(%1)"/>
      <w:numFmt w:val="lowerRoman"/>
      <w:start w:val="1"/>
    </w:lvl>
    <w:lvl w:ilvl="1">
      <w:lvlJc w:val="left"/>
      <w:lvlText w:val="%2"/>
      <w:numFmt w:val="lowerLetter"/>
      <w:start w:val="1"/>
    </w:lvl>
  </w:abstractNum>
  <w:abstractNum w:abstractNumId="40">
    <w:nsid w:val="288F1A34"/>
    <w:multiLevelType w:val="hybridMultilevel"/>
    <w:lvl w:ilvl="0">
      <w:lvlJc w:val="left"/>
      <w:lvlText w:val="(%1)"/>
      <w:numFmt w:val="lowerRoman"/>
      <w:start w:val="3"/>
    </w:lvl>
  </w:abstractNum>
  <w:abstractNum w:abstractNumId="41">
    <w:nsid w:val="2A155DBC"/>
    <w:multiLevelType w:val="hybridMultilevel"/>
    <w:lvl w:ilvl="0">
      <w:lvlJc w:val="left"/>
      <w:lvlText w:val="(%1)"/>
      <w:numFmt w:val="lowerLetter"/>
      <w:start w:val="4"/>
    </w:lvl>
  </w:abstractNum>
  <w:abstractNum w:abstractNumId="42">
    <w:nsid w:val="1D9F6E5F"/>
    <w:multiLevelType w:val="hybridMultilevel"/>
    <w:lvl w:ilvl="0">
      <w:lvlJc w:val="left"/>
      <w:lvlText w:val="(%1)"/>
      <w:numFmt w:val="lowerLetter"/>
      <w:start w:val="2"/>
    </w:lvl>
  </w:abstractNum>
  <w:abstractNum w:abstractNumId="43">
    <w:nsid w:val="97E1B4E"/>
    <w:multiLevelType w:val="hybridMultilevel"/>
    <w:lvl w:ilvl="0">
      <w:lvlJc w:val="left"/>
      <w:lvlText w:val="(%1)"/>
      <w:numFmt w:val="lowerLetter"/>
      <w:start w:val="2"/>
    </w:lvl>
  </w:abstractNum>
  <w:abstractNum w:abstractNumId="44">
    <w:nsid w:val="51088277"/>
    <w:multiLevelType w:val="hybridMultilevel"/>
    <w:lvl w:ilvl="0">
      <w:lvlJc w:val="left"/>
      <w:lvlText w:val="(%1)"/>
      <w:numFmt w:val="lowerLetter"/>
      <w:start w:val="1"/>
    </w:lvl>
  </w:abstractNum>
  <w:abstractNum w:abstractNumId="45">
    <w:nsid w:val="1CA0C5FA"/>
    <w:multiLevelType w:val="hybridMultilevel"/>
    <w:lvl w:ilvl="0">
      <w:lvlJc w:val="left"/>
      <w:lvlText w:val="%1"/>
      <w:numFmt w:val="lowerLetter"/>
      <w:start w:val="1"/>
    </w:lvl>
    <w:lvl w:ilvl="1">
      <w:lvlJc w:val="left"/>
      <w:lvlText w:val="(%2)"/>
      <w:numFmt w:val="lowerLetter"/>
      <w:start w:val="2"/>
    </w:lvl>
  </w:abstractNum>
  <w:abstractNum w:abstractNumId="46">
    <w:nsid w:val="53584BCB"/>
    <w:multiLevelType w:val="hybridMultilevel"/>
    <w:lvl w:ilvl="0">
      <w:lvlJc w:val="left"/>
      <w:lvlText w:val="(%1)"/>
      <w:numFmt w:val="lowerLetter"/>
      <w:start w:val="24"/>
    </w:lvl>
    <w:lvl w:ilvl="1">
      <w:lvlJc w:val="left"/>
      <w:lvlText w:val="%2"/>
      <w:numFmt w:val="lowerLetter"/>
      <w:start w:val="1"/>
    </w:lvl>
  </w:abstractNum>
  <w:abstractNum w:abstractNumId="47">
    <w:nsid w:val="415E286C"/>
    <w:multiLevelType w:val="hybridMultilevel"/>
    <w:lvl w:ilvl="0">
      <w:lvlJc w:val="left"/>
      <w:lvlText w:val="(%1)"/>
      <w:numFmt w:val="lowerLetter"/>
      <w:start w:val="2"/>
    </w:lvl>
  </w:abstractNum>
  <w:abstractNum w:abstractNumId="48">
    <w:nsid w:val="7C58FD05"/>
    <w:multiLevelType w:val="hybridMultilevel"/>
    <w:lvl w:ilvl="0">
      <w:lvlJc w:val="left"/>
      <w:lvlText w:val="(%1)"/>
      <w:numFmt w:val="lowerLetter"/>
      <w:start w:val="3"/>
    </w:lvl>
  </w:abstractNum>
  <w:abstractNum w:abstractNumId="49">
    <w:nsid w:val="23D86AAC"/>
    <w:multiLevelType w:val="hybridMultilevel"/>
    <w:lvl w:ilvl="0">
      <w:lvlJc w:val="left"/>
      <w:lvlText w:val="(%1)"/>
      <w:numFmt w:val="lowerLetter"/>
      <w:start w:val="2"/>
    </w:lvl>
  </w:abstractNum>
  <w:abstractNum w:abstractNumId="50">
    <w:nsid w:val="45E6D486"/>
    <w:multiLevelType w:val="hybridMultilevel"/>
    <w:lvl w:ilvl="0">
      <w:lvlJc w:val="left"/>
      <w:lvlText w:val="(%1)"/>
      <w:numFmt w:val="lowerLetter"/>
      <w:start w:val="1"/>
    </w:lvl>
    <w:lvl w:ilvl="1">
      <w:lvlJc w:val="left"/>
      <w:lvlText w:val="(%2)"/>
      <w:numFmt w:val="lowerRoman"/>
      <w:start w:val="1"/>
    </w:lvl>
  </w:abstractNum>
  <w:abstractNum w:abstractNumId="51">
    <w:nsid w:val="5C10FE21"/>
    <w:multiLevelType w:val="hybridMultilevel"/>
    <w:lvl w:ilvl="0">
      <w:lvlJc w:val="left"/>
      <w:lvlText w:val="(%1)"/>
      <w:numFmt w:val="lowerRoman"/>
      <w:start w:val="1"/>
    </w:lvl>
  </w:abstractNum>
  <w:abstractNum w:abstractNumId="52">
    <w:nsid w:val="E7FFA2B"/>
    <w:multiLevelType w:val="hybridMultilevel"/>
    <w:lvl w:ilvl="0">
      <w:lvlJc w:val="left"/>
      <w:lvlText w:val="(%1)"/>
      <w:numFmt w:val="lowerLetter"/>
      <w:start w:val="25"/>
    </w:lvl>
    <w:lvl w:ilvl="1">
      <w:lvlJc w:val="left"/>
      <w:lvlText w:val="(%2)"/>
      <w:numFmt w:val="lowerLetter"/>
      <w:start w:val="2"/>
    </w:lvl>
  </w:abstractNum>
  <w:abstractNum w:abstractNumId="53">
    <w:nsid w:val="3C5991AA"/>
    <w:multiLevelType w:val="hybridMultilevel"/>
    <w:lvl w:ilvl="0">
      <w:lvlJc w:val="left"/>
      <w:lvlText w:val="%1"/>
      <w:numFmt w:val="lowerLetter"/>
      <w:start w:val="1"/>
    </w:lvl>
    <w:lvl w:ilvl="1">
      <w:lvlJc w:val="left"/>
      <w:lvlText w:val="(%2)"/>
      <w:numFmt w:val="lowerLetter"/>
      <w:start w:val="4"/>
    </w:lvl>
  </w:abstractNum>
  <w:abstractNum w:abstractNumId="54">
    <w:nsid w:val="4BD8591A"/>
    <w:multiLevelType w:val="hybridMultilevel"/>
    <w:lvl w:ilvl="0">
      <w:lvlJc w:val="left"/>
      <w:lvlText w:val="(%1)"/>
      <w:numFmt w:val="lowerLetter"/>
      <w:start w:val="35"/>
    </w:lvl>
    <w:lvl w:ilvl="1">
      <w:lvlJc w:val="left"/>
      <w:lvlText w:val="(%2)"/>
      <w:numFmt w:val="lowerLetter"/>
      <w:start w:val="5"/>
    </w:lvl>
  </w:abstractNum>
  <w:abstractNum w:abstractNumId="55">
    <w:nsid w:val="78DF6A55"/>
    <w:multiLevelType w:val="hybridMultilevel"/>
    <w:lvl w:ilvl="0">
      <w:lvlJc w:val="left"/>
      <w:lvlText w:val="(%1)"/>
      <w:numFmt w:val="lowerLetter"/>
      <w:start w:val="24"/>
    </w:lvl>
    <w:lvl w:ilvl="1">
      <w:lvlJc w:val="left"/>
      <w:lvlText w:val="%2"/>
      <w:numFmt w:val="lowerLetter"/>
      <w:start w:val="1"/>
    </w:lvl>
  </w:abstractNum>
  <w:abstractNum w:abstractNumId="56">
    <w:nsid w:val="39B7AAA2"/>
    <w:multiLevelType w:val="hybridMultilevel"/>
    <w:lvl w:ilvl="0">
      <w:lvlJc w:val="left"/>
      <w:lvlText w:val="(%1)"/>
      <w:numFmt w:val="lowerRoman"/>
      <w:start w:val="1"/>
    </w:lvl>
  </w:abstractNum>
  <w:abstractNum w:abstractNumId="57">
    <w:nsid w:val="2B0D8DBE"/>
    <w:multiLevelType w:val="hybridMultilevel"/>
    <w:lvl w:ilvl="0">
      <w:lvlJc w:val="left"/>
      <w:lvlText w:val="(%1)"/>
      <w:numFmt w:val="lowerLetter"/>
      <w:start w:val="2"/>
    </w:lvl>
  </w:abstractNum>
  <w:abstractNum w:abstractNumId="58">
    <w:nsid w:val="6C80EC70"/>
    <w:multiLevelType w:val="hybridMultilevel"/>
    <w:lvl w:ilvl="0">
      <w:lvlJc w:val="left"/>
      <w:lvlText w:val="(%1)"/>
      <w:numFmt w:val="lowerLetter"/>
      <w:start w:val="3"/>
    </w:lvl>
  </w:abstractNum>
  <w:abstractNum w:abstractNumId="59">
    <w:nsid w:val="379E21B5"/>
    <w:multiLevelType w:val="hybridMultilevel"/>
    <w:lvl w:ilvl="0">
      <w:lvlJc w:val="left"/>
      <w:lvlText w:val="(%1)"/>
      <w:numFmt w:val="lowerLetter"/>
      <w:start w:val="2"/>
    </w:lvl>
  </w:abstractNum>
  <w:abstractNum w:abstractNumId="60">
    <w:nsid w:val="69E373"/>
    <w:multiLevelType w:val="hybridMultilevel"/>
    <w:lvl w:ilvl="0">
      <w:lvlJc w:val="left"/>
      <w:lvlText w:val="(%1)"/>
      <w:numFmt w:val="lowerLetter"/>
      <w:start w:val="2"/>
    </w:lvl>
  </w:abstractNum>
  <w:abstractNum w:abstractNumId="61">
    <w:nsid w:val="2C27173B"/>
    <w:multiLevelType w:val="hybridMultilevel"/>
    <w:lvl w:ilvl="0">
      <w:lvlJc w:val="left"/>
      <w:lvlText w:val="(%1)"/>
      <w:numFmt w:val="lowerRoman"/>
      <w:start w:val="2"/>
    </w:lvl>
    <w:lvl w:ilvl="1">
      <w:lvlJc w:val="left"/>
      <w:lvlText w:val="(%2)"/>
      <w:numFmt w:val="upperLetter"/>
      <w:start w:val="1"/>
    </w:lvl>
  </w:abstractNum>
  <w:abstractNum w:abstractNumId="62">
    <w:nsid w:val="4C9B0904"/>
    <w:multiLevelType w:val="hybridMultilevel"/>
    <w:lvl w:ilvl="0">
      <w:lvlJc w:val="left"/>
      <w:lvlText w:val="%1"/>
      <w:numFmt w:val="upperLetter"/>
      <w:start w:val="1"/>
    </w:lvl>
    <w:lvl w:ilvl="1">
      <w:lvlJc w:val="left"/>
      <w:lvlText w:val="(%2)"/>
      <w:numFmt w:val="decimal"/>
      <w:start w:val="1"/>
    </w:lvl>
  </w:abstractNum>
  <w:abstractNum w:abstractNumId="63">
    <w:nsid w:val="6AA7B75C"/>
    <w:multiLevelType w:val="hybridMultilevel"/>
    <w:lvl w:ilvl="0">
      <w:lvlJc w:val="left"/>
      <w:lvlText w:val="(%1)"/>
      <w:numFmt w:val="upperLetter"/>
      <w:start w:val="3"/>
    </w:lvl>
    <w:lvl w:ilvl="1">
      <w:lvlJc w:val="left"/>
      <w:lvlText w:val="%2"/>
      <w:numFmt w:val="decimal"/>
      <w:start w:val="1"/>
    </w:lvl>
  </w:abstractNum>
  <w:abstractNum w:abstractNumId="64">
    <w:nsid w:val="1DF029D3"/>
    <w:multiLevelType w:val="hybridMultilevel"/>
    <w:lvl w:ilvl="0">
      <w:lvlJc w:val="left"/>
      <w:lvlText w:val="(%1)"/>
      <w:numFmt w:val="upperLetter"/>
      <w:start w:val="4"/>
    </w:lvl>
  </w:abstractNum>
  <w:abstractNum w:abstractNumId="65">
    <w:nsid w:val="5675FF36"/>
    <w:multiLevelType w:val="hybridMultilevel"/>
    <w:lvl w:ilvl="0">
      <w:lvlJc w:val="left"/>
      <w:lvlText w:val="(%1)"/>
      <w:numFmt w:val="lowerLetter"/>
      <w:start w:val="7"/>
    </w:lvl>
  </w:abstractNum>
  <w:abstractNum w:abstractNumId="66">
    <w:nsid w:val="3DD15094"/>
    <w:multiLevelType w:val="hybridMultilevel"/>
    <w:lvl w:ilvl="0">
      <w:lvlJc w:val="left"/>
      <w:lvlText w:val="(%1)"/>
      <w:numFmt w:val="lowerLetter"/>
      <w:start w:val="1"/>
    </w:lvl>
  </w:abstractNum>
  <w:abstractNum w:abstractNumId="67">
    <w:nsid w:val="3DB012B3"/>
    <w:multiLevelType w:val="hybridMultilevel"/>
    <w:lvl w:ilvl="0">
      <w:lvlJc w:val="left"/>
      <w:lvlText w:val="(%1)"/>
      <w:numFmt w:val="lowerLetter"/>
      <w:start w:val="4"/>
    </w:lvl>
  </w:abstractNum>
  <w:abstractNum w:abstractNumId="68">
    <w:nsid w:val="2708C9AF"/>
    <w:multiLevelType w:val="hybridMultilevel"/>
    <w:lvl w:ilvl="0">
      <w:lvlJc w:val="left"/>
      <w:lvlText w:val="(%1)"/>
      <w:numFmt w:val="lowerLetter"/>
      <w:start w:val="2"/>
    </w:lvl>
  </w:abstractNum>
  <w:abstractNum w:abstractNumId="69">
    <w:nsid w:val="5B25ACE2"/>
    <w:multiLevelType w:val="hybridMultilevel"/>
    <w:lvl w:ilvl="0">
      <w:lvlJc w:val="left"/>
      <w:lvlText w:val="(%1)"/>
      <w:numFmt w:val="lowerLetter"/>
      <w:start w:val="1"/>
    </w:lvl>
  </w:abstractNum>
  <w:abstractNum w:abstractNumId="70">
    <w:nsid w:val="175DFCF0"/>
    <w:multiLevelType w:val="hybridMultilevel"/>
    <w:lvl w:ilvl="0">
      <w:lvlJc w:val="left"/>
      <w:lvlText w:val="%1"/>
      <w:numFmt w:val="lowerRoman"/>
      <w:start w:val="1"/>
    </w:lvl>
    <w:lvl w:ilvl="1">
      <w:lvlJc w:val="left"/>
      <w:lvlText w:val="(%2)"/>
      <w:numFmt w:val="lowerLetter"/>
      <w:start w:val="3"/>
    </w:lvl>
  </w:abstractNum>
  <w:abstractNum w:abstractNumId="71">
    <w:nsid w:val="4F97E3E4"/>
    <w:multiLevelType w:val="hybridMultilevel"/>
    <w:lvl w:ilvl="0">
      <w:lvlJc w:val="left"/>
      <w:lvlText w:val="(%1)"/>
      <w:numFmt w:val="lowerRoman"/>
      <w:start w:val="1"/>
    </w:lvl>
    <w:lvl w:ilvl="1">
      <w:lvlJc w:val="left"/>
      <w:lvlText w:val="%2"/>
      <w:numFmt w:val="lowerLetter"/>
      <w:start w:val="1"/>
    </w:lvl>
  </w:abstractNum>
  <w:abstractNum w:abstractNumId="72">
    <w:nsid w:val="53B0A9E"/>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73">
    <w:nsid w:val="34FD6B4F"/>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5"/>
    </w:lvl>
  </w:abstractNum>
  <w:abstractNum w:abstractNumId="74">
    <w:nsid w:val="5915FF32"/>
    <w:multiLevelType w:val="hybridMultilevel"/>
    <w:lvl w:ilvl="0">
      <w:lvlJc w:val="left"/>
      <w:lvlText w:val="(%1)"/>
      <w:numFmt w:val="lowerRoman"/>
      <w:start w:val="2"/>
    </w:lvl>
  </w:abstractNum>
  <w:abstractNum w:abstractNumId="75">
    <w:nsid w:val="56438D15"/>
    <w:multiLevelType w:val="hybridMultilevel"/>
    <w:lvl w:ilvl="0">
      <w:lvlJc w:val="left"/>
      <w:lvlText w:val="(%1)"/>
      <w:numFmt w:val="lowerLetter"/>
      <w:start w:val="3"/>
    </w:lvl>
  </w:abstractNum>
  <w:abstractNum w:abstractNumId="76">
    <w:nsid w:val="519E3149"/>
    <w:multiLevelType w:val="hybridMultilevel"/>
    <w:lvl w:ilvl="0">
      <w:lvlJc w:val="left"/>
      <w:lvlText w:val="(%1)"/>
      <w:numFmt w:val="lowerLetter"/>
      <w:start w:val="5"/>
    </w:lvl>
  </w:abstractNum>
  <w:abstractNum w:abstractNumId="77">
    <w:nsid w:val="2C6E4AFD"/>
    <w:multiLevelType w:val="hybridMultilevel"/>
    <w:lvl w:ilvl="0">
      <w:lvlJc w:val="left"/>
      <w:lvlText w:val="(%1)"/>
      <w:numFmt w:val="lowerLetter"/>
      <w:start w:val="2"/>
    </w:lvl>
  </w:abstractNum>
  <w:abstractNum w:abstractNumId="78">
    <w:nsid w:val="17A1B582"/>
    <w:multiLevelType w:val="hybridMultilevel"/>
    <w:lvl w:ilvl="0">
      <w:lvlJc w:val="left"/>
      <w:lvlText w:val="(%1)"/>
      <w:numFmt w:val="lowerLetter"/>
      <w:start w:val="2"/>
    </w:lvl>
  </w:abstractNum>
  <w:abstractNum w:abstractNumId="79">
    <w:nsid w:val="4DF72E4E"/>
    <w:multiLevelType w:val="hybridMultilevel"/>
    <w:lvl w:ilvl="0">
      <w:lvlJc w:val="left"/>
      <w:lvlText w:val="(%1)"/>
      <w:numFmt w:val="lowerLetter"/>
      <w:start w:val="2"/>
    </w:lvl>
  </w:abstractNum>
  <w:abstractNum w:abstractNumId="80">
    <w:nsid w:val="5046B5A9"/>
    <w:multiLevelType w:val="hybridMultilevel"/>
    <w:lvl w:ilvl="0">
      <w:lvlJc w:val="left"/>
      <w:lvlText w:val="(%1)"/>
      <w:numFmt w:val="lowerLetter"/>
      <w:start w:val="1"/>
    </w:lvl>
  </w:abstractNum>
  <w:abstractNum w:abstractNumId="81">
    <w:nsid w:val="5D888A08"/>
    <w:multiLevelType w:val="hybridMultilevel"/>
    <w:lvl w:ilvl="0">
      <w:lvlJc w:val="left"/>
      <w:lvlText w:val="(%1)"/>
      <w:numFmt w:val="lowerLetter"/>
      <w:start w:val="2"/>
    </w:lvl>
  </w:abstractNum>
  <w:abstractNum w:abstractNumId="82">
    <w:nsid w:val="2A082C70"/>
    <w:multiLevelType w:val="hybridMultilevel"/>
    <w:lvl w:ilvl="0">
      <w:lvlJc w:val="left"/>
      <w:lvlText w:val="%1"/>
      <w:numFmt w:val="lowerLetter"/>
      <w:start w:val="1"/>
    </w:lvl>
    <w:lvl w:ilvl="1">
      <w:lvlJc w:val="left"/>
      <w:lvlText w:val="(%2)"/>
      <w:numFmt w:val="lowerLetter"/>
      <w:start w:val="10"/>
    </w:lvl>
  </w:abstractNum>
  <w:abstractNum w:abstractNumId="83">
    <w:nsid w:val="5EC6AFD4"/>
    <w:multiLevelType w:val="hybridMultilevel"/>
    <w:lvl w:ilvl="0">
      <w:lvlJc w:val="left"/>
      <w:lvlText w:val="(%1)"/>
      <w:numFmt w:val="lowerLetter"/>
      <w:start w:val="25"/>
    </w:lvl>
    <w:lvl w:ilvl="1">
      <w:lvlJc w:val="left"/>
      <w:lvlText w:val="%2"/>
      <w:numFmt w:val="lowerLetter"/>
      <w:start w:val="1"/>
    </w:lvl>
  </w:abstractNum>
  <w:abstractNum w:abstractNumId="84">
    <w:nsid w:val="19E21BB2"/>
    <w:multiLevelType w:val="hybridMultilevel"/>
    <w:lvl w:ilvl="0">
      <w:lvlJc w:val="left"/>
      <w:lvlText w:val="(%1)"/>
      <w:numFmt w:val="lowerLetter"/>
      <w:start w:val="1"/>
    </w:lvl>
  </w:abstractNum>
  <w:abstractNum w:abstractNumId="85">
    <w:nsid w:val="75E0858A"/>
    <w:multiLevelType w:val="hybridMultilevel"/>
    <w:lvl w:ilvl="0">
      <w:lvlJc w:val="left"/>
      <w:lvlText w:val="(%1)"/>
      <w:numFmt w:val="lowerLetter"/>
      <w:start w:val="2"/>
    </w:lvl>
  </w:abstractNum>
  <w:abstractNum w:abstractNumId="86">
    <w:nsid w:val="57A61A29"/>
    <w:multiLevelType w:val="hybridMultilevel"/>
    <w:lvl w:ilvl="0">
      <w:lvlJc w:val="left"/>
      <w:lvlText w:val="(%1)"/>
      <w:numFmt w:val="lowerLetter"/>
      <w:start w:val="1"/>
    </w:lvl>
  </w:abstractNum>
  <w:abstractNum w:abstractNumId="87">
    <w:nsid w:val="5399C654"/>
    <w:multiLevelType w:val="hybridMultilevel"/>
    <w:lvl w:ilvl="0">
      <w:lvlJc w:val="left"/>
      <w:lvlText w:val="%1"/>
      <w:numFmt w:val="lowerLetter"/>
      <w:start w:val="1"/>
    </w:lvl>
    <w:lvl w:ilvl="1">
      <w:lvlJc w:val="left"/>
      <w:lvlText w:val="(%2)"/>
      <w:numFmt w:val="lowerLetter"/>
      <w:start w:val="2"/>
    </w:lvl>
  </w:abstractNum>
  <w:abstractNum w:abstractNumId="88">
    <w:nsid w:val="20EE1348"/>
    <w:multiLevelType w:val="hybridMultilevel"/>
    <w:lvl w:ilvl="0">
      <w:lvlJc w:val="left"/>
      <w:lvlText w:val="(%1)"/>
      <w:numFmt w:val="lowerLetter"/>
      <w:start w:val="61"/>
    </w:lvl>
    <w:lvl w:ilvl="1">
      <w:lvlJc w:val="left"/>
      <w:lvlText w:val="(%2)"/>
      <w:numFmt w:val="lowerLetter"/>
      <w:start w:val="4"/>
    </w:lvl>
  </w:abstractNum>
  <w:abstractNum w:abstractNumId="89">
    <w:nsid w:val="4427069A"/>
    <w:multiLevelType w:val="hybridMultilevel"/>
    <w:lvl w:ilvl="0">
      <w:lvlJc w:val="left"/>
      <w:lvlText w:val="(%1)"/>
      <w:numFmt w:val="lowerLetter"/>
      <w:start w:val="1"/>
    </w:lvl>
  </w:abstractNum>
  <w:abstractNum w:abstractNumId="90">
    <w:nsid w:val="B37E80A"/>
    <w:multiLevelType w:val="hybridMultilevel"/>
    <w:lvl w:ilvl="0">
      <w:lvlJc w:val="left"/>
      <w:lvlText w:val="(%1)"/>
      <w:numFmt w:val="lowerLetter"/>
      <w:start w:val="1"/>
    </w:lvl>
  </w:abstractNum>
  <w:abstractNum w:abstractNumId="91">
    <w:nsid w:val="2157F6BC"/>
    <w:multiLevelType w:val="hybridMultilevel"/>
    <w:lvl w:ilvl="0">
      <w:lvlJc w:val="left"/>
      <w:lvlText w:val="%1"/>
      <w:numFmt w:val="lowerLetter"/>
      <w:start w:val="1"/>
    </w:lvl>
    <w:lvl w:ilvl="1">
      <w:lvlJc w:val="left"/>
      <w:lvlText w:val="(%2)"/>
      <w:numFmt w:val="lowerLetter"/>
      <w:start w:val="1"/>
    </w:lvl>
  </w:abstractNum>
  <w:abstractNum w:abstractNumId="92">
    <w:nsid w:val="704E1DD5"/>
    <w:multiLevelType w:val="hybridMultilevel"/>
    <w:lvl w:ilvl="0">
      <w:lvlJc w:val="left"/>
      <w:lvlText w:val="(%1)"/>
      <w:numFmt w:val="lowerLetter"/>
      <w:start w:val="9"/>
    </w:lvl>
    <w:lvl w:ilvl="1">
      <w:lvlJc w:val="left"/>
      <w:lvlText w:val="(%2)"/>
      <w:numFmt w:val="lowerLetter"/>
      <w:start w:val="6"/>
    </w:lvl>
  </w:abstractNum>
  <w:abstractNum w:abstractNumId="93">
    <w:nsid w:val="57D2F10E"/>
    <w:multiLevelType w:val="hybridMultilevel"/>
    <w:lvl w:ilvl="0">
      <w:lvlJc w:val="left"/>
      <w:lvlText w:val="(%1)"/>
      <w:numFmt w:val="lowerLetter"/>
      <w:start w:val="11"/>
    </w:lvl>
  </w:abstractNum>
  <w:abstractNum w:abstractNumId="94">
    <w:nsid w:val="BFFAE18"/>
    <w:multiLevelType w:val="hybridMultilevel"/>
    <w:lvl w:ilvl="0">
      <w:lvlJc w:val="left"/>
      <w:lvlText w:val="(%1)"/>
      <w:numFmt w:val="lowerLetter"/>
      <w:start w:val="1"/>
    </w:lvl>
  </w:abstractNum>
  <w:abstractNum w:abstractNumId="95">
    <w:nsid w:val="E3E47A8"/>
    <w:multiLevelType w:val="hybridMultilevel"/>
    <w:lvl w:ilvl="0">
      <w:lvlJc w:val="left"/>
      <w:lvlText w:val="(%1)"/>
      <w:numFmt w:val="lowerLetter"/>
      <w:start w:val="6"/>
    </w:lvl>
  </w:abstractNum>
  <w:abstractNum w:abstractNumId="96">
    <w:nsid w:val="2E48F044"/>
    <w:multiLevelType w:val="hybridMultilevel"/>
    <w:lvl w:ilvl="0">
      <w:lvlJc w:val="left"/>
      <w:lvlText w:val="(%1)"/>
      <w:numFmt w:val="lowerRoman"/>
      <w:start w:val="1"/>
    </w:lvl>
  </w:abstractNum>
  <w:abstractNum w:abstractNumId="97">
    <w:nsid w:val="49D0FEAC"/>
    <w:multiLevelType w:val="hybridMultilevel"/>
    <w:lvl w:ilvl="0">
      <w:lvlJc w:val="left"/>
      <w:lvlText w:val="(%1)"/>
      <w:numFmt w:val="lowerLetter"/>
      <w:start w:val="1"/>
    </w:lvl>
  </w:abstractNum>
  <w:abstractNum w:abstractNumId="98">
    <w:nsid w:val="4BEE5A5B"/>
    <w:multiLevelType w:val="hybridMultilevel"/>
    <w:lvl w:ilvl="0">
      <w:lvlJc w:val="left"/>
      <w:lvlText w:val="(%1)"/>
      <w:numFmt w:val="lowerLetter"/>
      <w:start w:val="2"/>
    </w:lvl>
  </w:abstractNum>
  <w:abstractNum w:abstractNumId="99">
    <w:nsid w:val="5551B9F3"/>
    <w:multiLevelType w:val="hybridMultilevel"/>
    <w:lvl w:ilvl="0">
      <w:lvlJc w:val="left"/>
      <w:lvlText w:val="(%1)"/>
      <w:numFmt w:val="lowerLetter"/>
      <w:start w:val="10"/>
    </w:lvl>
  </w:abstractNum>
  <w:abstractNum w:abstractNumId="100">
    <w:nsid w:val="24F6AB8E"/>
    <w:multiLevelType w:val="hybridMultilevel"/>
    <w:lvl w:ilvl="0">
      <w:lvlJc w:val="left"/>
      <w:lvlText w:val="(%1)"/>
      <w:numFmt w:val="lowerRoman"/>
      <w:start w:val="1"/>
    </w:lvl>
  </w:abstractNum>
  <w:abstractNum w:abstractNumId="101">
    <w:nsid w:val="634C574C"/>
    <w:multiLevelType w:val="hybridMultilevel"/>
    <w:lvl w:ilvl="0">
      <w:lvlJc w:val="left"/>
      <w:lvlText w:val="(%1)"/>
      <w:numFmt w:val="lowerLetter"/>
      <w:start w:val="2"/>
    </w:lvl>
  </w:abstractNum>
  <w:abstractNum w:abstractNumId="102">
    <w:nsid w:val="24E99DD7"/>
    <w:multiLevelType w:val="hybridMultilevel"/>
    <w:lvl w:ilvl="0">
      <w:lvlJc w:val="left"/>
      <w:lvlText w:val="%1"/>
      <w:numFmt w:val="lowerRoman"/>
      <w:start w:val="1"/>
    </w:lvl>
    <w:lvl w:ilvl="1">
      <w:lvlJc w:val="left"/>
      <w:lvlText w:val="(%2)"/>
      <w:numFmt w:val="lowerLetter"/>
      <w:start w:val="3"/>
    </w:lvl>
  </w:abstractNum>
  <w:abstractNum w:abstractNumId="103">
    <w:nsid w:val="2A31B62D"/>
    <w:multiLevelType w:val="hybridMultilevel"/>
    <w:lvl w:ilvl="0">
      <w:lvlJc w:val="left"/>
      <w:lvlText w:val="(%1)"/>
      <w:numFmt w:val="lowerRoman"/>
      <w:start w:val="1"/>
    </w:lvl>
    <w:lvl w:ilvl="1">
      <w:lvlJc w:val="left"/>
      <w:lvlText w:val="%2"/>
      <w:numFmt w:val="lowerLetter"/>
      <w:start w:val="1"/>
    </w:lvl>
  </w:abstractNum>
  <w:abstractNum w:abstractNumId="104">
    <w:nsid w:val="1849C29B"/>
    <w:multiLevelType w:val="hybridMultilevel"/>
    <w:lvl w:ilvl="0">
      <w:lvlJc w:val="left"/>
      <w:lvlText w:val="(%1)"/>
      <w:numFmt w:val="lowerRoman"/>
      <w:start w:val="3"/>
    </w:lvl>
  </w:abstractNum>
  <w:abstractNum w:abstractNumId="105">
    <w:nsid w:val="7DFF9D09"/>
    <w:multiLevelType w:val="hybridMultilevel"/>
    <w:lvl w:ilvl="0">
      <w:lvlJc w:val="left"/>
      <w:lvlText w:val="(%1)"/>
      <w:numFmt w:val="lowerRoman"/>
      <w:start w:val="4"/>
    </w:lvl>
  </w:abstractNum>
  <w:abstractNum w:abstractNumId="106">
    <w:nsid w:val="754342"/>
    <w:multiLevelType w:val="hybridMultilevel"/>
    <w:lvl w:ilvl="0">
      <w:lvlJc w:val="left"/>
      <w:lvlText w:val="%1"/>
      <w:numFmt w:val="lowerLetter"/>
      <w:start w:val="1"/>
    </w:lvl>
    <w:lvl w:ilvl="1">
      <w:lvlJc w:val="left"/>
      <w:lvlText w:val="(%2)"/>
      <w:numFmt w:val="lowerLetter"/>
      <w:start w:val="2"/>
    </w:lvl>
  </w:abstractNum>
  <w:abstractNum w:abstractNumId="107">
    <w:nsid w:val="69E7F3E5"/>
    <w:multiLevelType w:val="hybridMultilevel"/>
    <w:lvl w:ilvl="0">
      <w:lvlJc w:val="left"/>
      <w:lvlText w:val="(%1)"/>
      <w:numFmt w:val="lowerLetter"/>
      <w:start w:val="3"/>
    </w:lvl>
    <w:lvl w:ilvl="1">
      <w:lvlJc w:val="left"/>
      <w:lvlText w:val="(%2)"/>
      <w:numFmt w:val="lowerLetter"/>
      <w:start w:val="3"/>
    </w:lvl>
  </w:abstractNum>
  <w:abstractNum w:abstractNumId="108">
    <w:nsid w:val="2A6DE806"/>
    <w:multiLevelType w:val="hybridMultilevel"/>
    <w:lvl w:ilvl="0">
      <w:lvlJc w:val="left"/>
      <w:lvlText w:val="(%1)"/>
      <w:numFmt w:val="lowerLetter"/>
      <w:start w:val="4"/>
    </w:lvl>
  </w:abstractNum>
  <w:abstractNum w:abstractNumId="109">
    <w:nsid w:val="1816F8C4"/>
    <w:multiLevelType w:val="hybridMultilevel"/>
    <w:lvl w:ilvl="0">
      <w:lvlJc w:val="left"/>
      <w:lvlText w:val="(%1)"/>
      <w:numFmt w:val="lowerLetter"/>
      <w:start w:val="1"/>
    </w:lvl>
  </w:abstractNum>
  <w:abstractNum w:abstractNumId="110">
    <w:nsid w:val="37DF2233"/>
    <w:multiLevelType w:val="hybridMultilevel"/>
    <w:lvl w:ilvl="0">
      <w:lvlJc w:val="left"/>
      <w:lvlText w:val="(%1)"/>
      <w:numFmt w:val="lowerLetter"/>
      <w:start w:val="3"/>
    </w:lvl>
  </w:abstractNum>
  <w:abstractNum w:abstractNumId="111">
    <w:nsid w:val="7AB49DAF"/>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112">
    <w:nsid w:val="759F82CD"/>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13">
    <w:nsid w:val="61E74EA3"/>
    <w:multiLevelType w:val="hybridMultilevel"/>
    <w:lvl w:ilvl="0">
      <w:lvlJc w:val="left"/>
      <w:lvlText w:val="(%1)"/>
      <w:numFmt w:val="upperLetter"/>
      <w:start w:val="1"/>
    </w:lvl>
  </w:abstractNum>
  <w:abstractNum w:abstractNumId="114">
    <w:nsid w:val="597B4D84"/>
    <w:multiLevelType w:val="hybridMultilevel"/>
    <w:lvl w:ilvl="0">
      <w:lvlJc w:val="left"/>
      <w:lvlText w:val="(%1)"/>
      <w:numFmt w:val="lowerRoman"/>
      <w:start w:val="3"/>
    </w:lvl>
    <w:lvl w:ilvl="1">
      <w:lvlJc w:val="left"/>
      <w:lvlText w:val="(%2)"/>
      <w:numFmt w:val="lowerLetter"/>
      <w:start w:val="3"/>
    </w:lvl>
  </w:abstractNum>
  <w:abstractNum w:abstractNumId="115">
    <w:nsid w:val="F819E7F"/>
    <w:multiLevelType w:val="hybridMultilevel"/>
    <w:lvl w:ilvl="0">
      <w:lvlJc w:val="left"/>
      <w:lvlText w:val="(%1)"/>
      <w:numFmt w:val="lowerLetter"/>
      <w:start w:val="4"/>
    </w:lvl>
  </w:abstractNum>
  <w:abstractNum w:abstractNumId="116">
    <w:nsid w:val="57C7D42D"/>
    <w:multiLevelType w:val="hybridMultilevel"/>
    <w:lvl w:ilvl="0">
      <w:lvlJc w:val="left"/>
      <w:lvlText w:val="(%1)"/>
      <w:numFmt w:val="lowerLetter"/>
      <w:start w:val="1"/>
    </w:lvl>
  </w:abstractNum>
  <w:abstractNum w:abstractNumId="117">
    <w:nsid w:val="312167AD"/>
    <w:multiLevelType w:val="hybridMultilevel"/>
    <w:lvl w:ilvl="0">
      <w:lvlJc w:val="left"/>
      <w:lvlText w:val="(%1)"/>
      <w:numFmt w:val="lowerLetter"/>
      <w:start w:val="2"/>
    </w:lvl>
  </w:abstractNum>
  <w:abstractNum w:abstractNumId="118">
    <w:nsid w:val="631B64D4"/>
    <w:multiLevelType w:val="hybridMultilevel"/>
    <w:lvl w:ilvl="0">
      <w:lvlJc w:val="left"/>
      <w:lvlText w:val="(%1)"/>
      <w:numFmt w:val="lowerLetter"/>
      <w:start w:val="4"/>
    </w:lvl>
  </w:abstractNum>
  <w:abstractNum w:abstractNumId="119">
    <w:nsid w:val="78B5E776"/>
    <w:multiLevelType w:val="hybridMultilevel"/>
    <w:lvl w:ilvl="0">
      <w:lvlJc w:val="left"/>
      <w:lvlText w:val="(%1)"/>
      <w:numFmt w:val="upperLetter"/>
      <w:start w:val="2"/>
    </w:lvl>
  </w:abstractNum>
  <w:abstractNum w:abstractNumId="120">
    <w:nsid w:val="75486E47"/>
    <w:multiLevelType w:val="hybridMultilevel"/>
    <w:lvl w:ilvl="0">
      <w:lvlJc w:val="left"/>
      <w:lvlText w:val="(%1)"/>
      <w:numFmt w:val="lowerLetter"/>
      <w:start w:val="4"/>
    </w:lvl>
  </w:abstractNum>
  <w:abstractNum w:abstractNumId="121">
    <w:nsid w:val="6E534CDE"/>
    <w:multiLevelType w:val="hybridMultilevel"/>
    <w:lvl w:ilvl="0">
      <w:lvlJc w:val="left"/>
      <w:lvlText w:val="(%1)"/>
      <w:numFmt w:val="lowerLetter"/>
      <w:start w:val="7"/>
    </w:lvl>
  </w:abstractNum>
  <w:abstractNum w:abstractNumId="122">
    <w:nsid w:val="1A0DDE32"/>
    <w:multiLevelType w:val="hybridMultilevel"/>
    <w:lvl w:ilvl="0">
      <w:lvlJc w:val="left"/>
      <w:lvlText w:val="%1"/>
      <w:numFmt w:val="lowerRoman"/>
      <w:start w:val="1"/>
    </w:lvl>
    <w:lvl w:ilvl="1">
      <w:lvlJc w:val="left"/>
      <w:lvlText w:val="(%2)"/>
      <w:numFmt w:val="lowerLetter"/>
      <w:start w:val="1"/>
    </w:lvl>
  </w:abstractNum>
  <w:abstractNum w:abstractNumId="123">
    <w:nsid w:val="65968C1C"/>
    <w:multiLevelType w:val="hybridMultilevel"/>
    <w:lvl w:ilvl="0">
      <w:lvlJc w:val="left"/>
      <w:lvlText w:val="(%1)"/>
      <w:numFmt w:val="lowerRoman"/>
      <w:start w:val="1"/>
    </w:lvl>
    <w:lvl w:ilvl="1">
      <w:lvlJc w:val="left"/>
      <w:lvlText w:val="%2"/>
      <w:numFmt w:val="lowerLetter"/>
      <w:start w:val="1"/>
    </w:lvl>
  </w:abstractNum>
  <w:abstractNum w:abstractNumId="124">
    <w:nsid w:val="46263DEC"/>
    <w:multiLevelType w:val="hybridMultilevel"/>
    <w:lvl w:ilvl="0">
      <w:lvlJc w:val="left"/>
      <w:lvlText w:val="(%1)"/>
      <w:numFmt w:val="lowerRoman"/>
      <w:start w:val="1"/>
    </w:lvl>
  </w:abstractNum>
  <w:abstractNum w:abstractNumId="125">
    <w:nsid w:val="260D8C4A"/>
    <w:multiLevelType w:val="hybridMultilevel"/>
    <w:lvl w:ilvl="0">
      <w:lvlJc w:val="left"/>
      <w:lvlText w:val="%1"/>
      <w:numFmt w:val="lowerRoman"/>
      <w:start w:val="1"/>
    </w:lvl>
    <w:lvl w:ilvl="1">
      <w:lvlJc w:val="left"/>
      <w:lvlText w:val="(%2)"/>
      <w:numFmt w:val="lowerRoman"/>
      <w:start w:val="4"/>
    </w:lvl>
    <w:lvl w:ilvl="2">
      <w:lvlJc w:val="left"/>
      <w:lvlText w:val="(%3)"/>
      <w:numFmt w:val="lowerLetter"/>
      <w:start w:val="2"/>
    </w:lvl>
  </w:abstractNum>
  <w:abstractNum w:abstractNumId="126">
    <w:nsid w:val="73D4D3C4"/>
    <w:multiLevelType w:val="hybridMultilevel"/>
    <w:lvl w:ilvl="0">
      <w:lvlJc w:val="left"/>
      <w:lvlText w:val="(%1)"/>
      <w:numFmt w:val="lowerRoman"/>
      <w:start w:val="10"/>
    </w:lvl>
    <w:lvl w:ilvl="1">
      <w:lvlJc w:val="left"/>
      <w:lvlText w:val="%2"/>
      <w:numFmt w:val="lowerRoman"/>
      <w:start w:val="1"/>
    </w:lvl>
    <w:lvl w:ilvl="2">
      <w:lvlJc w:val="left"/>
      <w:lvlText w:val="%3"/>
      <w:numFmt w:val="lowerLetter"/>
      <w:start w:val="1"/>
    </w:lvl>
  </w:abstractNum>
  <w:abstractNum w:abstractNumId="127">
    <w:nsid w:val="746F2E30"/>
    <w:multiLevelType w:val="hybridMultilevel"/>
    <w:lvl w:ilvl="0">
      <w:lvlJc w:val="left"/>
      <w:lvlText w:val="•"/>
      <w:numFmt w:val="bullet"/>
      <w:start w:val="1"/>
    </w:lvl>
  </w:abstractNum>
  <w:abstractNum w:abstractNumId="128">
    <w:nsid w:val="6FDE8AF6"/>
    <w:multiLevelType w:val="hybridMultilevel"/>
    <w:lvl w:ilvl="0">
      <w:lvlJc w:val="left"/>
      <w:lvlText w:val="%1."/>
      <w:numFmt w:val="decimal"/>
      <w:start w:val="1"/>
    </w:lvl>
  </w:abstractNum>
  <w:abstractNum w:abstractNumId="129">
    <w:nsid w:val="3FC32E20"/>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30">
    <w:nsid w:val="49C0E823"/>
    <w:multiLevelType w:val="hybridMultilevel"/>
    <w:lvl w:ilvl="0">
      <w:lvlJc w:val="left"/>
      <w:lvlText w:val="%1."/>
      <w:numFmt w:val="decimal"/>
      <w:start w:val="6"/>
    </w:lvl>
    <w:lvl w:ilvl="1">
      <w:lvlJc w:val="left"/>
      <w:lvlText w:val="(%2)"/>
      <w:numFmt w:val="lowerLetter"/>
      <w:start w:val="1"/>
    </w:lvl>
  </w:abstractNum>
  <w:abstractNum w:abstractNumId="131">
    <w:nsid w:val="14D53685"/>
    <w:multiLevelType w:val="hybridMultilevel"/>
    <w:lvl w:ilvl="0">
      <w:lvlJc w:val="left"/>
      <w:lvlText w:val="%1."/>
      <w:numFmt w:val="decimal"/>
      <w:start w:val="10"/>
    </w:lvl>
    <w:lvl w:ilvl="1">
      <w:lvlJc w:val="left"/>
      <w:lvlText w:val="-"/>
      <w:numFmt w:val="bullet"/>
      <w:start w:val="1"/>
    </w:lvl>
  </w:abstractNum>
  <w:abstractNum w:abstractNumId="132">
    <w:nsid w:val="230F856C"/>
    <w:multiLevelType w:val="hybridMultilevel"/>
    <w:lvl w:ilvl="0">
      <w:lvlJc w:val="left"/>
      <w:lvlText w:val="%1."/>
      <w:numFmt w:val="decimal"/>
      <w:start w:val="12"/>
    </w:lvl>
  </w:abstractNum>
  <w:abstractNum w:abstractNumId="133">
    <w:nsid w:val="6EAA85FB"/>
    <w:multiLevelType w:val="hybridMultilevel"/>
    <w:lvl w:ilvl="0">
      <w:lvlJc w:val="left"/>
      <w:lvlText w:val="%1."/>
      <w:numFmt w:val="decimal"/>
      <w:start w:val="1"/>
    </w:lvl>
  </w:abstractNum>
  <w:abstractNum w:abstractNumId="134">
    <w:nsid w:val="3F06ECB2"/>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35">
    <w:nsid w:val="3B594807"/>
    <w:multiLevelType w:val="hybridMultilevel"/>
    <w:lvl w:ilvl="0">
      <w:lvlJc w:val="left"/>
      <w:lvlText w:val="%1"/>
      <w:numFmt w:val="decimal"/>
      <w:start w:val="1"/>
    </w:lvl>
    <w:lvl w:ilvl="1">
      <w:lvlJc w:val="left"/>
      <w:lvlText w:val="(%2)"/>
      <w:numFmt w:val="lowerLetter"/>
      <w:start w:val="2"/>
    </w:lvl>
  </w:abstractNum>
  <w:abstractNum w:abstractNumId="136">
    <w:nsid w:val="6CAA2304"/>
    <w:multiLevelType w:val="hybridMultilevel"/>
    <w:lvl w:ilvl="0">
      <w:lvlJc w:val="left"/>
      <w:lvlText w:val="%1."/>
      <w:numFmt w:val="decimal"/>
      <w:start w:val="7"/>
    </w:lvl>
    <w:lvl w:ilvl="1">
      <w:lvlJc w:val="left"/>
      <w:lvlText w:val="%2"/>
      <w:numFmt w:val="lowerLetter"/>
      <w:start w:val="1"/>
    </w:lvl>
  </w:abstractNum>
  <w:abstractNum w:abstractNumId="137">
    <w:nsid w:val="3F7C2FF4"/>
    <w:multiLevelType w:val="hybridMultilevel"/>
    <w:lvl w:ilvl="0">
      <w:lvlJc w:val="left"/>
      <w:lvlText w:val="%1."/>
      <w:numFmt w:val="decimal"/>
      <w:start w:val="8"/>
    </w:lvl>
  </w:abstractNum>
  <w:abstractNum w:abstractNumId="138">
    <w:nsid w:val="25413BEC"/>
    <w:multiLevelType w:val="hybridMultilevel"/>
    <w:lvl w:ilvl="0">
      <w:lvlJc w:val="left"/>
      <w:lvlText w:val="%1."/>
      <w:numFmt w:val="decimal"/>
      <w:start w:val="1"/>
    </w:lvl>
  </w:abstractNum>
  <w:abstractNum w:abstractNumId="139">
    <w:nsid w:val="17180B0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40">
    <w:nsid w:val="579328B9"/>
    <w:multiLevelType w:val="hybridMultilevel"/>
    <w:lvl w:ilvl="0">
      <w:lvlJc w:val="left"/>
      <w:lvlText w:val="%1"/>
      <w:numFmt w:val="decimal"/>
      <w:start w:val="1"/>
    </w:lvl>
    <w:lvl w:ilvl="1">
      <w:lvlJc w:val="left"/>
      <w:lvlText w:val="(%2)"/>
      <w:numFmt w:val="lowerLetter"/>
      <w:start w:val="2"/>
    </w:lvl>
  </w:abstractNum>
  <w:abstractNum w:abstractNumId="141">
    <w:nsid w:val="5D205E20"/>
    <w:multiLevelType w:val="hybridMultilevel"/>
    <w:lvl w:ilvl="0">
      <w:lvlJc w:val="left"/>
      <w:lvlText w:val="%1."/>
      <w:numFmt w:val="decimal"/>
      <w:start w:val="7"/>
    </w:lvl>
    <w:lvl w:ilvl="1">
      <w:lvlJc w:val="left"/>
      <w:lvlText w:val="%2"/>
      <w:numFmt w:val="lowerLetter"/>
      <w:start w:val="1"/>
    </w:lvl>
  </w:abstractNum>
  <w:abstractNum w:abstractNumId="142">
    <w:nsid w:val="11CCA8BA"/>
    <w:multiLevelType w:val="hybridMultilevel"/>
    <w:lvl w:ilvl="0">
      <w:lvlJc w:val="left"/>
      <w:lvlText w:val="%1."/>
      <w:numFmt w:val="decimal"/>
      <w:start w:val="8"/>
    </w:lvl>
  </w:abstractNum>
  <w:abstractNum w:abstractNumId="143">
    <w:nsid w:val="4D32AB86"/>
    <w:multiLevelType w:val="hybridMultilevel"/>
    <w:lvl w:ilvl="0">
      <w:lvlJc w:val="left"/>
      <w:lvlText w:val="%1."/>
      <w:numFmt w:val="decimal"/>
      <w:start w:val="1"/>
    </w:lvl>
  </w:abstractNum>
  <w:abstractNum w:abstractNumId="144">
    <w:nsid w:val="3F07ACC3"/>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145">
    <w:nsid w:val="6B47F63E"/>
    <w:multiLevelType w:val="hybridMultilevel"/>
    <w:lvl w:ilvl="0">
      <w:lvlJc w:val="left"/>
      <w:lvlText w:val="%1."/>
      <w:numFmt w:val="decimal"/>
      <w:start w:val="6"/>
    </w:lvl>
    <w:lvl w:ilvl="1">
      <w:lvlJc w:val="left"/>
      <w:lvlText w:val="(%2)"/>
      <w:numFmt w:val="lowerLetter"/>
      <w:start w:val="1"/>
    </w:lvl>
  </w:abstractNum>
  <w:abstractNum w:abstractNumId="146">
    <w:nsid w:val="5CB44A05"/>
    <w:multiLevelType w:val="hybridMultilevel"/>
    <w:lvl w:ilvl="0">
      <w:lvlJc w:val="left"/>
      <w:lvlText w:val="%1."/>
      <w:numFmt w:val="decimal"/>
      <w:start w:val="10"/>
    </w:lvl>
    <w:lvl w:ilvl="1">
      <w:lvlJc w:val="left"/>
      <w:lvlText w:val="-"/>
      <w:numFmt w:val="bullet"/>
      <w:start w:val="1"/>
    </w:lvl>
  </w:abstractNum>
  <w:abstractNum w:abstractNumId="147">
    <w:nsid w:val="16CF80F1"/>
    <w:multiLevelType w:val="hybridMultilevel"/>
    <w:lvl w:ilvl="0">
      <w:lvlJc w:val="left"/>
      <w:lvlText w:val="%1."/>
      <w:numFmt w:val="decimal"/>
      <w:start w:val="12"/>
    </w:lvl>
  </w:abstractNum>
  <w:abstractNum w:abstractNumId="148">
    <w:nsid w:val="1C695DEC"/>
    <w:multiLevelType w:val="hybridMultilevel"/>
    <w:lvl w:ilvl="0">
      <w:lvlJc w:val="left"/>
      <w:lvlText w:val="%1."/>
      <w:numFmt w:val="decimal"/>
      <w:start w:val="1"/>
    </w:lvl>
  </w:abstractNum>
  <w:abstractNum w:abstractNumId="149">
    <w:nsid w:val="3FCFAED9"/>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50">
    <w:nsid w:val="F856867"/>
    <w:multiLevelType w:val="hybridMultilevel"/>
    <w:lvl w:ilvl="0">
      <w:lvlJc w:val="left"/>
      <w:lvlText w:val="%1"/>
      <w:numFmt w:val="decimal"/>
      <w:start w:val="1"/>
    </w:lvl>
    <w:lvl w:ilvl="1">
      <w:lvlJc w:val="left"/>
      <w:lvlText w:val="(%2)"/>
      <w:numFmt w:val="lowerLetter"/>
      <w:start w:val="2"/>
    </w:lvl>
  </w:abstractNum>
  <w:abstractNum w:abstractNumId="151">
    <w:nsid w:val="11B1CC33"/>
    <w:multiLevelType w:val="hybridMultilevel"/>
    <w:lvl w:ilvl="0">
      <w:lvlJc w:val="left"/>
      <w:lvlText w:val="%1."/>
      <w:numFmt w:val="decimal"/>
      <w:start w:val="7"/>
    </w:lvl>
    <w:lvl w:ilvl="1">
      <w:lvlJc w:val="left"/>
      <w:lvlText w:val="%2"/>
      <w:numFmt w:val="lowerLetter"/>
      <w:start w:val="1"/>
    </w:lvl>
  </w:abstractNum>
  <w:abstractNum w:abstractNumId="152">
    <w:nsid w:val="2E22FBB7"/>
    <w:multiLevelType w:val="hybridMultilevel"/>
    <w:lvl w:ilvl="0">
      <w:lvlJc w:val="left"/>
      <w:lvlText w:val="%1."/>
      <w:numFmt w:val="decimal"/>
      <w:start w:val="8"/>
    </w:lvl>
  </w:abstractNum>
  <w:abstractNum w:abstractNumId="153">
    <w:nsid w:val="29934699"/>
    <w:multiLevelType w:val="hybridMultilevel"/>
    <w:lvl w:ilvl="0">
      <w:lvlJc w:val="left"/>
      <w:lvlText w:val="%1."/>
      <w:numFmt w:val="decimal"/>
      <w:start w:val="1"/>
    </w:lvl>
  </w:abstractNum>
  <w:abstractNum w:abstractNumId="154">
    <w:nsid w:val="77485850"/>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55">
    <w:nsid w:val="744939A3"/>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56">
    <w:nsid w:val="4FA0D2E3"/>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57">
    <w:nsid w:val="6B1D2C14"/>
    <w:multiLevelType w:val="hybridMultilevel"/>
    <w:lvl w:ilvl="0">
      <w:lvlJc w:val="left"/>
      <w:lvlText w:val="%1."/>
      <w:numFmt w:val="decimal"/>
      <w:start w:val="7"/>
    </w:lvl>
  </w:abstractNum>
  <w:abstractNum w:abstractNumId="158">
    <w:nsid w:val="68B867D3"/>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lvl w:ilvl="3">
      <w:lvlJc w:val="left"/>
      <w:lvlText w:val="-"/>
      <w:numFmt w:val="bullet"/>
      <w:start w:val="1"/>
    </w:lvl>
  </w:abstractNum>
  <w:abstractNum w:abstractNumId="159">
    <w:nsid w:val="3F7F5DD9"/>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60">
    <w:nsid w:val="2AE05A34"/>
    <w:multiLevelType w:val="hybridMultilevel"/>
    <w:lvl w:ilvl="0">
      <w:lvlJc w:val="left"/>
      <w:lvlText w:val="%1."/>
      <w:numFmt w:val="decimal"/>
      <w:start w:val="1"/>
    </w:lvl>
  </w:abstractNum>
  <w:abstractNum w:abstractNumId="161">
    <w:nsid w:val="32794FF7"/>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62">
    <w:nsid w:val="5454945E"/>
    <w:multiLevelType w:val="hybridMultilevel"/>
    <w:lvl w:ilvl="0">
      <w:lvlJc w:val="left"/>
      <w:lvlText w:val="%1"/>
      <w:numFmt w:val="decimal"/>
      <w:start w:val="1"/>
    </w:lvl>
    <w:lvl w:ilvl="1">
      <w:lvlJc w:val="left"/>
      <w:lvlText w:val="(%2)"/>
      <w:numFmt w:val="lowerLetter"/>
      <w:start w:val="1"/>
    </w:lvl>
  </w:abstractNum>
  <w:abstractNum w:abstractNumId="163">
    <w:nsid w:val="4DEFDFA0"/>
    <w:multiLevelType w:val="hybridMultilevel"/>
    <w:lvl w:ilvl="0">
      <w:lvlJc w:val="left"/>
      <w:lvlText w:val="%1."/>
      <w:numFmt w:val="decimal"/>
      <w:start w:val="7"/>
    </w:lvl>
    <w:lvl w:ilvl="1">
      <w:lvlJc w:val="left"/>
      <w:lvlText w:val="%2"/>
      <w:numFmt w:val="lowerLetter"/>
      <w:start w:val="1"/>
    </w:lvl>
  </w:abstractNum>
  <w:abstractNum w:abstractNumId="164">
    <w:nsid w:val="2123D5F2"/>
    <w:multiLevelType w:val="hybridMultilevel"/>
    <w:lvl w:ilvl="0">
      <w:lvlJc w:val="left"/>
      <w:lvlText w:val="%1."/>
      <w:numFmt w:val="decimal"/>
      <w:start w:val="8"/>
    </w:lvl>
  </w:abstractNum>
  <w:abstractNum w:abstractNumId="165">
    <w:nsid w:val="135B8110"/>
    <w:multiLevelType w:val="hybridMultilevel"/>
    <w:lvl w:ilvl="0">
      <w:lvlJc w:val="left"/>
      <w:lvlText w:val="%1."/>
      <w:numFmt w:val="decimal"/>
      <w:start w:val="1"/>
    </w:lvl>
  </w:abstractNum>
  <w:abstractNum w:abstractNumId="166">
    <w:nsid w:val="94927A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167">
    <w:nsid w:val="DCDF8F6"/>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168">
    <w:nsid w:val="52D7B105"/>
    <w:multiLevelType w:val="hybridMultilevel"/>
    <w:lvl w:ilvl="0">
      <w:lvlJc w:val="left"/>
      <w:lvlText w:val="%1"/>
      <w:numFmt w:val="decimal"/>
      <w:start w:val="1"/>
    </w:lvl>
    <w:lvl w:ilvl="1">
      <w:lvlJc w:val="left"/>
      <w:lvlText w:val="(%2)"/>
      <w:numFmt w:val="lowerLetter"/>
      <w:start w:val="8"/>
    </w:lvl>
  </w:abstractNum>
  <w:abstractNum w:abstractNumId="169">
    <w:nsid w:val="2E8A6394"/>
    <w:multiLevelType w:val="hybridMultilevel"/>
    <w:lvl w:ilvl="0">
      <w:lvlJc w:val="left"/>
      <w:lvlText w:val="%1."/>
      <w:numFmt w:val="decimal"/>
      <w:start w:val="6"/>
    </w:lvl>
    <w:lvl w:ilvl="1">
      <w:lvlJc w:val="left"/>
      <w:lvlText w:val="(%2)"/>
      <w:numFmt w:val="lowerLetter"/>
      <w:start w:val="1"/>
    </w:lvl>
  </w:abstractNum>
  <w:abstractNum w:abstractNumId="170">
    <w:nsid w:val="24E60401"/>
    <w:multiLevelType w:val="hybridMultilevel"/>
    <w:lvl w:ilvl="0">
      <w:lvlJc w:val="left"/>
      <w:lvlText w:val="%1."/>
      <w:numFmt w:val="decimal"/>
      <w:start w:val="8"/>
    </w:lvl>
    <w:lvl w:ilvl="1">
      <w:lvlJc w:val="left"/>
      <w:lvlText w:val="-"/>
      <w:numFmt w:val="bullet"/>
      <w:start w:val="1"/>
    </w:lvl>
  </w:abstractNum>
  <w:abstractNum w:abstractNumId="171">
    <w:nsid w:val="2A6AD9BE"/>
    <w:multiLevelType w:val="hybridMultilevel"/>
    <w:lvl w:ilvl="0">
      <w:lvlJc w:val="left"/>
      <w:lvlText w:val="(%1)"/>
      <w:numFmt w:val="decimal"/>
      <w:start w:val="646"/>
    </w:lvl>
  </w:abstractNum>
  <w:abstractNum w:abstractNumId="172">
    <w:nsid w:val="BAAC1B4"/>
    <w:multiLevelType w:val="hybridMultilevel"/>
    <w:lvl w:ilvl="0">
      <w:lvlJc w:val="left"/>
      <w:lvlText w:val="(%1)"/>
      <w:numFmt w:val="decimal"/>
      <w:start w:val="646"/>
    </w:lvl>
  </w:abstractNum>
  <w:abstractNum w:abstractNumId="173">
    <w:nsid w:val="36B2ACBC"/>
    <w:multiLevelType w:val="hybridMultilevel"/>
    <w:lvl w:ilvl="0">
      <w:lvlJc w:val="left"/>
      <w:lvlText w:val="(%1)"/>
      <w:numFmt w:val="decimal"/>
      <w:start w:val="646"/>
    </w:lvl>
  </w:abstractNum>
  <w:abstractNum w:abstractNumId="174">
    <w:nsid w:val="779D8544"/>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jpe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jpe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jpe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jpe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2" Type="http://schemas.openxmlformats.org/officeDocument/2006/relationships/hyperlink" Target="http://www.sec.gov/Archives/edgar/data/0000946581/000119312522005771/d282059dex21.htm" TargetMode="External"/><Relationship Id="rId23" Type="http://schemas.openxmlformats.org/officeDocument/2006/relationships/hyperlink" Target="http://www.sec.gov/Archives/edgar/data/0000946581/000119312522073594/d420326dex22.htm" TargetMode="External"/><Relationship Id="rId24" Type="http://schemas.openxmlformats.org/officeDocument/2006/relationships/hyperlink" Target="http://www.sec.gov/Archives/edgar/data/0000946581/000119312522141376/d356480dex21.htm" TargetMode="External"/><Relationship Id="rId26" Type="http://schemas.openxmlformats.org/officeDocument/2006/relationships/hyperlink" Target="http://www.sec.gov/Archives/edgar/data/1439404/000119312522156900/d303776dex41.htm" TargetMode="External"/><Relationship Id="rId27" Type="http://schemas.openxmlformats.org/officeDocument/2006/relationships/hyperlink" Target="http://www.sec.gov/Archives/edgar/data/1439404/000119312522156900/d30377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2022-05-26T05:15:00Z</dcterms:created>
  <dcterms:modified xsi:type="dcterms:W3CDTF">2022-05-26T05:15:00Z</dcterms:modified>
</cp:coreProperties>
</file>