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Viera Paul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TAKE-TWO INTERACTIVE SOFTWARE,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WEST 44TH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TAKE TWO INTERACTIVE SOFTWARE INC</w:t>
              </w:r>
            </w:hyperlink>
            <w:r>
              <w:rPr/>
              <w:t xml:space="preserve"> [ </w:t>
            </w:r>
            <w:r>
              <w:rPr>
                <w:rFonts w:ascii="Times;serif" w:hAnsi="Times;serif"/>
                <w:color w:val="0000FF"/>
                <w:sz w:val="24"/>
                <w:shd w:fill="FFFFFF" w:val="clear"/>
              </w:rPr>
              <w:t>TTWO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3"/>
        <w:gridCol w:w="934"/>
        <w:gridCol w:w="801"/>
        <w:gridCol w:w="620"/>
        <w:gridCol w:w="352"/>
        <w:gridCol w:w="797"/>
        <w:gridCol w:w="445"/>
        <w:gridCol w:w="614"/>
        <w:gridCol w:w="1162"/>
        <w:gridCol w:w="1002"/>
        <w:gridCol w:w="12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w:t>
            </w:r>
            <w:r>
              <w:rPr>
                <w:rFonts w:ascii="Times;serif" w:hAnsi="Times;serif"/>
                <w:color w:val="008000"/>
                <w:position w:val="7"/>
                <w:sz w:val="16"/>
                <w:sz w:val="20"/>
                <w:shd w:fill="FFFFFF" w:val="clear"/>
              </w:rPr>
              <w:t>(1)</w:t>
            </w:r>
            <w:r>
              <w:rPr/>
              <w:t xml:space="preserve"> </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Earnest Institutional LLC</w:t>
            </w:r>
            <w:r>
              <w:rPr>
                <w:rFonts w:ascii="Times;serif" w:hAnsi="Times;serif"/>
                <w:color w:val="008000"/>
                <w:position w:val="7"/>
                <w:sz w:val="16"/>
                <w:sz w:val="20"/>
                <w:shd w:fill="FFFFFF" w:val="clear"/>
              </w:rPr>
              <w:t>(2)</w:t>
            </w:r>
            <w:r>
              <w:rPr/>
              <w:t xml:space="preserve"> </w:t>
            </w:r>
          </w:p>
        </w:tc>
      </w:tr>
      <w:tr>
        <w:trPr/>
        <w:tc>
          <w:tcPr>
            <w:tcW w:w="22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PEV Revocable Living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under the Issuer's Amended and Restated Take-Two Interactive Software, Inc. 2017 Stock Incentive Plan in lieu of the quarterly non-employee director cash retainer and applicable committee fees at the election of the Reporting Person, which shares were fully vested upon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75,000 shares of Common Stock held by The PEV Revocable Living Trust (such securities are indirectly held by Mr. Viera).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Diamond, attorney-in-fact for Mr. Paul Viera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087" TargetMode="External"/><Relationship Id="rId5" Type="http://schemas.openxmlformats.org/officeDocument/2006/relationships/hyperlink" Target="http://www.sec.gov/cgi-bin/browse-edgar?action=getcompany&amp;CIK=000094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3889</Characters>
  <CharactersWithSpaces>4541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