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6, 2025</w:t>
      </w:r>
    </w:p>
    <w:p>
      <w:pPr>
        <w:spacing w:after="0" w:line="2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TAKE-TWO INTERACTIVE SOFTWARE,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00"/>
          </w:cols>
          <w:pgMar w:left="320" w:top="1440" w:right="379" w:bottom="1440" w:gutter="0" w:footer="0" w:header="0"/>
        </w:sectPr>
      </w:pPr>
    </w:p>
    <w:p>
      <w:pPr>
        <w:spacing w:after="0" w:line="25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auto"/>
        </w:rPr>
        <w:t>001-34003</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51-0350842</w:t>
      </w:r>
    </w:p>
    <w:p>
      <w:pPr>
        <w:spacing w:after="0" w:line="79" w:lineRule="exact"/>
        <w:rPr>
          <w:sz w:val="24"/>
          <w:szCs w:val="24"/>
          <w:color w:val="auto"/>
        </w:rPr>
      </w:pPr>
    </w:p>
    <w:p>
      <w:pPr>
        <w:sectPr>
          <w:pgSz w:w="11900" w:h="16838" w:orient="portrait"/>
          <w:cols w:equalWidth="0" w:num="3">
            <w:col w:w="4380" w:space="720"/>
            <w:col w:w="2940" w:space="720"/>
            <w:col w:w="2440"/>
          </w:cols>
          <w:pgMar w:left="320" w:top="1440" w:right="37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w:t>
      </w:r>
    </w:p>
    <w:p>
      <w:pPr>
        <w:spacing w:after="0" w:line="63" w:lineRule="exact"/>
        <w:rPr>
          <w:sz w:val="24"/>
          <w:szCs w:val="24"/>
          <w:color w:val="auto"/>
        </w:rPr>
      </w:pPr>
    </w:p>
    <w:p>
      <w:pPr>
        <w:sectPr>
          <w:pgSz w:w="11900" w:h="16838" w:orient="portrait"/>
          <w:cols w:equalWidth="0" w:num="3">
            <w:col w:w="4300" w:space="720"/>
            <w:col w:w="2900" w:space="720"/>
            <w:col w:w="2560"/>
          </w:cols>
          <w:pgMar w:left="320" w:top="1440" w:right="37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of incorporation)</w:t>
      </w:r>
    </w:p>
    <w:p>
      <w:pPr>
        <w:spacing w:after="0" w:line="20" w:lineRule="exact"/>
        <w:rPr>
          <w:sz w:val="24"/>
          <w:szCs w:val="24"/>
          <w:color w:val="auto"/>
        </w:rPr>
      </w:pPr>
      <w:r>
        <w:rPr>
          <w:sz w:val="24"/>
          <w:szCs w:val="24"/>
          <w:color w:val="auto"/>
        </w:rPr>
        <w:br w:type="column"/>
      </w:r>
    </w:p>
    <w:p>
      <w:pPr>
        <w:jc w:val="center"/>
        <w:ind w:right="18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280" w:space="720"/>
            <w:col w:w="2800" w:space="720"/>
            <w:col w:w="2680"/>
          </w:cols>
          <w:pgMar w:left="320" w:top="1440" w:right="379" w:bottom="1440" w:gutter="0" w:footer="0" w:header="0"/>
          <w:type w:val="continuous"/>
        </w:sectPr>
      </w:pPr>
    </w:p>
    <w:p>
      <w:pPr>
        <w:spacing w:after="0" w:line="75" w:lineRule="exact"/>
        <w:rPr>
          <w:sz w:val="24"/>
          <w:szCs w:val="24"/>
          <w:color w:val="auto"/>
        </w:rPr>
      </w:pPr>
    </w:p>
    <w:p>
      <w:pPr>
        <w:ind w:left="1480"/>
        <w:spacing w:after="0"/>
        <w:tabs>
          <w:tab w:leader="none" w:pos="3240" w:val="left"/>
          <w:tab w:leader="none" w:pos="4240" w:val="left"/>
        </w:tabs>
        <w:rPr>
          <w:sz w:val="20"/>
          <w:szCs w:val="20"/>
          <w:color w:val="auto"/>
        </w:rPr>
      </w:pPr>
      <w:r>
        <w:rPr>
          <w:rFonts w:ascii="Times New Roman" w:cs="Times New Roman" w:eastAsia="Times New Roman" w:hAnsi="Times New Roman"/>
          <w:sz w:val="18"/>
          <w:szCs w:val="18"/>
          <w:b w:val="1"/>
          <w:bCs w:val="1"/>
          <w:color w:val="auto"/>
        </w:rPr>
        <w:t>110 West 44th Street,</w:t>
        <w:tab/>
        <w:t>New York,</w:t>
      </w:r>
      <w:r>
        <w:rPr>
          <w:sz w:val="20"/>
          <w:szCs w:val="20"/>
          <w:color w:val="auto"/>
        </w:rPr>
        <w:tab/>
      </w: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10036</w:t>
      </w:r>
    </w:p>
    <w:p>
      <w:pPr>
        <w:spacing w:after="0" w:line="78" w:lineRule="exact"/>
        <w:rPr>
          <w:sz w:val="24"/>
          <w:szCs w:val="24"/>
          <w:color w:val="auto"/>
        </w:rPr>
      </w:pPr>
    </w:p>
    <w:p>
      <w:pPr>
        <w:sectPr>
          <w:pgSz w:w="11900" w:h="16838" w:orient="portrait"/>
          <w:cols w:equalWidth="0" w:num="2">
            <w:col w:w="6540" w:space="720"/>
            <w:col w:w="3940"/>
          </w:cols>
          <w:pgMar w:left="320" w:top="1440" w:right="37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360" w:space="720"/>
            <w:col w:w="4120"/>
          </w:cols>
          <w:pgMar w:left="320" w:top="1440" w:right="379" w:bottom="1440" w:gutter="0" w:footer="0" w:header="0"/>
          <w:type w:val="continuous"/>
        </w:sectPr>
      </w:pPr>
    </w:p>
    <w:p>
      <w:pPr>
        <w:spacing w:after="0" w:line="2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536-2842</w:t>
      </w:r>
    </w:p>
    <w:p>
      <w:pPr>
        <w:spacing w:after="0" w:line="2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529"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TTWO</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11" w:lineRule="exact"/>
        <w:rPr>
          <w:sz w:val="24"/>
          <w:szCs w:val="24"/>
          <w:color w:val="auto"/>
        </w:rPr>
      </w:pPr>
    </w:p>
    <w:p>
      <w:pPr>
        <w:ind w:right="420" w:firstLine="4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 w:name="page2"/>
    <w:bookmarkEnd w:id="1"/>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3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6, 2025, Take-Two Interactive Software, Inc. (the “Company”) issued a press release announcing the financial results of the Company for its second fiscal quarter ended September 30, 2025. A copy of the press release is attached to this Current Report as Exhibit 99.1 and is incorporated by reference herein.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including Exhibit 99.1 hereto, that is furnished pursuant to this Item 2.02 shall not be deemed to be “filed” for the purposes of Section 18 of the Securities Exchange Act of 1934, as amended, or otherwise subject to the liabilities of that section or Sections 11 and 12(a)(2) of the Securities Act of 1933, as amended. In addition, the information included in this Current Report on Form 8-K, including Exhibit 99.1 hereto, that is furnished pursuant to this Item 2.02 shall not be incorporated by reference into any filing of the Company, whether made before or after the date hereof, regardless of any general incorporation language in such filing, unless expressly incorporated by specific reference into such filing.</w:t>
      </w:r>
    </w:p>
    <w:p>
      <w:pPr>
        <w:spacing w:after="0" w:line="264"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00" w:lineRule="exact"/>
        <w:rPr>
          <w:sz w:val="20"/>
          <w:szCs w:val="20"/>
          <w:color w:val="auto"/>
        </w:rPr>
      </w:pPr>
    </w:p>
    <w:p>
      <w:pPr>
        <w:spacing w:after="0" w:line="205" w:lineRule="exact"/>
        <w:rPr>
          <w:sz w:val="20"/>
          <w:szCs w:val="20"/>
          <w:color w:val="auto"/>
        </w:rPr>
      </w:pPr>
    </w:p>
    <w:p>
      <w:pPr>
        <w:ind w:left="1120" w:hanging="67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33" w:lineRule="exact"/>
        <w:rPr>
          <w:rFonts w:ascii="Times New Roman" w:cs="Times New Roman" w:eastAsia="Times New Roman" w:hAnsi="Times New Roman"/>
          <w:sz w:val="18"/>
          <w:szCs w:val="18"/>
          <w:color w:val="auto"/>
        </w:rPr>
      </w:pPr>
    </w:p>
    <w:p>
      <w:pPr>
        <w:ind w:left="1680" w:right="260" w:hanging="567"/>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99.1 Press Release dated November 6, 2025 relating to Take-Two Interactive Software, Inc.’s financial results for its second fiscal quarter ended September 30, 2025</w:t>
      </w:r>
    </w:p>
    <w:p>
      <w:pPr>
        <w:spacing w:after="0" w:line="1"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color w:val="auto"/>
        </w:rPr>
        <w:t>SIGNATURES</w:t>
      </w:r>
    </w:p>
    <w:p>
      <w:pPr>
        <w:spacing w:after="0" w:line="33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34290</wp:posOffset>
            </wp:positionV>
            <wp:extent cx="3223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Matthew Breitman</w:t>
      </w:r>
    </w:p>
    <w:p>
      <w:pPr>
        <w:spacing w:after="0" w:line="6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Senior Vice President, General Counsel Americas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&amp; Corporate Secretary</w:t>
      </w: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980"/>
          </w:cols>
          <w:pgMar w:left="320" w:top="1174" w:right="5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231775</wp:posOffset>
            </wp:positionV>
            <wp:extent cx="1268730" cy="1268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FOR IMMEDIATE RELEASE</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CONTACT:</w:t>
      </w:r>
    </w:p>
    <w:p>
      <w:pPr>
        <w:spacing w:after="0" w:line="212"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(Investor Relations)</w:t>
      </w:r>
      <w:r>
        <w:rPr>
          <w:sz w:val="20"/>
          <w:szCs w:val="20"/>
          <w:color w:val="auto"/>
        </w:rPr>
        <w:tab/>
      </w:r>
      <w:r>
        <w:rPr>
          <w:rFonts w:ascii="Arial" w:cs="Arial" w:eastAsia="Arial" w:hAnsi="Arial"/>
          <w:sz w:val="17"/>
          <w:szCs w:val="17"/>
          <w:color w:val="auto"/>
        </w:rPr>
        <w:t>(Corporate Press)</w:t>
      </w:r>
    </w:p>
    <w:p>
      <w:pPr>
        <w:spacing w:after="0" w:line="63"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Nicole Shevins</w:t>
      </w:r>
      <w:r>
        <w:rPr>
          <w:sz w:val="20"/>
          <w:szCs w:val="20"/>
          <w:color w:val="auto"/>
        </w:rPr>
        <w:tab/>
      </w:r>
      <w:r>
        <w:rPr>
          <w:rFonts w:ascii="Arial" w:cs="Arial" w:eastAsia="Arial" w:hAnsi="Arial"/>
          <w:sz w:val="17"/>
          <w:szCs w:val="17"/>
          <w:color w:val="auto"/>
        </w:rPr>
        <w:t>Alan Lewis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Investor Relations &amp; Corporate Communications</w:t>
      </w:r>
      <w:r>
        <w:rPr>
          <w:sz w:val="20"/>
          <w:szCs w:val="20"/>
          <w:color w:val="auto"/>
        </w:rPr>
        <w:tab/>
      </w:r>
      <w:r>
        <w:rPr>
          <w:rFonts w:ascii="Arial" w:cs="Arial" w:eastAsia="Arial" w:hAnsi="Arial"/>
          <w:sz w:val="17"/>
          <w:szCs w:val="17"/>
          <w:color w:val="auto"/>
        </w:rPr>
        <w:t>Head of Global Corporate Communications</w:t>
      </w:r>
    </w:p>
    <w:p>
      <w:pPr>
        <w:spacing w:after="0" w:line="63"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b w:val="1"/>
          <w:bCs w:val="1"/>
          <w:color w:val="auto"/>
        </w:rPr>
        <w:t>Take-Two Interactive Software, Inc.</w:t>
      </w:r>
      <w:r>
        <w:rPr>
          <w:sz w:val="20"/>
          <w:szCs w:val="20"/>
          <w:color w:val="auto"/>
        </w:rPr>
        <w:tab/>
      </w:r>
      <w:r>
        <w:rPr>
          <w:rFonts w:ascii="Arial" w:cs="Arial" w:eastAsia="Arial" w:hAnsi="Arial"/>
          <w:sz w:val="17"/>
          <w:szCs w:val="17"/>
          <w:b w:val="1"/>
          <w:bCs w:val="1"/>
          <w:color w:val="auto"/>
        </w:rPr>
        <w:t>Take-Two Interactive Software, Inc.</w:t>
      </w:r>
    </w:p>
    <w:p>
      <w:pPr>
        <w:spacing w:after="0" w:line="63"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(646) 536-3005</w:t>
      </w:r>
      <w:r>
        <w:rPr>
          <w:sz w:val="20"/>
          <w:szCs w:val="20"/>
          <w:color w:val="auto"/>
        </w:rPr>
        <w:tab/>
      </w:r>
      <w:r>
        <w:rPr>
          <w:rFonts w:ascii="Arial" w:cs="Arial" w:eastAsia="Arial" w:hAnsi="Arial"/>
          <w:sz w:val="17"/>
          <w:szCs w:val="17"/>
          <w:color w:val="auto"/>
        </w:rPr>
        <w:t>(646) 536-2983</w:t>
      </w:r>
    </w:p>
    <w:p>
      <w:pPr>
        <w:spacing w:after="0" w:line="63"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Nicole.Shevins@take2games.com</w:t>
      </w:r>
      <w:r>
        <w:rPr>
          <w:sz w:val="20"/>
          <w:szCs w:val="20"/>
          <w:color w:val="auto"/>
        </w:rPr>
        <w:tab/>
      </w:r>
      <w:r>
        <w:rPr>
          <w:rFonts w:ascii="Arial" w:cs="Arial" w:eastAsia="Arial" w:hAnsi="Arial"/>
          <w:sz w:val="18"/>
          <w:szCs w:val="18"/>
          <w:color w:val="auto"/>
        </w:rPr>
        <w:t>Alan.Lewis@take2games.com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Take-Two Interactive Software, Inc. Reports Results for Fiscal Second Quarter 2026</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Company raises fiscal year 2026 outlook</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Fiscal second quarter Net Bookings were $1.96 billion, above Company's guidance range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Net Bookings for fiscal year 2026 are now expected to range from $6.4 to $6.5 billion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Grand Theft Auto VI now launching November 19, 2026</w:t>
      </w:r>
    </w:p>
    <w:p>
      <w:pPr>
        <w:spacing w:after="0" w:line="200" w:lineRule="exact"/>
        <w:rPr>
          <w:sz w:val="20"/>
          <w:szCs w:val="20"/>
          <w:color w:val="auto"/>
        </w:rPr>
      </w:pPr>
    </w:p>
    <w:p>
      <w:pPr>
        <w:spacing w:after="0" w:line="288"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b w:val="1"/>
          <w:bCs w:val="1"/>
          <w:u w:val="single" w:color="auto"/>
          <w:color w:val="auto"/>
        </w:rPr>
        <w:t>New York, NY – November 6, 2025</w:t>
      </w:r>
      <w:r>
        <w:rPr>
          <w:rFonts w:ascii="Arial" w:cs="Arial" w:eastAsia="Arial" w:hAnsi="Arial"/>
          <w:sz w:val="18"/>
          <w:szCs w:val="18"/>
          <w:b w:val="1"/>
          <w:bCs w:val="1"/>
          <w:color w:val="auto"/>
        </w:rPr>
        <w:t xml:space="preserve"> </w:t>
      </w:r>
      <w:r>
        <w:rPr>
          <w:rFonts w:ascii="Arial" w:cs="Arial" w:eastAsia="Arial" w:hAnsi="Arial"/>
          <w:sz w:val="18"/>
          <w:szCs w:val="18"/>
          <w:color w:val="auto"/>
        </w:rPr>
        <w:t>– Take-Two Interactive Software, Inc. (NASDAQ:TTWO) today reported results for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its fiscal year 2026, ended September 30, 2025. For further information, please see the second quarter fiscal 2026 results slide deck posted to the Company’s investor relations website at </w:t>
      </w:r>
      <w:r>
        <w:rPr>
          <w:rFonts w:ascii="Arial" w:cs="Arial" w:eastAsia="Arial" w:hAnsi="Arial"/>
          <w:sz w:val="18"/>
          <w:szCs w:val="18"/>
          <w:u w:val="single" w:color="auto"/>
          <w:color w:val="0000FF"/>
        </w:rPr>
        <w:t>take2games.com/ir</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Comments</w:t>
      </w:r>
    </w:p>
    <w:p>
      <w:pPr>
        <w:spacing w:after="0" w:line="25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 xml:space="preserve">Strauss Zelnick, Chairman and CEO of Take-Two Interactive, stated: “We achieved outstanding second quarter results by releasing new hit titles, driving innovation in live services, and maintaining our commitment to developing the highest quality products. With momentum across our business, particularly in mobile and </w:t>
      </w:r>
      <w:r>
        <w:rPr>
          <w:rFonts w:ascii="Arial" w:cs="Arial" w:eastAsia="Arial" w:hAnsi="Arial"/>
          <w:sz w:val="18"/>
          <w:szCs w:val="18"/>
          <w:i w:val="1"/>
          <w:iCs w:val="1"/>
          <w:color w:val="auto"/>
        </w:rPr>
        <w:t>NBA 2K</w:t>
      </w:r>
      <w:r>
        <w:rPr>
          <w:rFonts w:ascii="Arial" w:cs="Arial" w:eastAsia="Arial" w:hAnsi="Arial"/>
          <w:sz w:val="18"/>
          <w:szCs w:val="18"/>
          <w:color w:val="auto"/>
        </w:rPr>
        <w:t xml:space="preserve">, we are raising our Fiscal Year 2026 Net Bookings forecast for the second consecutive quarter. Rockstar Games will now release </w:t>
      </w:r>
      <w:r>
        <w:rPr>
          <w:rFonts w:ascii="Arial" w:cs="Arial" w:eastAsia="Arial" w:hAnsi="Arial"/>
          <w:sz w:val="18"/>
          <w:szCs w:val="18"/>
          <w:i w:val="1"/>
          <w:iCs w:val="1"/>
          <w:color w:val="auto"/>
        </w:rPr>
        <w:t>Grand Theft Auto VI</w:t>
      </w:r>
      <w:r>
        <w:rPr>
          <w:rFonts w:ascii="Arial" w:cs="Arial" w:eastAsia="Arial" w:hAnsi="Arial"/>
          <w:sz w:val="18"/>
          <w:szCs w:val="18"/>
          <w:color w:val="auto"/>
        </w:rPr>
        <w:t xml:space="preserve"> on November 19, 2026, and we remain both excited and confident they will deliver an unrivalled blockbuster entertainment experience. With the most robust pipeline in our Company’s history, we expect to achieve record levels of Net Bookings in Fiscal 2027, which will establish a new baseline for our business and set us on a path of enhanced profitability.”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Fiscal 2026 Financial and Operational Highlights</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Net Bookings* grew 33% to $1.96 billion, compared to $1.47 billion during last year’s fiscal second quarter.</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Net Bookings from recurrent consumer spending** grew 20% and accounted for 73% of total Net Bookings.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931" w:right="339" w:bottom="1440" w:gutter="0" w:footer="0" w:header="0"/>
          <w:type w:val="continuous"/>
        </w:sectPr>
      </w:pPr>
    </w:p>
    <w:bookmarkStart w:id="4" w:name="page5"/>
    <w:bookmarkEnd w:id="4"/>
    <w:p>
      <w:pPr>
        <w:ind w:left="1300" w:right="500" w:hanging="320"/>
        <w:spacing w:after="0" w:line="268" w:lineRule="auto"/>
        <w:tabs>
          <w:tab w:leader="none" w:pos="1296" w:val="left"/>
        </w:tabs>
        <w:numPr>
          <w:ilvl w:val="2"/>
          <w:numId w:val="4"/>
        </w:numPr>
        <w:rPr>
          <w:rFonts w:ascii="Arial" w:cs="Arial" w:eastAsia="Arial" w:hAnsi="Arial"/>
          <w:sz w:val="18"/>
          <w:szCs w:val="18"/>
          <w:color w:val="auto"/>
        </w:rPr>
      </w:pPr>
      <w:r>
        <w:rPr>
          <w:rFonts w:ascii="Arial" w:cs="Arial" w:eastAsia="Arial" w:hAnsi="Arial"/>
          <w:sz w:val="18"/>
          <w:szCs w:val="18"/>
          <w:color w:val="auto"/>
        </w:rPr>
        <w:t xml:space="preserve">The largest contributors to Net Bookings were </w:t>
      </w:r>
      <w:r>
        <w:rPr>
          <w:rFonts w:ascii="Arial" w:cs="Arial" w:eastAsia="Arial" w:hAnsi="Arial"/>
          <w:sz w:val="18"/>
          <w:szCs w:val="18"/>
          <w:i w:val="1"/>
          <w:iCs w:val="1"/>
          <w:color w:val="auto"/>
        </w:rPr>
        <w:t>NBA® 2K26</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2K25, Borderlands® 4</w:t>
      </w:r>
      <w:r>
        <w:rPr>
          <w:rFonts w:ascii="Arial" w:cs="Arial" w:eastAsia="Arial" w:hAnsi="Arial"/>
          <w:sz w:val="18"/>
          <w:szCs w:val="18"/>
          <w:color w:val="auto"/>
        </w:rPr>
        <w:t xml:space="preserve">, </w:t>
      </w:r>
      <w:r>
        <w:rPr>
          <w:rFonts w:ascii="Arial" w:cs="Arial" w:eastAsia="Arial" w:hAnsi="Arial"/>
          <w:sz w:val="18"/>
          <w:szCs w:val="18"/>
          <w:i w:val="1"/>
          <w:iCs w:val="1"/>
          <w:color w:val="auto"/>
        </w:rPr>
        <w:t>Toon Blast™</w:t>
      </w:r>
      <w:r>
        <w:rPr>
          <w:rFonts w:ascii="Arial" w:cs="Arial" w:eastAsia="Arial" w:hAnsi="Arial"/>
          <w:sz w:val="18"/>
          <w:szCs w:val="18"/>
          <w:color w:val="auto"/>
        </w:rPr>
        <w:t xml:space="preserve">, </w:t>
      </w:r>
      <w:r>
        <w:rPr>
          <w:rFonts w:ascii="Arial" w:cs="Arial" w:eastAsia="Arial" w:hAnsi="Arial"/>
          <w:sz w:val="18"/>
          <w:szCs w:val="18"/>
          <w:i w:val="1"/>
          <w:iCs w:val="1"/>
          <w:color w:val="auto"/>
        </w:rPr>
        <w:t>Grand Theft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Auto® 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V, Match Factory!™</w:t>
      </w:r>
      <w:r>
        <w:rPr>
          <w:rFonts w:ascii="Arial" w:cs="Arial" w:eastAsia="Arial" w:hAnsi="Arial"/>
          <w:sz w:val="18"/>
          <w:szCs w:val="18"/>
          <w:color w:val="auto"/>
        </w:rPr>
        <w:t>,</w:t>
      </w:r>
      <w:r>
        <w:rPr>
          <w:rFonts w:ascii="Arial" w:cs="Arial" w:eastAsia="Arial" w:hAnsi="Arial"/>
          <w:sz w:val="18"/>
          <w:szCs w:val="18"/>
          <w:i w:val="1"/>
          <w:iCs w:val="1"/>
          <w:color w:val="auto"/>
        </w:rPr>
        <w:t xml:space="preserve"> Color Block Jam™</w:t>
      </w:r>
      <w:r>
        <w:rPr>
          <w:rFonts w:ascii="Arial" w:cs="Arial" w:eastAsia="Arial" w:hAnsi="Arial"/>
          <w:sz w:val="18"/>
          <w:szCs w:val="18"/>
          <w:color w:val="auto"/>
        </w:rPr>
        <w:t>,</w:t>
      </w:r>
      <w:r>
        <w:rPr>
          <w:rFonts w:ascii="Arial" w:cs="Arial" w:eastAsia="Arial" w:hAnsi="Arial"/>
          <w:sz w:val="18"/>
          <w:szCs w:val="18"/>
          <w:i w:val="1"/>
          <w:iCs w:val="1"/>
          <w:color w:val="auto"/>
        </w:rPr>
        <w:t xml:space="preserve"> Mafia®</w:t>
      </w:r>
      <w:r>
        <w:rPr>
          <w:rFonts w:ascii="Arial" w:cs="Arial" w:eastAsia="Arial" w:hAnsi="Arial"/>
          <w:sz w:val="18"/>
          <w:szCs w:val="18"/>
          <w:color w:val="auto"/>
        </w:rPr>
        <w:t>:</w:t>
      </w:r>
      <w:r>
        <w:rPr>
          <w:rFonts w:ascii="Arial" w:cs="Arial" w:eastAsia="Arial" w:hAnsi="Arial"/>
          <w:sz w:val="18"/>
          <w:szCs w:val="18"/>
          <w:i w:val="1"/>
          <w:iCs w:val="1"/>
          <w:color w:val="auto"/>
        </w:rPr>
        <w:t xml:space="preserve"> The Old Country</w:t>
      </w:r>
      <w:r>
        <w:rPr>
          <w:rFonts w:ascii="Arial" w:cs="Arial" w:eastAsia="Arial" w:hAnsi="Arial"/>
          <w:sz w:val="18"/>
          <w:szCs w:val="18"/>
          <w:color w:val="auto"/>
        </w:rPr>
        <w:t>,</w:t>
      </w:r>
      <w:r>
        <w:rPr>
          <w:rFonts w:ascii="Arial" w:cs="Arial" w:eastAsia="Arial" w:hAnsi="Arial"/>
          <w:sz w:val="18"/>
          <w:szCs w:val="18"/>
          <w:i w:val="1"/>
          <w:iCs w:val="1"/>
          <w:color w:val="auto"/>
        </w:rPr>
        <w:t xml:space="preserve"> Empires &amp; Puzzles™, Words With Friends™,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Toy Blast™.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GAAP net revenue was $1.77 billion, compared to $1.35 billion in last year’s fiscal second quarter.</w:t>
      </w:r>
    </w:p>
    <w:p>
      <w:pPr>
        <w:spacing w:after="0" w:line="27" w:lineRule="exact"/>
        <w:rPr>
          <w:rFonts w:ascii="Arial" w:cs="Arial" w:eastAsia="Arial" w:hAnsi="Arial"/>
          <w:sz w:val="18"/>
          <w:szCs w:val="18"/>
          <w:color w:val="auto"/>
        </w:rPr>
      </w:pPr>
    </w:p>
    <w:p>
      <w:pPr>
        <w:ind w:left="1300" w:hanging="320"/>
        <w:spacing w:after="0"/>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Recurrent consumer spending** increased 18% and accounted for 72% of total GAAP net revenue.</w:t>
      </w:r>
    </w:p>
    <w:p>
      <w:pPr>
        <w:spacing w:after="0" w:line="9" w:lineRule="exact"/>
        <w:rPr>
          <w:rFonts w:ascii="Arial" w:cs="Arial" w:eastAsia="Arial" w:hAnsi="Arial"/>
          <w:sz w:val="18"/>
          <w:szCs w:val="18"/>
          <w:color w:val="auto"/>
        </w:rPr>
      </w:pPr>
    </w:p>
    <w:p>
      <w:pPr>
        <w:jc w:val="both"/>
        <w:ind w:left="1300" w:right="100" w:hanging="320"/>
        <w:spacing w:after="0" w:line="258" w:lineRule="auto"/>
        <w:tabs>
          <w:tab w:leader="none" w:pos="1296" w:val="left"/>
        </w:tabs>
        <w:numPr>
          <w:ilvl w:val="2"/>
          <w:numId w:val="4"/>
        </w:numPr>
        <w:rPr>
          <w:rFonts w:ascii="Arial" w:cs="Arial" w:eastAsia="Arial" w:hAnsi="Arial"/>
          <w:sz w:val="18"/>
          <w:szCs w:val="18"/>
          <w:color w:val="auto"/>
        </w:rPr>
      </w:pPr>
      <w:r>
        <w:rPr>
          <w:rFonts w:ascii="Arial" w:cs="Arial" w:eastAsia="Arial" w:hAnsi="Arial"/>
          <w:sz w:val="18"/>
          <w:szCs w:val="18"/>
          <w:color w:val="auto"/>
        </w:rPr>
        <w:t xml:space="preserve">The largest contributors to GAAP net revenue were </w:t>
      </w:r>
      <w:r>
        <w:rPr>
          <w:rFonts w:ascii="Arial" w:cs="Arial" w:eastAsia="Arial" w:hAnsi="Arial"/>
          <w:sz w:val="18"/>
          <w:szCs w:val="18"/>
          <w:i w:val="1"/>
          <w:iCs w:val="1"/>
          <w:color w:val="auto"/>
        </w:rPr>
        <w:t>NBA 2K25</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2K26, Borderlands 4</w:t>
      </w:r>
      <w:r>
        <w:rPr>
          <w:rFonts w:ascii="Arial" w:cs="Arial" w:eastAsia="Arial" w:hAnsi="Arial"/>
          <w:sz w:val="18"/>
          <w:szCs w:val="18"/>
          <w:color w:val="auto"/>
        </w:rPr>
        <w:t xml:space="preserve">,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 Toon Blast, Match Factory!</w:t>
      </w:r>
      <w:r>
        <w:rPr>
          <w:rFonts w:ascii="Arial" w:cs="Arial" w:eastAsia="Arial" w:hAnsi="Arial"/>
          <w:sz w:val="18"/>
          <w:szCs w:val="18"/>
          <w:color w:val="auto"/>
        </w:rPr>
        <w:t>,</w:t>
      </w:r>
      <w:r>
        <w:rPr>
          <w:rFonts w:ascii="Arial" w:cs="Arial" w:eastAsia="Arial" w:hAnsi="Arial"/>
          <w:sz w:val="18"/>
          <w:szCs w:val="18"/>
          <w:i w:val="1"/>
          <w:iCs w:val="1"/>
          <w:color w:val="auto"/>
        </w:rPr>
        <w:t xml:space="preserve"> Color Block Jam</w:t>
      </w:r>
      <w:r>
        <w:rPr>
          <w:rFonts w:ascii="Arial" w:cs="Arial" w:eastAsia="Arial" w:hAnsi="Arial"/>
          <w:sz w:val="18"/>
          <w:szCs w:val="18"/>
          <w:color w:val="auto"/>
        </w:rPr>
        <w:t>,</w:t>
      </w:r>
      <w:r>
        <w:rPr>
          <w:rFonts w:ascii="Arial" w:cs="Arial" w:eastAsia="Arial" w:hAnsi="Arial"/>
          <w:sz w:val="18"/>
          <w:szCs w:val="18"/>
          <w:i w:val="1"/>
          <w:iCs w:val="1"/>
          <w:color w:val="auto"/>
        </w:rPr>
        <w:t xml:space="preserve"> Mafia: The Old Country</w:t>
      </w:r>
      <w:r>
        <w:rPr>
          <w:rFonts w:ascii="Arial" w:cs="Arial" w:eastAsia="Arial" w:hAnsi="Arial"/>
          <w:sz w:val="18"/>
          <w:szCs w:val="18"/>
          <w:color w:val="auto"/>
        </w:rPr>
        <w:t>,</w:t>
      </w:r>
      <w:r>
        <w:rPr>
          <w:rFonts w:ascii="Arial" w:cs="Arial" w:eastAsia="Arial" w:hAnsi="Arial"/>
          <w:sz w:val="18"/>
          <w:szCs w:val="18"/>
          <w:i w:val="1"/>
          <w:iCs w:val="1"/>
          <w:color w:val="auto"/>
        </w:rPr>
        <w:t xml:space="preserve"> Empires &amp; Puzzles, Words With Friends</w:t>
      </w:r>
      <w:r>
        <w:rPr>
          <w:rFonts w:ascii="Arial" w:cs="Arial" w:eastAsia="Arial" w:hAnsi="Arial"/>
          <w:sz w:val="18"/>
          <w:szCs w:val="18"/>
          <w:color w:val="auto"/>
        </w:rPr>
        <w:t>, and</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p>
    <w:p>
      <w:pPr>
        <w:spacing w:after="0" w:line="205" w:lineRule="exact"/>
        <w:rPr>
          <w:rFonts w:ascii="Arial" w:cs="Arial" w:eastAsia="Arial" w:hAnsi="Arial"/>
          <w:sz w:val="18"/>
          <w:szCs w:val="18"/>
          <w:color w:val="auto"/>
        </w:rPr>
      </w:pPr>
    </w:p>
    <w:p>
      <w:pPr>
        <w:ind w:left="660" w:right="100" w:hanging="328"/>
        <w:spacing w:after="0" w:line="287" w:lineRule="auto"/>
        <w:tabs>
          <w:tab w:leader="none" w:pos="655" w:val="left"/>
        </w:tabs>
        <w:numPr>
          <w:ilvl w:val="1"/>
          <w:numId w:val="4"/>
        </w:numPr>
        <w:rPr>
          <w:rFonts w:ascii="Arial" w:cs="Arial" w:eastAsia="Arial" w:hAnsi="Arial"/>
          <w:sz w:val="18"/>
          <w:szCs w:val="18"/>
          <w:color w:val="auto"/>
        </w:rPr>
      </w:pPr>
      <w:r>
        <w:rPr>
          <w:rFonts w:ascii="Arial" w:cs="Arial" w:eastAsia="Arial" w:hAnsi="Arial"/>
          <w:sz w:val="18"/>
          <w:szCs w:val="18"/>
          <w:color w:val="auto"/>
        </w:rPr>
        <w:t>GAAP net loss was $133.9 million, or $0.73 per share, as compared to $365.5 million, or $2.08 per share, for the comparable period last year.</w:t>
      </w:r>
    </w:p>
    <w:p>
      <w:pPr>
        <w:spacing w:after="0" w:line="191" w:lineRule="exact"/>
        <w:rPr>
          <w:rFonts w:ascii="Arial" w:cs="Arial" w:eastAsia="Arial" w:hAnsi="Arial"/>
          <w:sz w:val="18"/>
          <w:szCs w:val="18"/>
          <w:color w:val="auto"/>
        </w:rPr>
      </w:pPr>
    </w:p>
    <w:p>
      <w:pPr>
        <w:ind w:right="40"/>
        <w:spacing w:after="0" w:line="260" w:lineRule="auto"/>
        <w:rPr>
          <w:rFonts w:ascii="Arial" w:cs="Arial" w:eastAsia="Arial" w:hAnsi="Arial"/>
          <w:sz w:val="18"/>
          <w:szCs w:val="18"/>
          <w:color w:val="auto"/>
        </w:rPr>
      </w:pPr>
      <w:r>
        <w:rPr>
          <w:rFonts w:ascii="Arial" w:cs="Arial" w:eastAsia="Arial" w:hAnsi="Arial"/>
          <w:sz w:val="14"/>
          <w:szCs w:val="14"/>
          <w:i w:val="1"/>
          <w:iCs w:val="1"/>
          <w:color w:val="auto"/>
        </w:rPr>
        <w:t>* Net Bookings is our operational metric and defined as the net amount of products and services sold digitally or sold-in physically during the period, and includes licensing fees, merchandise, in-game advertising, strategy guides and publisher incentives.</w:t>
      </w:r>
    </w:p>
    <w:p>
      <w:pPr>
        <w:ind w:left="160" w:hanging="152"/>
        <w:spacing w:after="0"/>
        <w:tabs>
          <w:tab w:leader="none" w:pos="16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Recurrent consumer spending is generated from ongoing consumer engagement and includes virtual currency, add-on content, in-game purchases and in-game advertising.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Fiscal 2026 Financial Results</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following data is used internally by the Company’s management and Board of Directors to adjust the Company’s GAAP and Non-GAAP financial results in order to facilitate comparison of its operating performance between periods and to better understand its core business: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Three Months Ended September 30, 2025</w:t>
            </w: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23"/>
        </w:trPr>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Financial Data</w:t>
            </w: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Change in deferred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net revenue and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Amortization of</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62"/>
        </w:trPr>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Statement of</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related cost of</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Stock-based</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acquired</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Business</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Business</w:t>
            </w:r>
          </w:p>
        </w:tc>
        <w:tc>
          <w:tcPr>
            <w:tcW w:w="1100" w:type="dxa"/>
            <w:vAlign w:val="bottom"/>
          </w:tcPr>
          <w:p>
            <w:pPr>
              <w:spacing w:after="0"/>
              <w:rPr>
                <w:sz w:val="14"/>
                <w:szCs w:val="14"/>
                <w:color w:val="auto"/>
              </w:rPr>
            </w:pPr>
          </w:p>
        </w:tc>
      </w:tr>
      <w:tr>
        <w:trPr>
          <w:trHeight w:val="225"/>
        </w:trPr>
        <w:tc>
          <w:tcPr>
            <w:tcW w:w="19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Pr>
          <w:p>
            <w:pPr>
              <w:spacing w:after="0"/>
              <w:rPr>
                <w:sz w:val="19"/>
                <w:szCs w:val="19"/>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Operations</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revenue</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compensation</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intangibles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reorganization</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acquisition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 xml:space="preserve">Other </w:t>
            </w:r>
            <w:r>
              <w:rPr>
                <w:rFonts w:ascii="Arial" w:cs="Arial" w:eastAsia="Arial" w:hAnsi="Arial"/>
                <w:sz w:val="18"/>
                <w:szCs w:val="18"/>
                <w:b w:val="1"/>
                <w:bCs w:val="1"/>
                <w:color w:val="auto"/>
                <w:w w:val="96"/>
                <w:vertAlign w:val="superscript"/>
              </w:rPr>
              <w:t>(a)</w:t>
            </w:r>
          </w:p>
        </w:tc>
      </w:tr>
      <w:tr>
        <w:trPr>
          <w:trHeight w:val="217"/>
        </w:trPr>
        <w:tc>
          <w:tcPr>
            <w:tcW w:w="19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GAAP</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08"/>
        </w:trPr>
        <w:tc>
          <w:tcPr>
            <w:tcW w:w="1920" w:type="dxa"/>
            <w:vAlign w:val="bottom"/>
          </w:tcPr>
          <w:p>
            <w:pPr>
              <w:ind w:left="20"/>
              <w:spacing w:after="0"/>
              <w:rPr>
                <w:sz w:val="20"/>
                <w:szCs w:val="20"/>
                <w:color w:val="auto"/>
              </w:rPr>
            </w:pPr>
            <w:r>
              <w:rPr>
                <w:rFonts w:ascii="Arial" w:cs="Arial" w:eastAsia="Arial" w:hAnsi="Arial"/>
                <w:sz w:val="14"/>
                <w:szCs w:val="14"/>
                <w:color w:val="auto"/>
              </w:rPr>
              <w:t>Total net revenue</w:t>
            </w:r>
          </w:p>
        </w:tc>
        <w:tc>
          <w:tcPr>
            <w:tcW w:w="1260" w:type="dxa"/>
            <w:vAlign w:val="bottom"/>
            <w:gridSpan w:val="2"/>
          </w:tcPr>
          <w:p>
            <w:pPr>
              <w:jc w:val="center"/>
              <w:ind w:left="28"/>
              <w:spacing w:after="0"/>
              <w:rPr>
                <w:sz w:val="20"/>
                <w:szCs w:val="20"/>
                <w:color w:val="auto"/>
              </w:rPr>
            </w:pPr>
            <w:r>
              <w:rPr>
                <w:rFonts w:ascii="Arial" w:cs="Arial" w:eastAsia="Arial" w:hAnsi="Arial"/>
                <w:sz w:val="14"/>
                <w:szCs w:val="14"/>
                <w:color w:val="auto"/>
              </w:rPr>
              <w:t>$1,773.8</w:t>
            </w:r>
          </w:p>
        </w:tc>
        <w:tc>
          <w:tcPr>
            <w:tcW w:w="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186.7</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
        </w:trPr>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793.3</w:t>
            </w:r>
          </w:p>
        </w:tc>
        <w:tc>
          <w:tcPr>
            <w:tcW w:w="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16.2</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(159.5)</w:t>
            </w: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Gross profit</w:t>
            </w:r>
          </w:p>
        </w:tc>
        <w:tc>
          <w:tcPr>
            <w:tcW w:w="8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980.5</w:t>
            </w:r>
          </w:p>
        </w:tc>
        <w:tc>
          <w:tcPr>
            <w:tcW w:w="8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170.5</w:t>
            </w:r>
          </w:p>
        </w:tc>
        <w:tc>
          <w:tcPr>
            <w:tcW w:w="8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159.5</w:t>
            </w:r>
          </w:p>
        </w:tc>
        <w:tc>
          <w:tcPr>
            <w:tcW w:w="8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37"/>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260" w:type="dxa"/>
            <w:vAlign w:val="bottom"/>
            <w:tcBorders>
              <w:bottom w:val="single" w:sz="8" w:color="CCEEFF"/>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1,078.5</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(91.1)</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(15.1)</w:t>
            </w: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rPr>
              <w:t>(3.6)</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160"/>
        </w:trPr>
        <w:tc>
          <w:tcPr>
            <w:tcW w:w="192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(Loss) income from</w:t>
            </w:r>
          </w:p>
        </w:tc>
        <w:tc>
          <w:tcPr>
            <w:tcW w:w="8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r>
      <w:tr>
        <w:trPr>
          <w:trHeight w:val="217"/>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operations</w:t>
            </w:r>
          </w:p>
        </w:tc>
        <w:tc>
          <w:tcPr>
            <w:tcW w:w="12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(98.0)</w:t>
            </w:r>
          </w:p>
        </w:tc>
        <w:tc>
          <w:tcPr>
            <w:tcW w:w="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170.5</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95.9</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174.6</w:t>
            </w:r>
          </w:p>
        </w:tc>
        <w:tc>
          <w:tcPr>
            <w:tcW w:w="80" w:type="dxa"/>
            <w:vAlign w:val="bottom"/>
          </w:tcPr>
          <w:p>
            <w:pPr>
              <w:spacing w:after="0"/>
              <w:rPr>
                <w:sz w:val="18"/>
                <w:szCs w:val="18"/>
                <w:color w:val="auto"/>
              </w:rPr>
            </w:pPr>
          </w:p>
        </w:tc>
        <w:tc>
          <w:tcPr>
            <w:tcW w:w="1320" w:type="dxa"/>
            <w:vAlign w:val="bottom"/>
          </w:tcPr>
          <w:p>
            <w:pPr>
              <w:jc w:val="right"/>
              <w:ind w:right="488"/>
              <w:spacing w:after="0"/>
              <w:rPr>
                <w:sz w:val="20"/>
                <w:szCs w:val="20"/>
                <w:color w:val="auto"/>
              </w:rPr>
            </w:pPr>
            <w:r>
              <w:rPr>
                <w:rFonts w:ascii="Arial" w:cs="Arial" w:eastAsia="Arial" w:hAnsi="Arial"/>
                <w:sz w:val="14"/>
                <w:szCs w:val="14"/>
                <w:b w:val="1"/>
                <w:bCs w:val="1"/>
                <w:color w:val="auto"/>
              </w:rPr>
              <w:t>0.1</w:t>
            </w:r>
          </w:p>
        </w:tc>
        <w:tc>
          <w:tcPr>
            <w:tcW w:w="100" w:type="dxa"/>
            <w:vAlign w:val="bottom"/>
          </w:tcPr>
          <w:p>
            <w:pPr>
              <w:spacing w:after="0"/>
              <w:rPr>
                <w:sz w:val="18"/>
                <w:szCs w:val="18"/>
                <w:color w:val="auto"/>
              </w:rPr>
            </w:pPr>
          </w:p>
        </w:tc>
        <w:tc>
          <w:tcPr>
            <w:tcW w:w="1200" w:type="dxa"/>
            <w:vAlign w:val="bottom"/>
          </w:tcPr>
          <w:p>
            <w:pPr>
              <w:jc w:val="right"/>
              <w:ind w:right="428"/>
              <w:spacing w:after="0"/>
              <w:rPr>
                <w:sz w:val="20"/>
                <w:szCs w:val="20"/>
                <w:color w:val="auto"/>
              </w:rPr>
            </w:pPr>
            <w:r>
              <w:rPr>
                <w:rFonts w:ascii="Arial" w:cs="Arial" w:eastAsia="Arial" w:hAnsi="Arial"/>
                <w:sz w:val="14"/>
                <w:szCs w:val="14"/>
                <w:b w:val="1"/>
                <w:bCs w:val="1"/>
                <w:color w:val="auto"/>
              </w:rPr>
              <w:t>3.6</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7"/>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and other, net</w:t>
            </w:r>
          </w:p>
        </w:tc>
        <w:tc>
          <w:tcPr>
            <w:tcW w:w="126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rPr>
              <w:t>(17.5)</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0.7</w:t>
            </w:r>
          </w:p>
        </w:tc>
      </w:tr>
      <w:tr>
        <w:trPr>
          <w:trHeight w:val="160"/>
        </w:trPr>
        <w:tc>
          <w:tcPr>
            <w:tcW w:w="192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(Loss) income before</w:t>
            </w: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r>
      <w:tr>
        <w:trPr>
          <w:trHeight w:val="217"/>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income taxes</w:t>
            </w:r>
          </w:p>
        </w:tc>
        <w:tc>
          <w:tcPr>
            <w:tcW w:w="12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(115.5)</w:t>
            </w:r>
          </w:p>
        </w:tc>
        <w:tc>
          <w:tcPr>
            <w:tcW w:w="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170.6</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95.9</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174.6</w:t>
            </w:r>
          </w:p>
        </w:tc>
        <w:tc>
          <w:tcPr>
            <w:tcW w:w="80" w:type="dxa"/>
            <w:vAlign w:val="bottom"/>
          </w:tcPr>
          <w:p>
            <w:pPr>
              <w:spacing w:after="0"/>
              <w:rPr>
                <w:sz w:val="18"/>
                <w:szCs w:val="18"/>
                <w:color w:val="auto"/>
              </w:rPr>
            </w:pPr>
          </w:p>
        </w:tc>
        <w:tc>
          <w:tcPr>
            <w:tcW w:w="1320" w:type="dxa"/>
            <w:vAlign w:val="bottom"/>
          </w:tcPr>
          <w:p>
            <w:pPr>
              <w:jc w:val="right"/>
              <w:ind w:right="488"/>
              <w:spacing w:after="0"/>
              <w:rPr>
                <w:sz w:val="20"/>
                <w:szCs w:val="20"/>
                <w:color w:val="auto"/>
              </w:rPr>
            </w:pPr>
            <w:r>
              <w:rPr>
                <w:rFonts w:ascii="Arial" w:cs="Arial" w:eastAsia="Arial" w:hAnsi="Arial"/>
                <w:sz w:val="14"/>
                <w:szCs w:val="14"/>
                <w:b w:val="1"/>
                <w:bCs w:val="1"/>
                <w:color w:val="auto"/>
              </w:rPr>
              <w:t>0.1</w:t>
            </w:r>
          </w:p>
        </w:tc>
        <w:tc>
          <w:tcPr>
            <w:tcW w:w="100" w:type="dxa"/>
            <w:vAlign w:val="bottom"/>
          </w:tcPr>
          <w:p>
            <w:pPr>
              <w:spacing w:after="0"/>
              <w:rPr>
                <w:sz w:val="18"/>
                <w:szCs w:val="18"/>
                <w:color w:val="auto"/>
              </w:rPr>
            </w:pPr>
          </w:p>
        </w:tc>
        <w:tc>
          <w:tcPr>
            <w:tcW w:w="1200" w:type="dxa"/>
            <w:vAlign w:val="bottom"/>
          </w:tcPr>
          <w:p>
            <w:pPr>
              <w:jc w:val="right"/>
              <w:ind w:right="428"/>
              <w:spacing w:after="0"/>
              <w:rPr>
                <w:sz w:val="20"/>
                <w:szCs w:val="20"/>
                <w:color w:val="auto"/>
              </w:rPr>
            </w:pPr>
            <w:r>
              <w:rPr>
                <w:rFonts w:ascii="Arial" w:cs="Arial" w:eastAsia="Arial" w:hAnsi="Arial"/>
                <w:sz w:val="14"/>
                <w:szCs w:val="14"/>
                <w:b w:val="1"/>
                <w:bCs w:val="1"/>
                <w:color w:val="auto"/>
              </w:rPr>
              <w:t>5.2</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0.7</w:t>
            </w:r>
          </w:p>
        </w:tc>
      </w:tr>
      <w:tr>
        <w:trPr>
          <w:trHeight w:val="224"/>
        </w:trPr>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Non-GAAP</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EBITDA</w:t>
            </w:r>
          </w:p>
        </w:tc>
        <w:tc>
          <w:tcPr>
            <w:tcW w:w="126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b w:val="1"/>
                <w:bCs w:val="1"/>
                <w:color w:val="auto"/>
                <w:w w:val="96"/>
              </w:rPr>
              <w:t>116.7</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170.6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95.9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0.1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4.0</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0.7</w:t>
            </w:r>
          </w:p>
        </w:tc>
      </w:tr>
    </w:tbl>
    <w:p>
      <w:pPr>
        <w:spacing w:after="0" w:line="305" w:lineRule="exact"/>
        <w:rPr>
          <w:sz w:val="20"/>
          <w:szCs w:val="20"/>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above table utilizes a management tax rate of 18%</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Fully diluted share count in order to calculate management diluted net income per share is 186.0 million</w:t>
      </w:r>
    </w:p>
    <w:p>
      <w:pPr>
        <w:spacing w:after="0" w:line="220" w:lineRule="exact"/>
        <w:rPr>
          <w:rFonts w:ascii="Arial" w:cs="Arial" w:eastAsia="Arial" w:hAnsi="Arial"/>
          <w:sz w:val="18"/>
          <w:szCs w:val="18"/>
          <w:color w:val="auto"/>
        </w:rPr>
      </w:pPr>
    </w:p>
    <w:p>
      <w:pPr>
        <w:ind w:right="40" w:firstLine="8"/>
        <w:spacing w:after="0" w:line="236" w:lineRule="auto"/>
        <w:tabs>
          <w:tab w:leader="none" w:pos="193"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Other includes adjustments for (i) the revaluation of the Turkish Lira against the U.S. Dollar and (ii) fair value adjustments related to certain equity investments.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3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Outlook for Fiscal Year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Take-Two is raising its outlook for the fiscal year and providing its initial outlook for its fiscal third quarter ending December 31, 2025:</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Ending March 31, 2026</w:t>
      </w:r>
    </w:p>
    <w:p>
      <w:pPr>
        <w:spacing w:after="0" w:line="25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is also providing selected data, which is used internally by its management and Board of Directors to adjust the Company’s GAAP and Non-GAAP financial outlook in order to facilitate comparison of its operating performance between periods and to better understand its core business and future outlook:</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8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rPr>
              <w:t>Fiscal Year Ended March 31, 2026</w:t>
            </w: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Financial Data</w:t>
            </w: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Change in deferred</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net revenue and</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Amortization of</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Business</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 xml:space="preserve">Outlook </w:t>
            </w:r>
            <w:r>
              <w:rPr>
                <w:rFonts w:ascii="Arial" w:cs="Arial" w:eastAsia="Arial" w:hAnsi="Arial"/>
                <w:sz w:val="18"/>
                <w:szCs w:val="18"/>
                <w:b w:val="1"/>
                <w:bCs w:val="1"/>
                <w:color w:val="auto"/>
                <w:w w:val="97"/>
                <w:vertAlign w:val="superscript"/>
              </w:rPr>
              <w:t>(b)</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related cost of</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Stock-based</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acquired</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acquisition and</w:t>
            </w:r>
          </w:p>
        </w:tc>
        <w:tc>
          <w:tcPr>
            <w:tcW w:w="0" w:type="dxa"/>
            <w:vAlign w:val="bottom"/>
          </w:tcPr>
          <w:p>
            <w:pPr>
              <w:spacing w:after="0"/>
              <w:rPr>
                <w:sz w:val="1"/>
                <w:szCs w:val="1"/>
                <w:color w:val="auto"/>
              </w:rPr>
            </w:pPr>
          </w:p>
        </w:tc>
      </w:tr>
      <w:tr>
        <w:trPr>
          <w:trHeight w:val="212"/>
        </w:trPr>
        <w:tc>
          <w:tcPr>
            <w:tcW w:w="3360" w:type="dxa"/>
            <w:vAlign w:val="bottom"/>
          </w:tcPr>
          <w:p>
            <w:pPr>
              <w:ind w:left="240"/>
              <w:spacing w:after="0"/>
              <w:rPr>
                <w:sz w:val="20"/>
                <w:szCs w:val="20"/>
                <w:color w:val="auto"/>
              </w:rPr>
            </w:pPr>
            <w:r>
              <w:rPr>
                <w:rFonts w:ascii="Arial" w:cs="Arial" w:eastAsia="Arial" w:hAnsi="Arial"/>
                <w:sz w:val="14"/>
                <w:szCs w:val="14"/>
                <w:b w:val="1"/>
                <w:bCs w:val="1"/>
                <w:i w:val="1"/>
                <w:iCs w:val="1"/>
                <w:color w:val="auto"/>
              </w:rPr>
              <w:t>$ in millions except for per share amounts</w:t>
            </w:r>
          </w:p>
        </w:tc>
        <w:tc>
          <w:tcPr>
            <w:tcW w:w="10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revenue</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compensation</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intangibles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9"/>
                <w:szCs w:val="9"/>
                <w:b w:val="1"/>
                <w:bCs w:val="1"/>
                <w:color w:val="auto"/>
              </w:rPr>
              <w:t>(c)</w:t>
            </w:r>
          </w:p>
        </w:tc>
        <w:tc>
          <w:tcPr>
            <w:tcW w:w="0" w:type="dxa"/>
            <w:vAlign w:val="bottom"/>
          </w:tcPr>
          <w:p>
            <w:pPr>
              <w:spacing w:after="0"/>
              <w:rPr>
                <w:sz w:val="1"/>
                <w:szCs w:val="1"/>
                <w:color w:val="auto"/>
              </w:rPr>
            </w:pPr>
          </w:p>
        </w:tc>
      </w:tr>
      <w:tr>
        <w:trPr>
          <w:trHeight w:val="203"/>
        </w:trPr>
        <w:tc>
          <w:tcPr>
            <w:tcW w:w="33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Total net revenue</w:t>
            </w:r>
          </w:p>
        </w:tc>
        <w:tc>
          <w:tcPr>
            <w:tcW w:w="100" w:type="dxa"/>
            <w:vAlign w:val="bottom"/>
          </w:tcPr>
          <w:p>
            <w:pPr>
              <w:spacing w:after="0"/>
              <w:rPr>
                <w:sz w:val="19"/>
                <w:szCs w:val="19"/>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$6,380 to $6,480</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$20</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 of revenue</w:t>
            </w:r>
          </w:p>
        </w:tc>
        <w:tc>
          <w:tcPr>
            <w:tcW w:w="10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$2,663 to $2,685</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$5</w:t>
            </w: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$23</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$(637)</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00" w:type="dxa"/>
            <w:vAlign w:val="bottom"/>
          </w:tcPr>
          <w:p>
            <w:pPr>
              <w:spacing w:after="0"/>
              <w:rPr>
                <w:sz w:val="19"/>
                <w:szCs w:val="19"/>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$3,984 to $4,004</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$(356)</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$(68)</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and other, net</w:t>
            </w:r>
          </w:p>
        </w:tc>
        <w:tc>
          <w:tcPr>
            <w:tcW w:w="20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b w:val="1"/>
                <w:bCs w:val="1"/>
                <w:color w:val="auto"/>
              </w:rPr>
              <w:t>$103</w:t>
            </w: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222"/>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(Loss) income before income taxes</w:t>
            </w:r>
          </w:p>
        </w:tc>
        <w:tc>
          <w:tcPr>
            <w:tcW w:w="100" w:type="dxa"/>
            <w:vAlign w:val="bottom"/>
          </w:tcPr>
          <w:p>
            <w:pPr>
              <w:spacing w:after="0"/>
              <w:rPr>
                <w:sz w:val="19"/>
                <w:szCs w:val="19"/>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$(370) to $(312)</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$333</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$705</w:t>
            </w:r>
          </w:p>
        </w:tc>
        <w:tc>
          <w:tcPr>
            <w:tcW w:w="80" w:type="dxa"/>
            <w:vAlign w:val="bottom"/>
          </w:tcPr>
          <w:p>
            <w:pPr>
              <w:spacing w:after="0"/>
              <w:rPr>
                <w:sz w:val="19"/>
                <w:szCs w:val="19"/>
                <w:color w:val="auto"/>
              </w:rPr>
            </w:pPr>
          </w:p>
        </w:tc>
        <w:tc>
          <w:tcPr>
            <w:tcW w:w="1420" w:type="dxa"/>
            <w:vAlign w:val="bottom"/>
          </w:tcPr>
          <w:p>
            <w:pPr>
              <w:jc w:val="right"/>
              <w:ind w:right="568"/>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237"/>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10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$(414) to $(349)</w:t>
            </w: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Net loss per share</w:t>
            </w:r>
          </w:p>
        </w:tc>
        <w:tc>
          <w:tcPr>
            <w:tcW w:w="100" w:type="dxa"/>
            <w:vAlign w:val="bottom"/>
          </w:tcPr>
          <w:p>
            <w:pPr>
              <w:spacing w:after="0"/>
              <w:rPr>
                <w:sz w:val="19"/>
                <w:szCs w:val="19"/>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$(2.25) to $(1.90)</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10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approximately $250</w:t>
            </w: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Capital expenditures</w:t>
            </w:r>
          </w:p>
        </w:tc>
        <w:tc>
          <w:tcPr>
            <w:tcW w:w="100" w:type="dxa"/>
            <w:vAlign w:val="bottom"/>
          </w:tcPr>
          <w:p>
            <w:pPr>
              <w:spacing w:after="0"/>
              <w:rPr>
                <w:sz w:val="19"/>
                <w:szCs w:val="19"/>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approximately $180</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Non-GAAP</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EBITDA</w:t>
            </w: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$579 to $637</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$15</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$333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Operational metric</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Net Bookings</w:t>
            </w:r>
          </w:p>
        </w:tc>
        <w:tc>
          <w:tcPr>
            <w:tcW w:w="100" w:type="dxa"/>
            <w:vAlign w:val="bottom"/>
          </w:tcPr>
          <w:p>
            <w:pPr>
              <w:spacing w:after="0"/>
              <w:rPr>
                <w:sz w:val="18"/>
                <w:szCs w:val="18"/>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$6,400 to $6,500</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Management reporting tax rate anticipated to be 18%</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 count used to calculate GAAP net loss per share is expected to be 183.9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 count used to calculate management reporting diluted net income per share is expected to be 186.3 million</w:t>
      </w:r>
    </w:p>
    <w:p>
      <w:pPr>
        <w:spacing w:after="0" w:line="234" w:lineRule="exact"/>
        <w:rPr>
          <w:rFonts w:ascii="Arial" w:cs="Arial" w:eastAsia="Arial" w:hAnsi="Arial"/>
          <w:sz w:val="18"/>
          <w:szCs w:val="18"/>
          <w:color w:val="auto"/>
        </w:rPr>
      </w:pPr>
    </w:p>
    <w:p>
      <w:pPr>
        <w:ind w:right="380" w:firstLine="8"/>
        <w:spacing w:after="0" w:line="293" w:lineRule="auto"/>
        <w:tabs>
          <w:tab w:leader="none" w:pos="175"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The individual components of the financial outlook may not foot to the totals, as the Company does not expect actual results for every component to be at the low end or high end of the outlook range simultaneously.</w:t>
      </w:r>
    </w:p>
    <w:p>
      <w:pPr>
        <w:spacing w:after="0" w:line="156" w:lineRule="exact"/>
        <w:rPr>
          <w:rFonts w:ascii="Arial" w:cs="Arial" w:eastAsia="Arial" w:hAnsi="Arial"/>
          <w:sz w:val="20"/>
          <w:szCs w:val="20"/>
          <w:color w:val="auto"/>
          <w:vertAlign w:val="superscript"/>
        </w:rPr>
      </w:pPr>
    </w:p>
    <w:p>
      <w:pPr>
        <w:ind w:firstLine="8"/>
        <w:spacing w:after="0" w:line="236" w:lineRule="auto"/>
        <w:tabs>
          <w:tab w:leader="none" w:pos="186"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Other includes adjustments for (i) business reorganization expenses, (ii) the revaluation of the Turkish Lira against the U.S. Dollar, and (iii) fair value adjustments related to certain equity investments.</w:t>
      </w: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320" w:top="1160"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Fiscal Third Quarter Ending December 31, 2025</w:t>
      </w:r>
    </w:p>
    <w:p>
      <w:pPr>
        <w:spacing w:after="0" w:line="25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 is also providing selected data, which is used internally by its management and Board of Directors to adjust the Company’s GAAP and Non-GAAP financial outlook in order to facilitate comparison of its operating performance between periods and to better understand its core business and future outlook:</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rPr>
              <w:t>Three Months Ending December 31, 2025</w:t>
            </w: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Financial Data</w:t>
            </w: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Change in deferred net</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Stock-based</w:t>
            </w: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Amortization of</w:t>
            </w: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Business</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 xml:space="preserve">Outlook </w:t>
            </w:r>
            <w:r>
              <w:rPr>
                <w:rFonts w:ascii="Arial" w:cs="Arial" w:eastAsia="Arial" w:hAnsi="Arial"/>
                <w:sz w:val="18"/>
                <w:szCs w:val="18"/>
                <w:b w:val="1"/>
                <w:bCs w:val="1"/>
                <w:color w:val="auto"/>
                <w:w w:val="97"/>
                <w:vertAlign w:val="superscript"/>
              </w:rPr>
              <w:t>(b)</w:t>
            </w:r>
          </w:p>
        </w:tc>
        <w:tc>
          <w:tcPr>
            <w:tcW w:w="1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revenue and related cost</w:t>
            </w:r>
          </w:p>
        </w:tc>
        <w:tc>
          <w:tcPr>
            <w:tcW w:w="148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 except for per share amounts</w:t>
            </w:r>
          </w:p>
        </w:tc>
        <w:tc>
          <w:tcPr>
            <w:tcW w:w="10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of revenue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compensation</w:t>
            </w:r>
          </w:p>
        </w:tc>
        <w:tc>
          <w:tcPr>
            <w:tcW w:w="1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acquired intangibles</w:t>
            </w:r>
          </w:p>
        </w:tc>
        <w:tc>
          <w:tcPr>
            <w:tcW w:w="1480" w:type="dxa"/>
            <w:vAlign w:val="bottom"/>
          </w:tcPr>
          <w:p>
            <w:pPr>
              <w:jc w:val="right"/>
              <w:ind w:right="288"/>
              <w:spacing w:after="0"/>
              <w:rPr>
                <w:sz w:val="20"/>
                <w:szCs w:val="20"/>
                <w:color w:val="auto"/>
              </w:rPr>
            </w:pPr>
            <w:r>
              <w:rPr>
                <w:rFonts w:ascii="Arial" w:cs="Arial" w:eastAsia="Arial" w:hAnsi="Arial"/>
                <w:sz w:val="14"/>
                <w:szCs w:val="14"/>
                <w:b w:val="1"/>
                <w:bCs w:val="1"/>
                <w:color w:val="auto"/>
              </w:rPr>
              <w:t>acquisition</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Total net revenue</w:t>
            </w:r>
          </w:p>
        </w:tc>
        <w:tc>
          <w:tcPr>
            <w:tcW w:w="100" w:type="dxa"/>
            <w:vAlign w:val="bottom"/>
          </w:tcPr>
          <w:p>
            <w:pPr>
              <w:spacing w:after="0"/>
              <w:rPr>
                <w:sz w:val="19"/>
                <w:szCs w:val="19"/>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$1,570 to $1,620</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7"/>
              </w:rPr>
              <w:t>$(20)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 of revenue</w:t>
            </w:r>
          </w:p>
        </w:tc>
        <w:tc>
          <w:tcPr>
            <w:tcW w:w="1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$646 to $664</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$4</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$(6)</w:t>
            </w: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$(159)</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00" w:type="dxa"/>
            <w:vAlign w:val="bottom"/>
          </w:tcPr>
          <w:p>
            <w:pPr>
              <w:spacing w:after="0"/>
              <w:rPr>
                <w:sz w:val="19"/>
                <w:szCs w:val="19"/>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$980 to $990</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$(93)</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$(17)</w:t>
            </w: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and other, net</w:t>
            </w:r>
          </w:p>
        </w:tc>
        <w:tc>
          <w:tcPr>
            <w:tcW w:w="16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b w:val="1"/>
                <w:bCs w:val="1"/>
                <w:color w:val="auto"/>
              </w:rPr>
              <w:t>$24</w:t>
            </w:r>
          </w:p>
        </w:tc>
        <w:tc>
          <w:tcPr>
            <w:tcW w:w="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52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22"/>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(Loss) income before income taxes</w:t>
            </w:r>
          </w:p>
        </w:tc>
        <w:tc>
          <w:tcPr>
            <w:tcW w:w="100" w:type="dxa"/>
            <w:vAlign w:val="bottom"/>
          </w:tcPr>
          <w:p>
            <w:pPr>
              <w:spacing w:after="0"/>
              <w:rPr>
                <w:sz w:val="19"/>
                <w:szCs w:val="19"/>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$(80) to $(58)</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7"/>
              </w:rPr>
              <w:t>$(24)</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$99</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$176</w:t>
            </w:r>
          </w:p>
        </w:tc>
        <w:tc>
          <w:tcPr>
            <w:tcW w:w="80" w:type="dxa"/>
            <w:vAlign w:val="bottom"/>
          </w:tcPr>
          <w:p>
            <w:pPr>
              <w:spacing w:after="0"/>
              <w:rPr>
                <w:sz w:val="19"/>
                <w:szCs w:val="19"/>
                <w:color w:val="auto"/>
              </w:rPr>
            </w:pPr>
          </w:p>
        </w:tc>
        <w:tc>
          <w:tcPr>
            <w:tcW w:w="1480" w:type="dxa"/>
            <w:vAlign w:val="bottom"/>
          </w:tcPr>
          <w:p>
            <w:pPr>
              <w:jc w:val="right"/>
              <w:ind w:right="58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37"/>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1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$(90) to $(65)</w:t>
            </w: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Net (loss) income per share</w:t>
            </w:r>
          </w:p>
        </w:tc>
        <w:tc>
          <w:tcPr>
            <w:tcW w:w="100" w:type="dxa"/>
            <w:vAlign w:val="bottom"/>
          </w:tcPr>
          <w:p>
            <w:pPr>
              <w:spacing w:after="0"/>
              <w:rPr>
                <w:sz w:val="19"/>
                <w:szCs w:val="19"/>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$(0.49) to $(0.35)</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Non-GAAP</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EBITDA</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$155 to $178</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7"/>
              </w:rPr>
              <w:t>$(24)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$99</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Operational metric</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Net Bookings</w:t>
            </w:r>
          </w:p>
        </w:tc>
        <w:tc>
          <w:tcPr>
            <w:tcW w:w="1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$1,550 to $1,600</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reporting tax rate anticipated to be 18%</w:t>
      </w:r>
    </w:p>
    <w:p>
      <w:pPr>
        <w:spacing w:after="0" w:line="27"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 count used to calculate GAAP net loss per share is expected to be 185.0 million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 count used to calculate management reporting diluted net income per share is expected to be 187.2 million</w:t>
      </w:r>
    </w:p>
    <w:p>
      <w:pPr>
        <w:spacing w:after="0" w:line="234" w:lineRule="exact"/>
        <w:rPr>
          <w:sz w:val="20"/>
          <w:szCs w:val="20"/>
          <w:color w:val="auto"/>
        </w:rPr>
      </w:pPr>
    </w:p>
    <w:p>
      <w:pPr>
        <w:ind w:right="460" w:firstLine="8"/>
        <w:spacing w:after="0" w:line="293" w:lineRule="auto"/>
        <w:tabs>
          <w:tab w:leader="none" w:pos="175"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The individual components of the financial outlook may not foot to the totals, as the Company does not expect actual results for every component to be at the low end or high end of the outlook range simultaneously.</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Key assumptions and dependencies underlying the Company’s outlook include: a continuation of the current economic backdrop; the timely delivery of the titles included in this financial outlook; continued growth in the installed base of PlayStation 5 and Xbox Series X|S, as well as</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engagement on Xbox One and PlayStation 4; the ability to develop and publish products that capture market share for these current generation systems while also leveraging opportunities on PC, mobile and other platforms; factors affecting our performance on mobile, such</w:t>
      </w:r>
    </w:p>
    <w:p>
      <w:pPr>
        <w:spacing w:after="0" w:line="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as player acquisition costs; our ongoing focus on our live services portfolio and new game pipeline; and stable foreign exchange rates. See also “Cautionary Note Regarding Forward Looking Statements”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Releases</w:t>
      </w:r>
    </w:p>
    <w:p>
      <w:pPr>
        <w:spacing w:after="0" w:line="25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have been released since July 1, 2025:</w:t>
      </w:r>
    </w:p>
    <w:p>
      <w:pPr>
        <w:spacing w:after="0" w:line="278" w:lineRule="exact"/>
        <w:rPr>
          <w:sz w:val="20"/>
          <w:szCs w:val="20"/>
          <w:color w:val="auto"/>
        </w:rPr>
      </w:pPr>
    </w:p>
    <w:tbl>
      <w:tblPr>
        <w:tblLayout w:type="fixed"/>
        <w:tblInd w:w="130" w:type="dxa"/>
        <w:tblCellMar>
          <w:top w:w="0" w:type="dxa"/>
          <w:left w:w="0" w:type="dxa"/>
          <w:bottom w:w="0" w:type="dxa"/>
          <w:right w:w="0" w:type="dxa"/>
        </w:tblCellMar>
      </w:tblPr>
      <w:tr>
        <w:trPr>
          <w:trHeight w:val="216"/>
        </w:trPr>
        <w:tc>
          <w:tcPr>
            <w:tcW w:w="1560" w:type="dxa"/>
            <w:vAlign w:val="bottom"/>
            <w:tcBorders>
              <w:top w:val="single" w:sz="8" w:color="auto"/>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Label</w:t>
            </w:r>
          </w:p>
        </w:tc>
        <w:tc>
          <w:tcPr>
            <w:tcW w:w="448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Product</w:t>
            </w:r>
          </w:p>
        </w:tc>
        <w:tc>
          <w:tcPr>
            <w:tcW w:w="304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Platforms</w:t>
            </w:r>
          </w:p>
        </w:tc>
        <w:tc>
          <w:tcPr>
            <w:tcW w:w="196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Release Date</w:t>
            </w:r>
          </w:p>
        </w:tc>
      </w:tr>
      <w:tr>
        <w:trPr>
          <w:trHeight w:val="48"/>
        </w:trPr>
        <w:tc>
          <w:tcPr>
            <w:tcW w:w="8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r>
      <w:tr>
        <w:trPr>
          <w:trHeight w:val="230"/>
        </w:trPr>
        <w:tc>
          <w:tcPr>
            <w:tcW w:w="15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2K</w:t>
            </w:r>
          </w:p>
        </w:tc>
        <w:tc>
          <w:tcPr>
            <w:tcW w:w="44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WWE 2K25</w:t>
            </w:r>
          </w:p>
        </w:tc>
        <w:tc>
          <w:tcPr>
            <w:tcW w:w="30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Switch 2</w:t>
            </w:r>
          </w:p>
        </w:tc>
        <w:tc>
          <w:tcPr>
            <w:tcW w:w="19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July 22, 2025</w:t>
            </w:r>
          </w:p>
        </w:tc>
      </w:tr>
      <w:tr>
        <w:trPr>
          <w:trHeight w:val="237"/>
        </w:trPr>
        <w:tc>
          <w:tcPr>
            <w:tcW w:w="15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2K</w:t>
            </w:r>
          </w:p>
        </w:tc>
        <w:tc>
          <w:tcPr>
            <w:tcW w:w="44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Mafia: The Old Country</w:t>
            </w:r>
          </w:p>
        </w:tc>
        <w:tc>
          <w:tcPr>
            <w:tcW w:w="30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PS5, Xbox Series X|S, PC</w:t>
            </w:r>
          </w:p>
        </w:tc>
        <w:tc>
          <w:tcPr>
            <w:tcW w:w="19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August 8, 2025</w:t>
            </w:r>
          </w:p>
        </w:tc>
      </w:tr>
      <w:tr>
        <w:trPr>
          <w:trHeight w:val="215"/>
        </w:trPr>
        <w:tc>
          <w:tcPr>
            <w:tcW w:w="15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2K</w:t>
            </w:r>
          </w:p>
        </w:tc>
        <w:tc>
          <w:tcPr>
            <w:tcW w:w="4480" w:type="dxa"/>
            <w:vAlign w:val="bottom"/>
            <w:tcBorders>
              <w:right w:val="single" w:sz="8" w:color="auto"/>
            </w:tcBorders>
            <w:gridSpan w:val="3"/>
          </w:tcPr>
          <w:p>
            <w:pPr>
              <w:spacing w:after="0"/>
              <w:rPr>
                <w:sz w:val="20"/>
                <w:szCs w:val="20"/>
                <w:color w:val="auto"/>
              </w:rPr>
            </w:pPr>
            <w:r>
              <w:rPr>
                <w:rFonts w:ascii="Arial" w:cs="Arial" w:eastAsia="Arial" w:hAnsi="Arial"/>
                <w:sz w:val="16"/>
                <w:szCs w:val="16"/>
                <w:i w:val="1"/>
                <w:iCs w:val="1"/>
                <w:color w:val="auto"/>
              </w:rPr>
              <w:t>NBA 2K26</w:t>
            </w:r>
          </w:p>
        </w:tc>
        <w:tc>
          <w:tcPr>
            <w:tcW w:w="304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PS5, PS4, Xbox Series X|S, Xbox One,</w:t>
            </w:r>
          </w:p>
        </w:tc>
        <w:tc>
          <w:tcPr>
            <w:tcW w:w="196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September 5, 2025</w:t>
            </w:r>
          </w:p>
        </w:tc>
      </w:tr>
      <w:tr>
        <w:trPr>
          <w:trHeight w:val="224"/>
        </w:trPr>
        <w:tc>
          <w:tcPr>
            <w:tcW w:w="80" w:type="dxa"/>
            <w:vAlign w:val="bottom"/>
            <w:tcBorders>
              <w:left w:val="single" w:sz="8" w:color="auto"/>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c>
          <w:tcPr>
            <w:tcW w:w="30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PC, Switch 2, Switch</w:t>
            </w: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r>
      <w:tr>
        <w:trPr>
          <w:trHeight w:val="236"/>
        </w:trPr>
        <w:tc>
          <w:tcPr>
            <w:tcW w:w="15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2K</w:t>
            </w:r>
          </w:p>
        </w:tc>
        <w:tc>
          <w:tcPr>
            <w:tcW w:w="44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Borderlands 4</w:t>
            </w:r>
          </w:p>
        </w:tc>
        <w:tc>
          <w:tcPr>
            <w:tcW w:w="30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PS5, Xbox Series X|S, PC</w:t>
            </w:r>
          </w:p>
        </w:tc>
        <w:tc>
          <w:tcPr>
            <w:tcW w:w="19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September 12,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73" w:right="3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Take-Two's future lineup announced to-date includes:</w:t>
      </w:r>
    </w:p>
    <w:p>
      <w:pPr>
        <w:spacing w:after="0" w:line="35" w:lineRule="exact"/>
        <w:rPr>
          <w:sz w:val="20"/>
          <w:szCs w:val="20"/>
          <w:color w:val="auto"/>
        </w:rPr>
      </w:pPr>
    </w:p>
    <w:tbl>
      <w:tblPr>
        <w:tblLayout w:type="fixed"/>
        <w:tblInd w:w="130" w:type="dxa"/>
        <w:tblCellMar>
          <w:top w:w="0" w:type="dxa"/>
          <w:left w:w="0" w:type="dxa"/>
          <w:bottom w:w="0" w:type="dxa"/>
          <w:right w:w="0" w:type="dxa"/>
        </w:tblCellMar>
      </w:tblPr>
      <w:tr>
        <w:trPr>
          <w:trHeight w:val="216"/>
        </w:trPr>
        <w:tc>
          <w:tcPr>
            <w:tcW w:w="1860" w:type="dxa"/>
            <w:vAlign w:val="bottom"/>
            <w:tcBorders>
              <w:top w:val="single" w:sz="8" w:color="auto"/>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Label</w:t>
            </w:r>
          </w:p>
        </w:tc>
        <w:tc>
          <w:tcPr>
            <w:tcW w:w="430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Product</w:t>
            </w:r>
          </w:p>
        </w:tc>
        <w:tc>
          <w:tcPr>
            <w:tcW w:w="60" w:type="dxa"/>
            <w:vAlign w:val="bottom"/>
            <w:tcBorders>
              <w:top w:val="single" w:sz="8" w:color="auto"/>
            </w:tcBorders>
          </w:tcPr>
          <w:p>
            <w:pPr>
              <w:spacing w:after="0"/>
              <w:rPr>
                <w:sz w:val="18"/>
                <w:szCs w:val="18"/>
                <w:color w:val="auto"/>
              </w:rPr>
            </w:pPr>
          </w:p>
        </w:tc>
        <w:tc>
          <w:tcPr>
            <w:tcW w:w="27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Platforms</w:t>
            </w:r>
          </w:p>
        </w:tc>
        <w:tc>
          <w:tcPr>
            <w:tcW w:w="206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Release Date</w:t>
            </w:r>
          </w:p>
        </w:tc>
      </w:tr>
      <w:tr>
        <w:trPr>
          <w:trHeight w:val="48"/>
        </w:trPr>
        <w:tc>
          <w:tcPr>
            <w:tcW w:w="8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35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r>
      <w:tr>
        <w:trPr>
          <w:trHeight w:val="230"/>
        </w:trPr>
        <w:tc>
          <w:tcPr>
            <w:tcW w:w="18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2K</w:t>
            </w: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 xml:space="preserve">WWE 2K Mobile </w:t>
            </w:r>
            <w:r>
              <w:rPr>
                <w:rFonts w:ascii="Arial" w:cs="Arial" w:eastAsia="Arial" w:hAnsi="Arial"/>
                <w:sz w:val="16"/>
                <w:szCs w:val="16"/>
                <w:color w:val="auto"/>
              </w:rPr>
              <w:t>for Netflix</w:t>
            </w:r>
          </w:p>
        </w:tc>
        <w:tc>
          <w:tcPr>
            <w:tcW w:w="28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iOS, Android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Fall 2025</w:t>
            </w:r>
          </w:p>
        </w:tc>
      </w:tr>
      <w:tr>
        <w:trPr>
          <w:trHeight w:val="237"/>
        </w:trPr>
        <w:tc>
          <w:tcPr>
            <w:tcW w:w="18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2K</w:t>
            </w: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WWE 2K26</w:t>
            </w:r>
          </w:p>
        </w:tc>
        <w:tc>
          <w:tcPr>
            <w:tcW w:w="28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Q4 Fiscal 2026</w:t>
            </w:r>
          </w:p>
        </w:tc>
      </w:tr>
      <w:tr>
        <w:trPr>
          <w:trHeight w:val="237"/>
        </w:trPr>
        <w:tc>
          <w:tcPr>
            <w:tcW w:w="18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Rockstar Games</w:t>
            </w: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Grand Theft Auto VI</w:t>
            </w:r>
          </w:p>
        </w:tc>
        <w:tc>
          <w:tcPr>
            <w:tcW w:w="28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PS5, Xbox Series X|S</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November 19, 2026</w:t>
            </w:r>
          </w:p>
        </w:tc>
      </w:tr>
      <w:tr>
        <w:trPr>
          <w:trHeight w:val="237"/>
        </w:trPr>
        <w:tc>
          <w:tcPr>
            <w:tcW w:w="18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2K</w:t>
            </w: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Borderlands 4</w:t>
            </w:r>
          </w:p>
        </w:tc>
        <w:tc>
          <w:tcPr>
            <w:tcW w:w="28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Switch 2</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r>
      <w:tr>
        <w:trPr>
          <w:trHeight w:val="236"/>
        </w:trPr>
        <w:tc>
          <w:tcPr>
            <w:tcW w:w="18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Zynga</w:t>
            </w: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CSR 3</w:t>
            </w:r>
          </w:p>
        </w:tc>
        <w:tc>
          <w:tcPr>
            <w:tcW w:w="28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iOS, Android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r>
      <w:tr>
        <w:trPr>
          <w:trHeight w:val="237"/>
        </w:trPr>
        <w:tc>
          <w:tcPr>
            <w:tcW w:w="18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Zynga</w:t>
            </w: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Top Goal</w:t>
            </w:r>
          </w:p>
        </w:tc>
        <w:tc>
          <w:tcPr>
            <w:tcW w:w="28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iOS, Android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r>
      <w:tr>
        <w:trPr>
          <w:trHeight w:val="237"/>
        </w:trPr>
        <w:tc>
          <w:tcPr>
            <w:tcW w:w="18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Ghost Story Games</w:t>
            </w: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Judas</w:t>
            </w:r>
          </w:p>
        </w:tc>
        <w:tc>
          <w:tcPr>
            <w:tcW w:w="28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PS5, Xbox Series X|S, PC</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r>
      <w:tr>
        <w:trPr>
          <w:trHeight w:val="237"/>
        </w:trPr>
        <w:tc>
          <w:tcPr>
            <w:tcW w:w="18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2K</w:t>
            </w: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Project ETHOS</w:t>
            </w:r>
          </w:p>
        </w:tc>
        <w:tc>
          <w:tcPr>
            <w:tcW w:w="28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r>
      <w:tr>
        <w:trPr>
          <w:trHeight w:val="236"/>
        </w:trPr>
        <w:tc>
          <w:tcPr>
            <w:tcW w:w="18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2K</w:t>
            </w: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 xml:space="preserve">BioShock </w:t>
            </w:r>
            <w:r>
              <w:rPr>
                <w:rFonts w:ascii="Arial" w:cs="Arial" w:eastAsia="Arial" w:hAnsi="Arial"/>
                <w:sz w:val="16"/>
                <w:szCs w:val="16"/>
                <w:color w:val="auto"/>
              </w:rPr>
              <w:t>next iteration</w:t>
            </w:r>
          </w:p>
        </w:tc>
        <w:tc>
          <w:tcPr>
            <w:tcW w:w="28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39"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 xml:space="preserve">Take-Two will host a conference call today at 4:30 p.m. Eastern Time to review these results and discuss other topics. The call can be accessed by dialing (800) 715-9871 or (646) 307-1963 (conference ID: 9711440). A live listen-only webcast of the call will be available by visiting </w:t>
      </w:r>
      <w:r>
        <w:rPr>
          <w:rFonts w:ascii="Arial" w:cs="Arial" w:eastAsia="Arial" w:hAnsi="Arial"/>
          <w:sz w:val="18"/>
          <w:szCs w:val="18"/>
          <w:u w:val="single" w:color="auto"/>
          <w:color w:val="0000FF"/>
        </w:rPr>
        <w:t>http://ir.take2games.com</w:t>
      </w:r>
      <w:r>
        <w:rPr>
          <w:rFonts w:ascii="Arial" w:cs="Arial" w:eastAsia="Arial" w:hAnsi="Arial"/>
          <w:sz w:val="18"/>
          <w:szCs w:val="18"/>
          <w:color w:val="auto"/>
        </w:rPr>
        <w:t xml:space="preserve"> and a replay will be available following the call at the same location.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w:t>
      </w:r>
    </w:p>
    <w:p>
      <w:pPr>
        <w:spacing w:after="0" w:line="2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In addition to reporting financial results in accordance with U.S. generally accepted accounting principles (GAAP), the Company uses a Non-GAAP measure of financial performance: </w:t>
      </w:r>
      <w:r>
        <w:rPr>
          <w:rFonts w:ascii="Arial" w:cs="Arial" w:eastAsia="Arial" w:hAnsi="Arial"/>
          <w:sz w:val="18"/>
          <w:szCs w:val="18"/>
          <w:b w:val="1"/>
          <w:bCs w:val="1"/>
          <w:i w:val="1"/>
          <w:iCs w:val="1"/>
          <w:color w:val="auto"/>
        </w:rPr>
        <w:t>EBITDA</w:t>
      </w:r>
      <w:r>
        <w:rPr>
          <w:rFonts w:ascii="Arial" w:cs="Arial" w:eastAsia="Arial" w:hAnsi="Arial"/>
          <w:sz w:val="18"/>
          <w:szCs w:val="18"/>
          <w:color w:val="auto"/>
        </w:rPr>
        <w:t>, which is defined as GAAP net income (loss) excluding interest income (expense), provision for (benefit from) income taxes, depreciation expense, and amortization and impairment of acquired intangibles.</w:t>
      </w:r>
    </w:p>
    <w:p>
      <w:pPr>
        <w:spacing w:after="0" w:line="20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Company’s management believes it is important to consider EBITDA, in addition to net income, as it removes the effect of certain non-cash expenses, debt-related charges, and income taxes. Management believes that, when considered together with reported amounts, EBITDA is useful to investors and management in understanding the Company’s ongoing operations and in analysis of ongoing operating trends and provides useful additional information relating to the Company’s operations and financial condition.</w:t>
      </w:r>
    </w:p>
    <w:p>
      <w:pPr>
        <w:spacing w:after="0" w:line="21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This Non-GAAP financial measure is not intended to be considered in isolation from, as a substitute for, or superior to, GAAP results. This Non-GAAP financial measure may be different from similarly titled measures used by other companies. In the future, Take-Two may also consider whether other items should also be excluded in calculating this Non-GAAP financial measure used by the Company. Management believes that the presentation of this Non-GAAP financial measure provides investors with additional useful information to measure Take-Two's financial and operating performance. In particular, this measure facilitates comparison of our operating performance between periods and may help investors to understand better the operating results of Take-Two. Internally, management uses this Non-GAAP financial measure in assessing the Company's operating results and in planning and forecasting. A reconciliation of this Non-GAAP financial measure to the most comparable GAAP measure is contained in the financial tables to this press release.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Final Results</w:t>
      </w:r>
    </w:p>
    <w:p>
      <w:pPr>
        <w:spacing w:after="0" w:line="25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financial results discussed herein are presented on a preliminary basis; final data will be included in Take-Two’s Quarterly Report on Form 10-Q for the period ended September 30,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Take-Two Interactive Software</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Headquartered in New York City, Take-Two Interactive Software, Inc. is a leading developer, publisher, and marketer of interactive entertainment for consumers around the globe. We develop and publish products principally through Rockstar Games, 2K, and Zynga. Our strategy is to create hit entertainment experiences, delivered on every platform relevant to our audience through a variety of sound business models. Our pillars - creativity, innovation, and efficiency - guide us as we strive to create the highest quality, most captivating experiences for our consumers. The Company’s common stock is publicly traded on NASDAQ under the symbol TTWO. For more corporate and product information please visit our website at </w:t>
      </w:r>
      <w:r>
        <w:rPr>
          <w:rFonts w:ascii="Arial" w:cs="Arial" w:eastAsia="Arial" w:hAnsi="Arial"/>
          <w:sz w:val="18"/>
          <w:szCs w:val="18"/>
          <w:u w:val="single" w:color="auto"/>
          <w:color w:val="0000FF"/>
        </w:rPr>
        <w:t>http://www.take2games.com</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All trademarks and copyrights contained herein are the property of their respective holders.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93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27" w:lineRule="exact"/>
        <w:rPr>
          <w:sz w:val="20"/>
          <w:szCs w:val="20"/>
          <w:color w:val="auto"/>
        </w:rPr>
      </w:pPr>
    </w:p>
    <w:p>
      <w:pPr>
        <w:jc w:val="both"/>
        <w:ind w:right="60"/>
        <w:spacing w:after="0" w:line="265" w:lineRule="auto"/>
        <w:rPr>
          <w:sz w:val="20"/>
          <w:szCs w:val="20"/>
          <w:color w:val="auto"/>
        </w:rPr>
      </w:pPr>
      <w:r>
        <w:rPr>
          <w:rFonts w:ascii="Arial" w:cs="Arial" w:eastAsia="Arial" w:hAnsi="Arial"/>
          <w:sz w:val="17"/>
          <w:szCs w:val="17"/>
          <w:color w:val="auto"/>
        </w:rPr>
        <w:t>The statements contained herein, which are not historical facts, including statements relating to Take-Two Interactive Software, Inc.'s ("Take-Two," the "Company," "we," "us," or similar pronouns) outlook, are considered forward-looking statements under federal securities laws and may be identified by words such as "anticipates," "believes," "estimates," "expects," "intends," "plans," "potential," "predicts," "projects,"</w:t>
      </w:r>
    </w:p>
    <w:p>
      <w:pPr>
        <w:spacing w:after="0" w:line="251" w:lineRule="auto"/>
        <w:rPr>
          <w:sz w:val="20"/>
          <w:szCs w:val="20"/>
          <w:color w:val="auto"/>
        </w:rPr>
      </w:pPr>
      <w:r>
        <w:rPr>
          <w:rFonts w:ascii="Arial" w:cs="Arial" w:eastAsia="Arial" w:hAnsi="Arial"/>
          <w:sz w:val="18"/>
          <w:szCs w:val="18"/>
          <w:color w:val="auto"/>
        </w:rPr>
        <w:t xml:space="preserve">"seeks,"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risks relating to the timely release and significant market acceptance of our games; the risks of conducting business internationally, including as a result of unforeseen geopolitical events; the impact of changes in interest rates by the Federal Reserve and other central banks, including on our short-term investment portfolio; the impact of inflation; volatility in foreign currency exchange rates; our dependence on key management and product development personnel; our dependence on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Theft Auto </w:t>
      </w:r>
      <w:r>
        <w:rPr>
          <w:rFonts w:ascii="Arial" w:cs="Arial" w:eastAsia="Arial" w:hAnsi="Arial"/>
          <w:sz w:val="18"/>
          <w:szCs w:val="18"/>
          <w:color w:val="auto"/>
        </w:rPr>
        <w:t>products and our ability to develop other hit titles; our ability to leverage opportunities on PlayStation®5 and Xbox Series X|S;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factors affecting our mobile business, such as player acquisition costs; and the ability to maintain acceptable pricing levels on our games. 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t>
      </w:r>
      <w:r>
        <w:rPr>
          <w:rFonts w:ascii="Arial" w:cs="Arial" w:eastAsia="Arial" w:hAnsi="Arial"/>
          <w:sz w:val="18"/>
          <w:szCs w:val="18"/>
          <w:u w:val="single" w:color="auto"/>
          <w:color w:val="0000FF"/>
        </w:rPr>
        <w:t>www.take2games.com</w:t>
      </w:r>
      <w:r>
        <w:rPr>
          <w:rFonts w:ascii="Arial" w:cs="Arial" w:eastAsia="Arial" w:hAnsi="Arial"/>
          <w:sz w:val="18"/>
          <w:szCs w:val="18"/>
          <w:color w:val="auto"/>
        </w:rPr>
        <w:t>.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931" w:right="35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340" w:right="2400"/>
        <w:spacing w:after="0" w:line="331" w:lineRule="auto"/>
        <w:rPr>
          <w:sz w:val="20"/>
          <w:szCs w:val="20"/>
          <w:color w:val="auto"/>
        </w:rPr>
      </w:pPr>
      <w:r>
        <w:rPr>
          <w:rFonts w:ascii="Times New Roman" w:cs="Times New Roman" w:eastAsia="Times New Roman" w:hAnsi="Times New Roman"/>
          <w:sz w:val="18"/>
          <w:szCs w:val="18"/>
          <w:b w:val="1"/>
          <w:bCs w:val="1"/>
          <w:color w:val="auto"/>
        </w:rPr>
        <w:t>TAKE-TWO INTERACTIVE SOFTWARE, INC. CONDENSED CONSOLIDATED STATEMENTS OF OPERATIONS (Unaudited) (in millions,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8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40" w:type="dxa"/>
            <w:vAlign w:val="bottom"/>
          </w:tcPr>
          <w:p>
            <w:pPr>
              <w:spacing w:after="0"/>
              <w:rPr>
                <w:sz w:val="20"/>
                <w:szCs w:val="20"/>
                <w:color w:val="auto"/>
              </w:rPr>
            </w:pPr>
          </w:p>
        </w:tc>
        <w:tc>
          <w:tcPr>
            <w:tcW w:w="33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3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Game</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1,640.9</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1,233.9</w:t>
            </w:r>
          </w:p>
        </w:tc>
        <w:tc>
          <w:tcPr>
            <w:tcW w:w="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3,023.4</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2,450.6</w:t>
            </w: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7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254.2</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r>
      <w:tr>
        <w:trPr>
          <w:trHeight w:val="23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1,773.8</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3,277.6</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2,691.3</w:t>
            </w: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 costs</w:t>
            </w:r>
          </w:p>
        </w:tc>
        <w:tc>
          <w:tcPr>
            <w:tcW w:w="1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Game intangibles</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r>
      <w:tr>
        <w:trPr>
          <w:trHeight w:val="243"/>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1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 development costs and royalties</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43"/>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Internal royalties</w:t>
            </w:r>
          </w:p>
        </w:tc>
        <w:tc>
          <w:tcPr>
            <w:tcW w:w="1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7"/>
        </w:trPr>
        <w:tc>
          <w:tcPr>
            <w:tcW w:w="3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793.3</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1,352.1</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1,192.3</w:t>
            </w:r>
          </w:p>
        </w:tc>
      </w:tr>
      <w:tr>
        <w:trPr>
          <w:trHeight w:val="23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980.5</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1,925.5</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1,499.0</w:t>
            </w: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w:t>
            </w:r>
          </w:p>
        </w:tc>
      </w:tr>
      <w:tr>
        <w:trPr>
          <w:trHeight w:val="243"/>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268.0</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w:t>
            </w: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w:t>
            </w:r>
          </w:p>
        </w:tc>
      </w:tr>
      <w:tr>
        <w:trPr>
          <w:trHeight w:val="243"/>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7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reorganization</w:t>
            </w:r>
          </w:p>
        </w:tc>
        <w:tc>
          <w:tcPr>
            <w:tcW w:w="1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3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1,078.5</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2,001.9</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1,981.1</w:t>
            </w:r>
          </w:p>
        </w:tc>
      </w:tr>
      <w:tr>
        <w:trPr>
          <w:trHeight w:val="27"/>
        </w:trPr>
        <w:tc>
          <w:tcPr>
            <w:tcW w:w="3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w:t>
            </w:r>
          </w:p>
        </w:tc>
      </w:tr>
      <w:tr>
        <w:trPr>
          <w:trHeight w:val="24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other, net</w:t>
            </w:r>
          </w:p>
        </w:tc>
        <w:tc>
          <w:tcPr>
            <w:tcW w:w="1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7"/>
        </w:trPr>
        <w:tc>
          <w:tcPr>
            <w:tcW w:w="3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r>
      <w:tr>
        <w:trPr>
          <w:trHeight w:val="24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7"/>
        </w:trPr>
        <w:tc>
          <w:tcPr>
            <w:tcW w:w="3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(145.8)</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w:t>
            </w:r>
          </w:p>
        </w:tc>
      </w:tr>
      <w:tr>
        <w:trPr>
          <w:trHeight w:val="20"/>
        </w:trPr>
        <w:tc>
          <w:tcPr>
            <w:tcW w:w="3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77"/>
        </w:trPr>
        <w:tc>
          <w:tcPr>
            <w:tcW w:w="3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50"/>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(0.73)</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(0.80)</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r>
    </w:tbl>
    <w:p>
      <w:pPr>
        <w:spacing w:after="0" w:line="200" w:lineRule="exact"/>
        <w:rPr>
          <w:sz w:val="20"/>
          <w:szCs w:val="20"/>
          <w:color w:val="auto"/>
        </w:rPr>
      </w:pPr>
    </w:p>
    <w:p>
      <w:pPr>
        <w:sectPr>
          <w:pgSz w:w="11900" w:h="16838" w:orient="portrait"/>
          <w:cols w:equalWidth="0" w:num="1">
            <w:col w:w="11180"/>
          </w:cols>
          <w:pgMar w:left="320" w:top="1440" w:right="399" w:bottom="1440" w:gutter="0" w:footer="0" w:header="0"/>
        </w:sectPr>
      </w:pP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180"/>
          </w:cols>
          <w:pgMar w:left="320" w:top="1440" w:right="39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260" w:type="dxa"/>
            <w:vAlign w:val="bottom"/>
          </w:tcPr>
          <w:p>
            <w:pPr>
              <w:spacing w:after="0"/>
              <w:rPr>
                <w:sz w:val="17"/>
                <w:szCs w:val="17"/>
                <w:color w:val="auto"/>
              </w:rPr>
            </w:pP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5"/>
                <w:szCs w:val="15"/>
                <w:b w:val="1"/>
                <w:bCs w:val="1"/>
                <w:color w:val="auto"/>
              </w:rPr>
              <w:t>March 31, 2025</w:t>
            </w:r>
          </w:p>
        </w:tc>
      </w:tr>
      <w:tr>
        <w:trPr>
          <w:trHeight w:val="35"/>
        </w:trPr>
        <w:tc>
          <w:tcPr>
            <w:tcW w:w="73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03"/>
        </w:trPr>
        <w:tc>
          <w:tcPr>
            <w:tcW w:w="7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r>
      <w:tr>
        <w:trPr>
          <w:trHeight w:val="233"/>
        </w:trPr>
        <w:tc>
          <w:tcPr>
            <w:tcW w:w="7460" w:type="dxa"/>
            <w:vAlign w:val="bottom"/>
            <w:gridSpan w:val="2"/>
          </w:tcPr>
          <w:p>
            <w:pPr>
              <w:ind w:left="34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3"/>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33"/>
        </w:trPr>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1,869.1</w:t>
            </w:r>
          </w:p>
        </w:tc>
        <w:tc>
          <w:tcPr>
            <w:tcW w:w="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1,456.1</w:t>
            </w:r>
          </w:p>
        </w:tc>
      </w:tr>
      <w:tr>
        <w:trPr>
          <w:trHeight w:val="253"/>
        </w:trPr>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33"/>
        </w:trPr>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12"/>
        </w:trPr>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allowances of $1.8 and $1.6 at September 30, 2025 and March 31, 2025,</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43"/>
        </w:trPr>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1,165.4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771.1</w:t>
            </w:r>
          </w:p>
        </w:tc>
      </w:tr>
      <w:tr>
        <w:trPr>
          <w:trHeight w:val="233"/>
        </w:trPr>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Software development costs and licenses</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r>
      <w:tr>
        <w:trPr>
          <w:trHeight w:val="253"/>
        </w:trPr>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r>
      <w:tr>
        <w:trPr>
          <w:trHeight w:val="237"/>
        </w:trPr>
        <w:tc>
          <w:tcPr>
            <w:tcW w:w="7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355.7</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402.8</w:t>
            </w:r>
          </w:p>
        </w:tc>
      </w:tr>
      <w:tr>
        <w:trPr>
          <w:trHeight w:val="236"/>
        </w:trPr>
        <w:tc>
          <w:tcPr>
            <w:tcW w:w="738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3,814.9</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2,815.9</w:t>
            </w:r>
          </w:p>
        </w:tc>
      </w:tr>
      <w:tr>
        <w:trPr>
          <w:trHeight w:val="233"/>
        </w:trPr>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Fixed assets, net</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424.1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443.8</w:t>
            </w:r>
          </w:p>
        </w:tc>
      </w:tr>
      <w:tr>
        <w:trPr>
          <w:trHeight w:val="253"/>
        </w:trPr>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334.2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w:t>
            </w:r>
          </w:p>
        </w:tc>
      </w:tr>
      <w:tr>
        <w:trPr>
          <w:trHeight w:val="233"/>
        </w:trPr>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Software development costs and licenses, net of current portion</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2,101.8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1,892.6</w:t>
            </w:r>
          </w:p>
        </w:tc>
      </w:tr>
      <w:tr>
        <w:trPr>
          <w:trHeight w:val="253"/>
        </w:trPr>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1,064.1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1,057.3</w:t>
            </w:r>
          </w:p>
        </w:tc>
      </w:tr>
      <w:tr>
        <w:trPr>
          <w:trHeight w:val="233"/>
        </w:trPr>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intangibles, net</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2,336.0</w:t>
            </w:r>
          </w:p>
        </w:tc>
      </w:tr>
      <w:tr>
        <w:trPr>
          <w:trHeight w:val="253"/>
        </w:trPr>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restricted cash and cash equivalents</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r>
      <w:tr>
        <w:trPr>
          <w:trHeight w:val="237"/>
        </w:trPr>
        <w:tc>
          <w:tcPr>
            <w:tcW w:w="7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248.7</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220.8</w:t>
            </w:r>
          </w:p>
        </w:tc>
      </w:tr>
      <w:tr>
        <w:trPr>
          <w:trHeight w:val="256"/>
        </w:trPr>
        <w:tc>
          <w:tcPr>
            <w:tcW w:w="73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10,080.3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9,180.7</w:t>
            </w:r>
          </w:p>
        </w:tc>
      </w:tr>
      <w:tr>
        <w:trPr>
          <w:trHeight w:val="20"/>
        </w:trPr>
        <w:tc>
          <w:tcPr>
            <w:tcW w:w="7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4"/>
        </w:trPr>
        <w:tc>
          <w:tcPr>
            <w:tcW w:w="7460" w:type="dxa"/>
            <w:vAlign w:val="bottom"/>
            <w:gridSpan w:val="2"/>
          </w:tcPr>
          <w:p>
            <w:pPr>
              <w:ind w:left="19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53"/>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33"/>
        </w:trPr>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213.5</w:t>
            </w:r>
          </w:p>
        </w:tc>
        <w:tc>
          <w:tcPr>
            <w:tcW w:w="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w:t>
            </w:r>
          </w:p>
        </w:tc>
      </w:tr>
      <w:tr>
        <w:trPr>
          <w:trHeight w:val="253"/>
        </w:trPr>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1,227.0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1,127.6</w:t>
            </w:r>
          </w:p>
        </w:tc>
      </w:tr>
      <w:tr>
        <w:trPr>
          <w:trHeight w:val="233"/>
        </w:trPr>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1,250.5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1,083.5</w:t>
            </w:r>
          </w:p>
        </w:tc>
      </w:tr>
      <w:tr>
        <w:trPr>
          <w:trHeight w:val="253"/>
        </w:trPr>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r>
      <w:tr>
        <w:trPr>
          <w:trHeight w:val="236"/>
        </w:trPr>
        <w:tc>
          <w:tcPr>
            <w:tcW w:w="7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Short-term debt, net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549.3</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1,148.5</w:t>
            </w:r>
          </w:p>
        </w:tc>
      </w:tr>
      <w:tr>
        <w:trPr>
          <w:trHeight w:val="236"/>
        </w:trPr>
        <w:tc>
          <w:tcPr>
            <w:tcW w:w="73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3,306.8</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3,615.8</w:t>
            </w:r>
          </w:p>
        </w:tc>
      </w:tr>
      <w:tr>
        <w:trPr>
          <w:trHeight w:val="260"/>
        </w:trPr>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Long-term debt, net</w:t>
            </w:r>
          </w:p>
        </w:tc>
        <w:tc>
          <w:tcPr>
            <w:tcW w:w="1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2,517.3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2,512.6</w:t>
            </w:r>
          </w:p>
        </w:tc>
      </w:tr>
      <w:tr>
        <w:trPr>
          <w:trHeight w:val="253"/>
        </w:trPr>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deferred revenue</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33"/>
        </w:trPr>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Non-current lease liabilities</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378.6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w:t>
            </w:r>
          </w:p>
        </w:tc>
      </w:tr>
      <w:tr>
        <w:trPr>
          <w:trHeight w:val="253"/>
        </w:trPr>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software development royalties</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r>
      <w:tr>
        <w:trPr>
          <w:trHeight w:val="233"/>
        </w:trPr>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222.7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259.6</w:t>
            </w:r>
          </w:p>
        </w:tc>
      </w:tr>
      <w:tr>
        <w:trPr>
          <w:trHeight w:val="246"/>
        </w:trPr>
        <w:tc>
          <w:tcPr>
            <w:tcW w:w="7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123.1</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r>
      <w:tr>
        <w:trPr>
          <w:trHeight w:val="216"/>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6,648.4</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7,043.0</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02"/>
        </w:trPr>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5.0 shares authorized; no shares issued and outstanding at September 30,</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4"/>
        </w:trPr>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2025 and March 31, 2025</w:t>
            </w:r>
          </w:p>
        </w:tc>
        <w:tc>
          <w:tcPr>
            <w:tcW w:w="18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$0.01 par value, 300.0 and 300.0 shares authorized; 208.4 and 200.8 shares issued and 184.7</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43"/>
        </w:trPr>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177.1 outstanding at September 30, 2025 and March 31, 2025, respectively</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33"/>
        </w:trPr>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11,707.0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10,312.0</w:t>
            </w:r>
          </w:p>
        </w:tc>
      </w:tr>
      <w:tr>
        <w:trPr>
          <w:trHeight w:val="253"/>
        </w:trPr>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 23.7 and 23.7 common shares at September 30, 2025 and March 31, 2025, respectively</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(1,020.6)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(1,020.6)</w:t>
            </w:r>
          </w:p>
        </w:tc>
      </w:tr>
      <w:tr>
        <w:trPr>
          <w:trHeight w:val="233"/>
        </w:trPr>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(7,204.6)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(7,058.8)</w:t>
            </w:r>
          </w:p>
        </w:tc>
      </w:tr>
      <w:tr>
        <w:trPr>
          <w:trHeight w:val="246"/>
        </w:trPr>
        <w:tc>
          <w:tcPr>
            <w:tcW w:w="7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(52.0)</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r>
      <w:tr>
        <w:trPr>
          <w:trHeight w:val="236"/>
        </w:trPr>
        <w:tc>
          <w:tcPr>
            <w:tcW w:w="7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3,431.9</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2,137.7</w:t>
            </w:r>
          </w:p>
        </w:tc>
      </w:tr>
      <w:tr>
        <w:trPr>
          <w:trHeight w:val="250"/>
        </w:trPr>
        <w:tc>
          <w:tcPr>
            <w:tcW w:w="738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10,080.3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9,180.7</w:t>
            </w:r>
          </w:p>
        </w:tc>
      </w:tr>
    </w:tbl>
    <w:p>
      <w:pPr>
        <w:spacing w:after="0" w:line="8" w:lineRule="exact"/>
        <w:rPr>
          <w:sz w:val="20"/>
          <w:szCs w:val="20"/>
          <w:color w:val="auto"/>
        </w:rPr>
      </w:pPr>
    </w:p>
    <w:p>
      <w:pPr>
        <w:sectPr>
          <w:pgSz w:w="11900" w:h="16838" w:orient="portrait"/>
          <w:cols w:equalWidth="0" w:num="1">
            <w:col w:w="11240"/>
          </w:cols>
          <w:pgMar w:left="320" w:top="1440" w:right="339" w:bottom="0" w:gutter="0" w:footer="0" w:header="0"/>
        </w:sect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type w:val="continuous"/>
        </w:sectPr>
      </w:pPr>
    </w:p>
    <w:bookmarkStart w:id="11" w:name="page12"/>
    <w:bookmarkEnd w:id="1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340" w:right="2420"/>
        <w:spacing w:after="0" w:line="361" w:lineRule="auto"/>
        <w:rPr>
          <w:sz w:val="20"/>
          <w:szCs w:val="20"/>
          <w:color w:val="auto"/>
        </w:rPr>
      </w:pPr>
      <w:r>
        <w:rPr>
          <w:rFonts w:ascii="Times New Roman" w:cs="Times New Roman" w:eastAsia="Times New Roman" w:hAnsi="Times New Roman"/>
          <w:sz w:val="18"/>
          <w:szCs w:val="18"/>
          <w:b w:val="1"/>
          <w:bCs w:val="1"/>
          <w:color w:val="auto"/>
        </w:rPr>
        <w:t>TAKE-TWO INTERACTIVE SOFTWARE, INC. CONDENSED CONSOLIDATED STATEMENTS OF CASH FLOWS (Unaudited) (in millions)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4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c>
          <w:tcPr>
            <w:tcW w:w="760" w:type="dxa"/>
            <w:vAlign w:val="bottom"/>
            <w:tcBorders>
              <w:bottom w:val="single" w:sz="8" w:color="auto"/>
            </w:tcBorders>
          </w:tcPr>
          <w:p>
            <w:pPr>
              <w:spacing w:after="0"/>
              <w:rPr>
                <w:sz w:val="19"/>
                <w:szCs w:val="19"/>
                <w:color w:val="auto"/>
              </w:rPr>
            </w:pPr>
          </w:p>
        </w:tc>
      </w:tr>
      <w:tr>
        <w:trPr>
          <w:trHeight w:val="237"/>
        </w:trPr>
        <w:tc>
          <w:tcPr>
            <w:tcW w:w="65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20"/>
                <w:szCs w:val="20"/>
                <w:color w:val="auto"/>
              </w:rPr>
            </w:pPr>
          </w:p>
        </w:tc>
      </w:tr>
      <w:tr>
        <w:trPr>
          <w:trHeight w:val="22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3"/>
        </w:trPr>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480" w:type="dxa"/>
            <w:vAlign w:val="bottom"/>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(145.8)</w:t>
            </w:r>
          </w:p>
        </w:tc>
        <w:tc>
          <w:tcPr>
            <w:tcW w:w="120" w:type="dxa"/>
            <w:vAlign w:val="bottom"/>
          </w:tcPr>
          <w:p>
            <w:pPr>
              <w:spacing w:after="0"/>
              <w:rPr>
                <w:sz w:val="20"/>
                <w:szCs w:val="20"/>
                <w:color w:val="auto"/>
              </w:rPr>
            </w:pPr>
          </w:p>
        </w:tc>
        <w:tc>
          <w:tcPr>
            <w:tcW w:w="1480" w:type="dxa"/>
            <w:vAlign w:val="bottom"/>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(627.5)</w:t>
            </w:r>
          </w:p>
        </w:tc>
      </w:tr>
      <w:tr>
        <w:trPr>
          <w:trHeight w:val="253"/>
        </w:trPr>
        <w:tc>
          <w:tcPr>
            <w:tcW w:w="6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Amortization and impairment of software development costs and licenses</w:t>
            </w: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191.7</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136.6</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w:t>
            </w: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Noncash lease expense</w:t>
            </w: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26.3</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and impairment of intangibles</w:t>
            </w: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349.5</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w:t>
            </w: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w:t>
            </w: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82.9</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76.3</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Fair value adjustments</w:t>
            </w: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net</w:t>
            </w: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33"/>
        </w:trPr>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Changes in assets and liabilities, net of effect from purchases of businesses:</w:t>
            </w:r>
          </w:p>
        </w:tc>
        <w:tc>
          <w:tcPr>
            <w:tcW w:w="1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(393.1)</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w:t>
            </w: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Software development costs and licenses</w:t>
            </w: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(345.0)</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(362.8)</w:t>
            </w: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and other non-current assets</w:t>
            </w: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156.2</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46"/>
        </w:trPr>
        <w:tc>
          <w:tcPr>
            <w:tcW w:w="6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8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(60.3)</w:t>
            </w:r>
          </w:p>
        </w:tc>
        <w:tc>
          <w:tcPr>
            <w:tcW w:w="12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r>
      <w:tr>
        <w:trPr>
          <w:trHeight w:val="236"/>
        </w:trPr>
        <w:tc>
          <w:tcPr>
            <w:tcW w:w="6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83.7</w:t>
            </w:r>
          </w:p>
        </w:tc>
        <w:tc>
          <w:tcPr>
            <w:tcW w:w="1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(319.4)</w:t>
            </w:r>
          </w:p>
        </w:tc>
      </w:tr>
      <w:tr>
        <w:trPr>
          <w:trHeight w:val="243"/>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Change in bank time deposits</w:t>
            </w: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(237.0)</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fixed assets</w:t>
            </w: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(57.0)</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Purchases of long-term investments</w:t>
            </w: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Asset acquisitions</w:t>
            </w: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37"/>
        </w:trPr>
        <w:tc>
          <w:tcPr>
            <w:tcW w:w="6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Business acquisitions</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1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36"/>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(314.0)</w:t>
            </w:r>
          </w:p>
        </w:tc>
        <w:tc>
          <w:tcPr>
            <w:tcW w:w="12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r>
      <w:tr>
        <w:trPr>
          <w:trHeight w:val="23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 payment related to net share settlements on restricted stock awards</w:t>
            </w: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1,219.6</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 for settlement of convertible notes</w:t>
            </w:r>
          </w:p>
        </w:tc>
        <w:tc>
          <w:tcPr>
            <w:tcW w:w="1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14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w:t>
            </w: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debt</w:t>
            </w:r>
          </w:p>
        </w:tc>
        <w:tc>
          <w:tcPr>
            <w:tcW w:w="1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Repayment of debt</w:t>
            </w: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(600.0)</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6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 of contingent earn-out consideration</w:t>
            </w:r>
          </w:p>
        </w:tc>
        <w:tc>
          <w:tcPr>
            <w:tcW w:w="8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37"/>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618.0</w:t>
            </w:r>
          </w:p>
        </w:tc>
        <w:tc>
          <w:tcPr>
            <w:tcW w:w="1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597.0</w:t>
            </w:r>
          </w:p>
        </w:tc>
      </w:tr>
      <w:tr>
        <w:trPr>
          <w:trHeight w:val="202"/>
        </w:trPr>
        <w:tc>
          <w:tcPr>
            <w:tcW w:w="6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Effects of foreign currency exchange rates on cash, cash equivalents, and restricted cash and cash</w:t>
            </w:r>
          </w:p>
        </w:tc>
        <w:tc>
          <w:tcPr>
            <w:tcW w:w="1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7"/>
        </w:trPr>
        <w:tc>
          <w:tcPr>
            <w:tcW w:w="65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equivalents</w:t>
            </w:r>
          </w:p>
        </w:tc>
        <w:tc>
          <w:tcPr>
            <w:tcW w:w="8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w:t>
            </w:r>
          </w:p>
        </w:tc>
        <w:tc>
          <w:tcPr>
            <w:tcW w:w="12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33"/>
        </w:trPr>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 and cash equivalents</w:t>
            </w: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401.8</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w:t>
            </w:r>
          </w:p>
        </w:tc>
      </w:tr>
      <w:tr>
        <w:trPr>
          <w:trHeight w:val="246"/>
        </w:trPr>
        <w:tc>
          <w:tcPr>
            <w:tcW w:w="65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beginning of year (1)</w:t>
            </w:r>
          </w:p>
        </w:tc>
        <w:tc>
          <w:tcPr>
            <w:tcW w:w="8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1,559.2</w:t>
            </w:r>
          </w:p>
        </w:tc>
        <w:tc>
          <w:tcPr>
            <w:tcW w:w="12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1,102.0</w:t>
            </w:r>
          </w:p>
        </w:tc>
      </w:tr>
      <w:tr>
        <w:trPr>
          <w:trHeight w:val="236"/>
        </w:trPr>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end of period (1)</w:t>
            </w:r>
          </w:p>
        </w:tc>
        <w:tc>
          <w:tcPr>
            <w:tcW w:w="1480" w:type="dxa"/>
            <w:vAlign w:val="bottom"/>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1,961.0</w:t>
            </w:r>
          </w:p>
        </w:tc>
        <w:tc>
          <w:tcPr>
            <w:tcW w:w="120" w:type="dxa"/>
            <w:vAlign w:val="bottom"/>
          </w:tcPr>
          <w:p>
            <w:pPr>
              <w:spacing w:after="0"/>
              <w:rPr>
                <w:sz w:val="20"/>
                <w:szCs w:val="20"/>
                <w:color w:val="auto"/>
              </w:rPr>
            </w:pPr>
          </w:p>
        </w:tc>
        <w:tc>
          <w:tcPr>
            <w:tcW w:w="1480" w:type="dxa"/>
            <w:vAlign w:val="bottom"/>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1,319.6</w:t>
            </w:r>
          </w:p>
        </w:tc>
      </w:tr>
      <w:tr>
        <w:trPr>
          <w:trHeight w:val="27"/>
        </w:trPr>
        <w:tc>
          <w:tcPr>
            <w:tcW w:w="65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r>
    </w:tbl>
    <w:p>
      <w:pPr>
        <w:spacing w:after="0" w:line="216" w:lineRule="exact"/>
        <w:rPr>
          <w:sz w:val="20"/>
          <w:szCs w:val="20"/>
          <w:color w:val="auto"/>
        </w:rPr>
      </w:pPr>
    </w:p>
    <w:p>
      <w:pPr>
        <w:ind w:firstLine="8"/>
        <w:spacing w:after="0" w:line="254" w:lineRule="auto"/>
        <w:tabs>
          <w:tab w:leader="none" w:pos="17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Cash, cash equivalents and restricted cash and cash equivalents shown on our Condensed Consolidated Statements of Cash Flow includes amounts in the Cash and cash equivalents, Restricted cash and cash equivalents, and Long-term restricted cash and cash equivalents on our Condensed Consolidated Balance Sheet.</w:t>
      </w:r>
    </w:p>
    <w:p>
      <w:pPr>
        <w:sectPr>
          <w:pgSz w:w="11900" w:h="16838" w:orient="portrait"/>
          <w:cols w:equalWidth="0" w:num="1">
            <w:col w:w="11240"/>
          </w:cols>
          <w:pgMar w:left="320" w:top="1440" w:right="339" w:bottom="162"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440" w:right="339" w:bottom="162"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63" w:lineRule="exact"/>
        <w:rPr>
          <w:sz w:val="20"/>
          <w:szCs w:val="20"/>
          <w:color w:val="auto"/>
        </w:rPr>
      </w:pPr>
    </w:p>
    <w:p>
      <w:pPr>
        <w:ind w:left="20" w:right="3880"/>
        <w:spacing w:after="0" w:line="349" w:lineRule="auto"/>
        <w:rPr>
          <w:sz w:val="20"/>
          <w:szCs w:val="20"/>
          <w:color w:val="auto"/>
        </w:rPr>
      </w:pPr>
      <w:r>
        <w:rPr>
          <w:rFonts w:ascii="Times New Roman" w:cs="Times New Roman" w:eastAsia="Times New Roman" w:hAnsi="Times New Roman"/>
          <w:sz w:val="18"/>
          <w:szCs w:val="18"/>
          <w:b w:val="1"/>
          <w:bCs w:val="1"/>
          <w:color w:val="auto"/>
        </w:rPr>
        <w:t>Net Revenue and Net Bookings by Geographic Region, Distribution Channel, and Platform Mix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8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8"/>
        </w:trPr>
        <w:tc>
          <w:tcPr>
            <w:tcW w:w="3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8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7"/>
        </w:trPr>
        <w:tc>
          <w:tcPr>
            <w:tcW w:w="3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by geographic region</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1,036.1</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58 %</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814.5</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737.7</w:t>
            </w:r>
          </w:p>
        </w:tc>
        <w:tc>
          <w:tcPr>
            <w:tcW w:w="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42 %</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6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1,773.8</w:t>
            </w:r>
          </w:p>
        </w:tc>
        <w:tc>
          <w:tcPr>
            <w:tcW w:w="80" w:type="dxa"/>
            <w:vAlign w:val="bottom"/>
          </w:tcPr>
          <w:p>
            <w:pPr>
              <w:spacing w:after="0"/>
              <w:rPr>
                <w:sz w:val="22"/>
                <w:szCs w:val="22"/>
                <w:color w:val="auto"/>
              </w:rPr>
            </w:pPr>
          </w:p>
        </w:tc>
        <w:tc>
          <w:tcPr>
            <w:tcW w:w="13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100 %</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100" w:type="dxa"/>
            <w:vAlign w:val="bottom"/>
          </w:tcPr>
          <w:p>
            <w:pPr>
              <w:spacing w:after="0"/>
              <w:rPr>
                <w:sz w:val="22"/>
                <w:szCs w:val="22"/>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7"/>
        </w:trPr>
        <w:tc>
          <w:tcPr>
            <w:tcW w:w="3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Bookings by geographic region</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1,188.6</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771.9</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Bookings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1,960.5</w:t>
            </w:r>
          </w:p>
        </w:tc>
        <w:tc>
          <w:tcPr>
            <w:tcW w:w="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1,474.9</w:t>
            </w:r>
          </w:p>
        </w:tc>
        <w:tc>
          <w:tcPr>
            <w:tcW w:w="10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gridSpan w:val="2"/>
          </w:tcPr>
          <w:p>
            <w:pPr>
              <w:spacing w:after="0" w:line="20" w:lineRule="exact"/>
              <w:rPr>
                <w:sz w:val="1"/>
                <w:szCs w:val="1"/>
                <w:color w:val="auto"/>
              </w:rPr>
            </w:pPr>
          </w:p>
        </w:tc>
      </w:tr>
      <w:tr>
        <w:trPr>
          <w:trHeight w:val="217"/>
        </w:trPr>
        <w:tc>
          <w:tcPr>
            <w:tcW w:w="39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r>
      <w:tr>
        <w:trPr>
          <w:trHeight w:val="221"/>
        </w:trPr>
        <w:tc>
          <w:tcPr>
            <w:tcW w:w="3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780" w:type="dxa"/>
            <w:vAlign w:val="bottom"/>
            <w:gridSpan w:val="3"/>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80" w:type="dxa"/>
            <w:vAlign w:val="bottom"/>
            <w:gridSpan w:val="3"/>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65"/>
        </w:trPr>
        <w:tc>
          <w:tcPr>
            <w:tcW w:w="39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780" w:type="dxa"/>
            <w:vAlign w:val="bottom"/>
            <w:tcBorders>
              <w:bottom w:val="single" w:sz="8" w:color="CCEEFF"/>
            </w:tcBorders>
            <w:gridSpan w:val="3"/>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5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3280" w:type="dxa"/>
            <w:vAlign w:val="bottom"/>
            <w:tcBorders>
              <w:bottom w:val="single" w:sz="8" w:color="CCEEFF"/>
            </w:tcBorders>
            <w:gridSpan w:val="3"/>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37"/>
        </w:trPr>
        <w:tc>
          <w:tcPr>
            <w:tcW w:w="39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5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18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by distribution channel</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 online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1,693.1</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95 %</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Physical retail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w:t>
            </w:r>
          </w:p>
        </w:tc>
        <w:tc>
          <w:tcPr>
            <w:tcW w:w="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6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1,773.8</w:t>
            </w:r>
          </w:p>
        </w:tc>
        <w:tc>
          <w:tcPr>
            <w:tcW w:w="80" w:type="dxa"/>
            <w:vAlign w:val="bottom"/>
          </w:tcPr>
          <w:p>
            <w:pPr>
              <w:spacing w:after="0"/>
              <w:rPr>
                <w:sz w:val="22"/>
                <w:szCs w:val="22"/>
                <w:color w:val="auto"/>
              </w:rPr>
            </w:pPr>
          </w:p>
        </w:tc>
        <w:tc>
          <w:tcPr>
            <w:tcW w:w="13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100 %</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100" w:type="dxa"/>
            <w:vAlign w:val="bottom"/>
          </w:tcPr>
          <w:p>
            <w:pPr>
              <w:spacing w:after="0"/>
              <w:rPr>
                <w:sz w:val="22"/>
                <w:szCs w:val="22"/>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7"/>
        </w:trPr>
        <w:tc>
          <w:tcPr>
            <w:tcW w:w="3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Bookings by distribution channel</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Digital online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1,871.2</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1,417.2</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Physical retail and other</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89.3</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8"/>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Bookings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1,960.5</w:t>
            </w:r>
          </w:p>
        </w:tc>
        <w:tc>
          <w:tcPr>
            <w:tcW w:w="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1,474.9</w:t>
            </w:r>
          </w:p>
        </w:tc>
        <w:tc>
          <w:tcPr>
            <w:tcW w:w="10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gridSpan w:val="2"/>
          </w:tcPr>
          <w:p>
            <w:pPr>
              <w:spacing w:after="0" w:line="20" w:lineRule="exact"/>
              <w:rPr>
                <w:sz w:val="1"/>
                <w:szCs w:val="1"/>
                <w:color w:val="auto"/>
              </w:rPr>
            </w:pPr>
          </w:p>
        </w:tc>
      </w:tr>
      <w:tr>
        <w:trPr>
          <w:trHeight w:val="217"/>
        </w:trPr>
        <w:tc>
          <w:tcPr>
            <w:tcW w:w="39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r>
      <w:tr>
        <w:trPr>
          <w:trHeight w:val="221"/>
        </w:trPr>
        <w:tc>
          <w:tcPr>
            <w:tcW w:w="3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780" w:type="dxa"/>
            <w:vAlign w:val="bottom"/>
            <w:gridSpan w:val="3"/>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80" w:type="dxa"/>
            <w:vAlign w:val="bottom"/>
            <w:gridSpan w:val="3"/>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65"/>
        </w:trPr>
        <w:tc>
          <w:tcPr>
            <w:tcW w:w="39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780" w:type="dxa"/>
            <w:vAlign w:val="bottom"/>
            <w:tcBorders>
              <w:bottom w:val="single" w:sz="8" w:color="CCEEFF"/>
            </w:tcBorders>
            <w:gridSpan w:val="3"/>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5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3280" w:type="dxa"/>
            <w:vAlign w:val="bottom"/>
            <w:tcBorders>
              <w:bottom w:val="single" w:sz="8" w:color="CCEEFF"/>
            </w:tcBorders>
            <w:gridSpan w:val="3"/>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36"/>
        </w:trPr>
        <w:tc>
          <w:tcPr>
            <w:tcW w:w="39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5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18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by platform</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Mobile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821.6</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46 %</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Console</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720.0</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PC and other</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232.2</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1,773.8</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10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Bookings by platform</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Mobile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818.1</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42 %</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Console</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907.9</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PC and other</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234.5</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Bookings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1,960.5</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1,474.9</w:t>
            </w:r>
          </w:p>
        </w:tc>
        <w:tc>
          <w:tcPr>
            <w:tcW w:w="10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90" w:gutter="0" w:footer="0" w:header="0"/>
        </w:sectPr>
      </w:pPr>
    </w:p>
    <w:bookmarkStart w:id="14" w:name="page15"/>
    <w:bookmarkEnd w:id="14"/>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019"/>
          </w:cols>
          <w:pgMar w:left="1440" w:top="1039" w:right="1440"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63" w:lineRule="exact"/>
        <w:rPr>
          <w:sz w:val="20"/>
          <w:szCs w:val="20"/>
          <w:color w:val="auto"/>
        </w:rPr>
      </w:pPr>
    </w:p>
    <w:p>
      <w:pPr>
        <w:ind w:left="20" w:right="3880"/>
        <w:spacing w:after="0" w:line="349" w:lineRule="auto"/>
        <w:rPr>
          <w:sz w:val="20"/>
          <w:szCs w:val="20"/>
          <w:color w:val="auto"/>
        </w:rPr>
      </w:pPr>
      <w:r>
        <w:rPr>
          <w:rFonts w:ascii="Times New Roman" w:cs="Times New Roman" w:eastAsia="Times New Roman" w:hAnsi="Times New Roman"/>
          <w:sz w:val="18"/>
          <w:szCs w:val="18"/>
          <w:b w:val="1"/>
          <w:bCs w:val="1"/>
          <w:color w:val="auto"/>
        </w:rPr>
        <w:t>Net Revenue and Net Bookings by Geographic Region, Distribution Channel, and Platform Mix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20" w:type="dxa"/>
            <w:vAlign w:val="bottom"/>
          </w:tcPr>
          <w:p>
            <w:pPr>
              <w:spacing w:after="0"/>
              <w:rPr>
                <w:sz w:val="18"/>
                <w:szCs w:val="18"/>
                <w:color w:val="auto"/>
              </w:rPr>
            </w:pPr>
          </w:p>
        </w:tc>
        <w:tc>
          <w:tcPr>
            <w:tcW w:w="328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8"/>
        </w:trPr>
        <w:tc>
          <w:tcPr>
            <w:tcW w:w="3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20" w:type="dxa"/>
            <w:vAlign w:val="bottom"/>
          </w:tcPr>
          <w:p>
            <w:pPr>
              <w:spacing w:after="0"/>
              <w:rPr>
                <w:sz w:val="20"/>
                <w:szCs w:val="20"/>
                <w:color w:val="auto"/>
              </w:rPr>
            </w:pPr>
          </w:p>
        </w:tc>
        <w:tc>
          <w:tcPr>
            <w:tcW w:w="328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7"/>
        </w:trPr>
        <w:tc>
          <w:tcPr>
            <w:tcW w:w="3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9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2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by geographic region</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1,936.5</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59 %</w:t>
            </w: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1,341.1</w:t>
            </w:r>
          </w:p>
        </w:tc>
        <w:tc>
          <w:tcPr>
            <w:tcW w:w="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41 %</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6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3,277.6</w:t>
            </w:r>
          </w:p>
        </w:tc>
        <w:tc>
          <w:tcPr>
            <w:tcW w:w="80" w:type="dxa"/>
            <w:vAlign w:val="bottom"/>
          </w:tcPr>
          <w:p>
            <w:pPr>
              <w:spacing w:after="0"/>
              <w:rPr>
                <w:sz w:val="22"/>
                <w:szCs w:val="22"/>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2,691.3</w:t>
            </w:r>
          </w:p>
        </w:tc>
        <w:tc>
          <w:tcPr>
            <w:tcW w:w="80" w:type="dxa"/>
            <w:vAlign w:val="bottom"/>
          </w:tcPr>
          <w:p>
            <w:pPr>
              <w:spacing w:after="0"/>
              <w:rPr>
                <w:sz w:val="22"/>
                <w:szCs w:val="22"/>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7"/>
        </w:trPr>
        <w:tc>
          <w:tcPr>
            <w:tcW w:w="3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Bookings by geographic region</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2,025.2</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1,642.9</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1,358.4</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8"/>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Bookings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3,383.6</w:t>
            </w:r>
          </w:p>
        </w:tc>
        <w:tc>
          <w:tcPr>
            <w:tcW w:w="80" w:type="dxa"/>
            <w:vAlign w:val="bottom"/>
            <w:tcBorders>
              <w:bottom w:val="single" w:sz="8" w:color="auto"/>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2,693.1</w:t>
            </w:r>
          </w:p>
        </w:tc>
        <w:tc>
          <w:tcPr>
            <w:tcW w:w="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gridSpan w:val="2"/>
          </w:tcPr>
          <w:p>
            <w:pPr>
              <w:spacing w:after="0" w:line="20" w:lineRule="exact"/>
              <w:rPr>
                <w:sz w:val="1"/>
                <w:szCs w:val="1"/>
                <w:color w:val="auto"/>
              </w:rPr>
            </w:pPr>
          </w:p>
        </w:tc>
      </w:tr>
      <w:tr>
        <w:trPr>
          <w:trHeight w:val="217"/>
        </w:trPr>
        <w:tc>
          <w:tcPr>
            <w:tcW w:w="39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r>
      <w:tr>
        <w:trPr>
          <w:trHeight w:val="221"/>
        </w:trPr>
        <w:tc>
          <w:tcPr>
            <w:tcW w:w="3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20" w:type="dxa"/>
            <w:vAlign w:val="bottom"/>
            <w:shd w:val="clear" w:color="auto" w:fill="CCEEFF"/>
          </w:tcPr>
          <w:p>
            <w:pPr>
              <w:spacing w:after="0"/>
              <w:rPr>
                <w:sz w:val="19"/>
                <w:szCs w:val="19"/>
                <w:color w:val="auto"/>
              </w:rPr>
            </w:pPr>
          </w:p>
        </w:tc>
        <w:tc>
          <w:tcPr>
            <w:tcW w:w="3280" w:type="dxa"/>
            <w:vAlign w:val="bottom"/>
            <w:gridSpan w:val="3"/>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65"/>
        </w:trPr>
        <w:tc>
          <w:tcPr>
            <w:tcW w:w="39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20" w:type="dxa"/>
            <w:vAlign w:val="bottom"/>
            <w:tcBorders>
              <w:bottom w:val="single" w:sz="8" w:color="CCEEFF"/>
            </w:tcBorders>
            <w:shd w:val="clear" w:color="auto" w:fill="CCEEFF"/>
          </w:tcPr>
          <w:p>
            <w:pPr>
              <w:spacing w:after="0"/>
              <w:rPr>
                <w:sz w:val="23"/>
                <w:szCs w:val="23"/>
                <w:color w:val="auto"/>
              </w:rPr>
            </w:pPr>
          </w:p>
        </w:tc>
        <w:tc>
          <w:tcPr>
            <w:tcW w:w="3280" w:type="dxa"/>
            <w:vAlign w:val="bottom"/>
            <w:tcBorders>
              <w:bottom w:val="single" w:sz="8" w:color="CCEEFF"/>
            </w:tcBorders>
            <w:gridSpan w:val="3"/>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37"/>
        </w:trPr>
        <w:tc>
          <w:tcPr>
            <w:tcW w:w="39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18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by distribution channel</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 online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3,169.7</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97 %</w:t>
            </w: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2,595.5</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Physical retail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107.9</w:t>
            </w:r>
          </w:p>
        </w:tc>
        <w:tc>
          <w:tcPr>
            <w:tcW w:w="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6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3,277.6</w:t>
            </w:r>
          </w:p>
        </w:tc>
        <w:tc>
          <w:tcPr>
            <w:tcW w:w="80" w:type="dxa"/>
            <w:vAlign w:val="bottom"/>
          </w:tcPr>
          <w:p>
            <w:pPr>
              <w:spacing w:after="0"/>
              <w:rPr>
                <w:sz w:val="22"/>
                <w:szCs w:val="22"/>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2,691.3</w:t>
            </w:r>
          </w:p>
        </w:tc>
        <w:tc>
          <w:tcPr>
            <w:tcW w:w="80" w:type="dxa"/>
            <w:vAlign w:val="bottom"/>
          </w:tcPr>
          <w:p>
            <w:pPr>
              <w:spacing w:after="0"/>
              <w:rPr>
                <w:sz w:val="22"/>
                <w:szCs w:val="22"/>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7"/>
        </w:trPr>
        <w:tc>
          <w:tcPr>
            <w:tcW w:w="3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Bookings by distribution channel</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Digital online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3,276.3</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2,604.5</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Physical retail and other</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107.3</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Bookings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3,383.6</w:t>
            </w:r>
          </w:p>
        </w:tc>
        <w:tc>
          <w:tcPr>
            <w:tcW w:w="80" w:type="dxa"/>
            <w:vAlign w:val="bottom"/>
            <w:tcBorders>
              <w:bottom w:val="single" w:sz="8" w:color="auto"/>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2,693.1</w:t>
            </w:r>
          </w:p>
        </w:tc>
        <w:tc>
          <w:tcPr>
            <w:tcW w:w="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gridSpan w:val="2"/>
          </w:tcPr>
          <w:p>
            <w:pPr>
              <w:spacing w:after="0" w:line="20" w:lineRule="exact"/>
              <w:rPr>
                <w:sz w:val="1"/>
                <w:szCs w:val="1"/>
                <w:color w:val="auto"/>
              </w:rPr>
            </w:pPr>
          </w:p>
        </w:tc>
      </w:tr>
      <w:tr>
        <w:trPr>
          <w:trHeight w:val="217"/>
        </w:trPr>
        <w:tc>
          <w:tcPr>
            <w:tcW w:w="39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r>
      <w:tr>
        <w:trPr>
          <w:trHeight w:val="221"/>
        </w:trPr>
        <w:tc>
          <w:tcPr>
            <w:tcW w:w="3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20" w:type="dxa"/>
            <w:vAlign w:val="bottom"/>
            <w:shd w:val="clear" w:color="auto" w:fill="CCEEFF"/>
          </w:tcPr>
          <w:p>
            <w:pPr>
              <w:spacing w:after="0"/>
              <w:rPr>
                <w:sz w:val="19"/>
                <w:szCs w:val="19"/>
                <w:color w:val="auto"/>
              </w:rPr>
            </w:pPr>
          </w:p>
        </w:tc>
        <w:tc>
          <w:tcPr>
            <w:tcW w:w="3280" w:type="dxa"/>
            <w:vAlign w:val="bottom"/>
            <w:gridSpan w:val="3"/>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65"/>
        </w:trPr>
        <w:tc>
          <w:tcPr>
            <w:tcW w:w="39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20" w:type="dxa"/>
            <w:vAlign w:val="bottom"/>
            <w:tcBorders>
              <w:bottom w:val="single" w:sz="8" w:color="CCEEFF"/>
            </w:tcBorders>
            <w:shd w:val="clear" w:color="auto" w:fill="CCEEFF"/>
          </w:tcPr>
          <w:p>
            <w:pPr>
              <w:spacing w:after="0"/>
              <w:rPr>
                <w:sz w:val="23"/>
                <w:szCs w:val="23"/>
                <w:color w:val="auto"/>
              </w:rPr>
            </w:pPr>
          </w:p>
        </w:tc>
        <w:tc>
          <w:tcPr>
            <w:tcW w:w="3280" w:type="dxa"/>
            <w:vAlign w:val="bottom"/>
            <w:tcBorders>
              <w:bottom w:val="single" w:sz="8" w:color="CCEEFF"/>
            </w:tcBorders>
            <w:gridSpan w:val="3"/>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36"/>
        </w:trPr>
        <w:tc>
          <w:tcPr>
            <w:tcW w:w="39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18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by platform</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Mobile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1,623.3</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50 %</w:t>
            </w: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1,462.7</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Console</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1,270.6</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PC and other</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383.7</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3,277.6</w:t>
            </w:r>
          </w:p>
        </w:tc>
        <w:tc>
          <w:tcPr>
            <w:tcW w:w="8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2,691.3</w:t>
            </w:r>
          </w:p>
        </w:tc>
        <w:tc>
          <w:tcPr>
            <w:tcW w:w="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Bookings by platform</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Mobile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1,610.9</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47 %</w:t>
            </w: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1,432.4</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Console</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1,382.3</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PC and other</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390.4</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8"/>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Bookings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3,383.6</w:t>
            </w:r>
          </w:p>
        </w:tc>
        <w:tc>
          <w:tcPr>
            <w:tcW w:w="8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2,693.1</w:t>
            </w:r>
          </w:p>
        </w:tc>
        <w:tc>
          <w:tcPr>
            <w:tcW w:w="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320" w:top="1440" w:right="339" w:bottom="0" w:gutter="0" w:footer="0" w:header="0"/>
        </w:sect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440" w:right="339" w:bottom="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TAKE-TWO INTERACTIVE SOFTWARE, INC. and SUBSIDIARIES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ADDITIONAL DATA</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Software</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Cost of</w:t>
            </w:r>
          </w:p>
        </w:tc>
      </w:tr>
      <w:tr>
        <w:trPr>
          <w:trHeight w:val="203"/>
        </w:trPr>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Cost of</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Cost of</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Cost of</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revenue- Game</w:t>
            </w:r>
          </w:p>
        </w:tc>
        <w:tc>
          <w:tcPr>
            <w:tcW w:w="10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costs and</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Internal</w:t>
            </w:r>
          </w:p>
        </w:tc>
      </w:tr>
      <w:tr>
        <w:trPr>
          <w:trHeight w:val="239"/>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Product costs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intangibles</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Licenses</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royalties</w:t>
            </w:r>
          </w:p>
        </w:tc>
        <w:tc>
          <w:tcPr>
            <w:tcW w:w="12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royalties</w:t>
            </w:r>
          </w:p>
        </w:tc>
      </w:tr>
      <w:tr>
        <w:trPr>
          <w:trHeight w:val="243"/>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1,773.8</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229.3</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158.8</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154.4</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172.1</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78.7</w:t>
            </w:r>
          </w:p>
        </w:tc>
        <w:tc>
          <w:tcPr>
            <w:tcW w:w="80" w:type="dxa"/>
            <w:vAlign w:val="bottom"/>
            <w:tcBorders>
              <w:top w:val="single" w:sz="8" w:color="CCEEFF"/>
            </w:tcBorders>
            <w:shd w:val="clear" w:color="auto" w:fill="CCEEFF"/>
          </w:tcPr>
          <w:p>
            <w:pPr>
              <w:spacing w:after="0"/>
              <w:rPr>
                <w:sz w:val="21"/>
                <w:szCs w:val="21"/>
                <w:color w:val="auto"/>
              </w:rPr>
            </w:pPr>
          </w:p>
        </w:tc>
      </w:tr>
      <w:tr>
        <w:trPr>
          <w:trHeight w:val="202"/>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effect from deferred revenue and related cost of</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3"/>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3"/>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6"/>
        </w:trPr>
        <w:tc>
          <w:tcPr>
            <w:tcW w:w="3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r>
      <w:tr>
        <w:trPr>
          <w:trHeight w:val="200"/>
        </w:trPr>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Selling and</w:t>
            </w:r>
          </w:p>
        </w:tc>
        <w:tc>
          <w:tcPr>
            <w:tcW w:w="10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Research and</w:t>
            </w: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General and</w:t>
            </w: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and</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 and</w:t>
            </w:r>
          </w:p>
        </w:tc>
      </w:tr>
      <w:tr>
        <w:trPr>
          <w:trHeight w:val="239"/>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2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marketing</w:t>
            </w:r>
          </w:p>
        </w:tc>
        <w:tc>
          <w:tcPr>
            <w:tcW w:w="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administrative</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reorganization</w:t>
            </w:r>
          </w:p>
        </w:tc>
        <w:tc>
          <w:tcPr>
            <w:tcW w:w="12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other, net</w:t>
            </w:r>
          </w:p>
        </w:tc>
      </w:tr>
      <w:tr>
        <w:trPr>
          <w:trHeight w:val="270"/>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536.6</w:t>
            </w: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268.0</w:t>
            </w: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225.0</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48.8</w:t>
            </w: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w:t>
            </w:r>
          </w:p>
        </w:tc>
        <w:tc>
          <w:tcPr>
            <w:tcW w:w="80" w:type="dxa"/>
            <w:vAlign w:val="bottom"/>
            <w:tcBorders>
              <w:top w:val="single" w:sz="8" w:color="CCEEFF"/>
            </w:tcBorders>
            <w:shd w:val="clear" w:color="auto" w:fill="CCEEFF"/>
          </w:tcPr>
          <w:p>
            <w:pPr>
              <w:spacing w:after="0"/>
              <w:rPr>
                <w:sz w:val="23"/>
                <w:szCs w:val="23"/>
                <w:color w:val="auto"/>
              </w:rPr>
            </w:pPr>
          </w:p>
        </w:tc>
      </w:tr>
      <w:tr>
        <w:trPr>
          <w:trHeight w:val="202"/>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effect from deferred revenue and related cost of</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0"/>
                <w:szCs w:val="20"/>
                <w:color w:val="auto"/>
              </w:rPr>
            </w:pPr>
          </w:p>
        </w:tc>
      </w:tr>
      <w:tr>
        <w:trPr>
          <w:trHeight w:val="253"/>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3"/>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3"/>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21"/>
                <w:szCs w:val="21"/>
                <w:color w:val="auto"/>
              </w:rPr>
            </w:pPr>
          </w:p>
        </w:tc>
      </w:tr>
      <w:tr>
        <w:trPr>
          <w:trHeight w:val="233"/>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Impact of business reorganization</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3"/>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21"/>
                <w:szCs w:val="21"/>
                <w:color w:val="auto"/>
              </w:rPr>
            </w:pPr>
          </w:p>
        </w:tc>
      </w:tr>
      <w:tr>
        <w:trPr>
          <w:trHeight w:val="200"/>
        </w:trPr>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Cost of revenue-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Software</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Cost of</w:t>
            </w:r>
          </w:p>
        </w:tc>
      </w:tr>
      <w:tr>
        <w:trPr>
          <w:trHeight w:val="202"/>
        </w:trPr>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Cost of</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-Game</w:t>
            </w:r>
          </w:p>
        </w:tc>
        <w:tc>
          <w:tcPr>
            <w:tcW w:w="10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costs and</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Internal</w:t>
            </w:r>
          </w:p>
        </w:tc>
      </w:tr>
      <w:tr>
        <w:trPr>
          <w:trHeight w:val="239"/>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Product costs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intangibles</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Licenses</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royalties</w:t>
            </w:r>
          </w:p>
        </w:tc>
        <w:tc>
          <w:tcPr>
            <w:tcW w:w="12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royalties</w:t>
            </w:r>
          </w:p>
        </w:tc>
      </w:tr>
      <w:tr>
        <w:trPr>
          <w:trHeight w:val="243"/>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1,353.1</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80" w:type="dxa"/>
            <w:vAlign w:val="bottom"/>
            <w:tcBorders>
              <w:top w:val="single" w:sz="8" w:color="CCEEFF"/>
            </w:tcBorders>
            <w:shd w:val="clear" w:color="auto" w:fill="CCEEFF"/>
          </w:tcPr>
          <w:p>
            <w:pPr>
              <w:spacing w:after="0"/>
              <w:rPr>
                <w:sz w:val="21"/>
                <w:szCs w:val="21"/>
                <w:color w:val="auto"/>
              </w:rPr>
            </w:pPr>
          </w:p>
        </w:tc>
      </w:tr>
      <w:tr>
        <w:trPr>
          <w:trHeight w:val="202"/>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effect from deferred revenue and related cost of</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3"/>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3"/>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and impairment of acquired intangibles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80"/>
        </w:trPr>
        <w:tc>
          <w:tcPr>
            <w:tcW w:w="3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00"/>
        </w:trPr>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Selling and</w:t>
            </w:r>
          </w:p>
        </w:tc>
        <w:tc>
          <w:tcPr>
            <w:tcW w:w="10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Research and</w:t>
            </w: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General and</w:t>
            </w: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and</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 and</w:t>
            </w:r>
          </w:p>
        </w:tc>
      </w:tr>
      <w:tr>
        <w:trPr>
          <w:trHeight w:val="239"/>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12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marketing</w:t>
            </w:r>
          </w:p>
        </w:tc>
        <w:tc>
          <w:tcPr>
            <w:tcW w:w="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administrative</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reorganization</w:t>
            </w:r>
          </w:p>
        </w:tc>
        <w:tc>
          <w:tcPr>
            <w:tcW w:w="12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other, net</w:t>
            </w:r>
          </w:p>
        </w:tc>
      </w:tr>
      <w:tr>
        <w:trPr>
          <w:trHeight w:val="243"/>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461.3</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tcBorders>
              <w:top w:val="single" w:sz="8" w:color="CCEEFF"/>
            </w:tcBorders>
            <w:shd w:val="clear" w:color="auto" w:fill="CCEEFF"/>
          </w:tcPr>
          <w:p>
            <w:pPr>
              <w:spacing w:after="0"/>
              <w:rPr>
                <w:sz w:val="21"/>
                <w:szCs w:val="21"/>
                <w:color w:val="auto"/>
              </w:rPr>
            </w:pPr>
          </w:p>
        </w:tc>
      </w:tr>
      <w:tr>
        <w:trPr>
          <w:trHeight w:val="202"/>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effect from deferred revenue and related cost of</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0"/>
                <w:szCs w:val="20"/>
                <w:color w:val="auto"/>
              </w:rPr>
            </w:pPr>
          </w:p>
        </w:tc>
      </w:tr>
      <w:tr>
        <w:trPr>
          <w:trHeight w:val="253"/>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3"/>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and impairment of acquired intangibles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3"/>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21"/>
                <w:szCs w:val="21"/>
                <w:color w:val="auto"/>
              </w:rPr>
            </w:pPr>
          </w:p>
        </w:tc>
      </w:tr>
      <w:tr>
        <w:trPr>
          <w:trHeight w:val="233"/>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Impact of business reorganization</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3"/>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21"/>
                <w:szCs w:val="21"/>
                <w:color w:val="auto"/>
              </w:rPr>
            </w:pPr>
          </w:p>
        </w:tc>
      </w:tr>
    </w:tbl>
    <w:p>
      <w:pPr>
        <w:spacing w:after="0" w:line="8" w:lineRule="exact"/>
        <w:rPr>
          <w:sz w:val="20"/>
          <w:szCs w:val="20"/>
          <w:color w:val="auto"/>
        </w:rPr>
      </w:pPr>
    </w:p>
    <w:p>
      <w:pPr>
        <w:sectPr>
          <w:pgSz w:w="11900" w:h="16838" w:orient="portrait"/>
          <w:cols w:equalWidth="0" w:num="1">
            <w:col w:w="10920"/>
          </w:cols>
          <w:pgMar w:left="320" w:top="1440" w:right="659" w:bottom="1148" w:gutter="0" w:footer="0" w:header="0"/>
        </w:sectPr>
      </w:pPr>
    </w:p>
    <w:p>
      <w:pPr>
        <w:jc w:val="center"/>
        <w:ind w:right="-3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920"/>
          </w:cols>
          <w:pgMar w:left="320" w:top="1440" w:right="659" w:bottom="1148" w:gutter="0" w:footer="0" w:header="0"/>
          <w:type w:val="continuous"/>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TAKE-TWO INTERACTIVE SOFTWARE, INC. and SUBSIDIARIES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DATA</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Cost of</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Cost of</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7"/>
                <w:szCs w:val="17"/>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Cost of</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b w:val="1"/>
                <w:bCs w:val="1"/>
                <w:color w:val="auto"/>
              </w:rPr>
              <w:t>Software</w:t>
            </w: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Cost of</w:t>
            </w:r>
          </w:p>
        </w:tc>
        <w:tc>
          <w:tcPr>
            <w:tcW w:w="10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revenue -</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Cost of</w:t>
            </w: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2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revenue -</w:t>
            </w: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Game</w:t>
            </w: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costs and</w:t>
            </w: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Internal</w:t>
            </w:r>
          </w:p>
        </w:tc>
        <w:tc>
          <w:tcPr>
            <w:tcW w:w="0" w:type="dxa"/>
            <w:vAlign w:val="bottom"/>
          </w:tcPr>
          <w:p>
            <w:pPr>
              <w:spacing w:after="0"/>
              <w:rPr>
                <w:sz w:val="1"/>
                <w:szCs w:val="1"/>
                <w:color w:val="auto"/>
              </w:rPr>
            </w:pP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September 30, 2025</w:t>
            </w:r>
          </w:p>
        </w:tc>
        <w:tc>
          <w:tcPr>
            <w:tcW w:w="12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Net revenue</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Product costs</w:t>
            </w:r>
          </w:p>
        </w:tc>
        <w:tc>
          <w:tcPr>
            <w:tcW w:w="10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intangibles</w:t>
            </w: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Licenses</w:t>
            </w:r>
          </w:p>
        </w:tc>
        <w:tc>
          <w:tcPr>
            <w:tcW w:w="10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royalties</w:t>
            </w:r>
          </w:p>
        </w:tc>
        <w:tc>
          <w:tcPr>
            <w:tcW w:w="12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royalties</w:t>
            </w:r>
          </w:p>
        </w:tc>
        <w:tc>
          <w:tcPr>
            <w:tcW w:w="0" w:type="dxa"/>
            <w:vAlign w:val="bottom"/>
          </w:tcPr>
          <w:p>
            <w:pPr>
              <w:spacing w:after="0"/>
              <w:rPr>
                <w:sz w:val="1"/>
                <w:szCs w:val="1"/>
                <w:color w:val="auto"/>
              </w:rPr>
            </w:pPr>
          </w:p>
        </w:tc>
      </w:tr>
      <w:tr>
        <w:trPr>
          <w:trHeight w:val="243"/>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3,277.6</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439.7</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317.3</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225.3</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167.6</w:t>
            </w:r>
          </w:p>
        </w:tc>
        <w:tc>
          <w:tcPr>
            <w:tcW w:w="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effect from deferred revenue and related cost of revenue</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Depreciation</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Selling and</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Research and</w:t>
            </w:r>
          </w:p>
        </w:tc>
        <w:tc>
          <w:tcPr>
            <w:tcW w:w="10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General and</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and</w:t>
            </w: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12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 and</w:t>
            </w:r>
          </w:p>
        </w:tc>
        <w:tc>
          <w:tcPr>
            <w:tcW w:w="0" w:type="dxa"/>
            <w:vAlign w:val="bottom"/>
          </w:tcPr>
          <w:p>
            <w:pPr>
              <w:spacing w:after="0"/>
              <w:rPr>
                <w:sz w:val="1"/>
                <w:szCs w:val="1"/>
                <w:color w:val="auto"/>
              </w:rPr>
            </w:pP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September 30, 2025</w:t>
            </w:r>
          </w:p>
        </w:tc>
        <w:tc>
          <w:tcPr>
            <w:tcW w:w="12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marketing</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administrative</w:t>
            </w: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reorganization</w:t>
            </w:r>
          </w:p>
        </w:tc>
        <w:tc>
          <w:tcPr>
            <w:tcW w:w="12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 net</w:t>
            </w:r>
          </w:p>
        </w:tc>
        <w:tc>
          <w:tcPr>
            <w:tcW w:w="0" w:type="dxa"/>
            <w:vAlign w:val="bottom"/>
          </w:tcPr>
          <w:p>
            <w:pPr>
              <w:spacing w:after="0"/>
              <w:rPr>
                <w:sz w:val="1"/>
                <w:szCs w:val="1"/>
                <w:color w:val="auto"/>
              </w:rPr>
            </w:pPr>
          </w:p>
        </w:tc>
      </w:tr>
      <w:tr>
        <w:trPr>
          <w:trHeight w:val="243"/>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945.4</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529.4</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432.0</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99.2</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(52.9)</w:t>
            </w:r>
          </w:p>
        </w:tc>
        <w:tc>
          <w:tcPr>
            <w:tcW w:w="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effect from deferred revenue and related cost of revenue</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Impact of business reorganization</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4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Cost of</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Cost of</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Cost of</w:t>
            </w: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200"/>
              <w:spacing w:after="0" w:line="175" w:lineRule="exact"/>
              <w:rPr>
                <w:sz w:val="20"/>
                <w:szCs w:val="20"/>
                <w:color w:val="auto"/>
              </w:rPr>
            </w:pPr>
            <w:r>
              <w:rPr>
                <w:rFonts w:ascii="Times New Roman" w:cs="Times New Roman" w:eastAsia="Times New Roman" w:hAnsi="Times New Roman"/>
                <w:sz w:val="16"/>
                <w:szCs w:val="16"/>
                <w:b w:val="1"/>
                <w:bCs w:val="1"/>
                <w:color w:val="auto"/>
              </w:rPr>
              <w:t>Software</w:t>
            </w:r>
          </w:p>
        </w:tc>
        <w:tc>
          <w:tcPr>
            <w:tcW w:w="12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Cost of</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revenue -</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revenue -</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revenue -</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Game</w:t>
            </w:r>
          </w:p>
        </w:tc>
        <w:tc>
          <w:tcPr>
            <w:tcW w:w="1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costs and</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Internal</w:t>
            </w:r>
          </w:p>
        </w:tc>
        <w:tc>
          <w:tcPr>
            <w:tcW w:w="0" w:type="dxa"/>
            <w:vAlign w:val="bottom"/>
          </w:tcPr>
          <w:p>
            <w:pPr>
              <w:spacing w:after="0"/>
              <w:rPr>
                <w:sz w:val="1"/>
                <w:szCs w:val="1"/>
                <w:color w:val="auto"/>
              </w:rPr>
            </w:pPr>
          </w:p>
        </w:tc>
      </w:tr>
      <w:tr>
        <w:trPr>
          <w:trHeight w:val="23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September 30, 2024</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Net revenue</w:t>
            </w:r>
          </w:p>
        </w:tc>
        <w:tc>
          <w:tcPr>
            <w:tcW w:w="10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Product costs</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intangibles</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 Licenses</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royalties</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royalties</w:t>
            </w:r>
          </w:p>
        </w:tc>
        <w:tc>
          <w:tcPr>
            <w:tcW w:w="0" w:type="dxa"/>
            <w:vAlign w:val="bottom"/>
          </w:tcPr>
          <w:p>
            <w:pPr>
              <w:spacing w:after="0"/>
              <w:rPr>
                <w:sz w:val="1"/>
                <w:szCs w:val="1"/>
                <w:color w:val="auto"/>
              </w:rPr>
            </w:pPr>
          </w:p>
        </w:tc>
      </w:tr>
      <w:tr>
        <w:trPr>
          <w:trHeight w:val="233"/>
        </w:trPr>
        <w:tc>
          <w:tcPr>
            <w:tcW w:w="4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2,691.3</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336.9</w:t>
            </w:r>
          </w:p>
        </w:tc>
        <w:tc>
          <w:tcPr>
            <w:tcW w:w="80" w:type="dxa"/>
            <w:vAlign w:val="bottom"/>
          </w:tcPr>
          <w:p>
            <w:pPr>
              <w:spacing w:after="0"/>
              <w:rPr>
                <w:sz w:val="20"/>
                <w:szCs w:val="20"/>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effect from deferred revenue and related cost of revenue</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and impairment of acquired intangibles</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Depreciation</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Selling and</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Research and</w:t>
            </w:r>
          </w:p>
        </w:tc>
        <w:tc>
          <w:tcPr>
            <w:tcW w:w="10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General and</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and</w:t>
            </w: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12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 and</w:t>
            </w:r>
          </w:p>
        </w:tc>
        <w:tc>
          <w:tcPr>
            <w:tcW w:w="0" w:type="dxa"/>
            <w:vAlign w:val="bottom"/>
          </w:tcPr>
          <w:p>
            <w:pPr>
              <w:spacing w:after="0"/>
              <w:rPr>
                <w:sz w:val="1"/>
                <w:szCs w:val="1"/>
                <w:color w:val="auto"/>
              </w:rPr>
            </w:pP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September 30, 2024</w:t>
            </w:r>
          </w:p>
        </w:tc>
        <w:tc>
          <w:tcPr>
            <w:tcW w:w="12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marketing</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administrative</w:t>
            </w: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reorganization</w:t>
            </w:r>
          </w:p>
        </w:tc>
        <w:tc>
          <w:tcPr>
            <w:tcW w:w="12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 net</w:t>
            </w:r>
          </w:p>
        </w:tc>
        <w:tc>
          <w:tcPr>
            <w:tcW w:w="0" w:type="dxa"/>
            <w:vAlign w:val="bottom"/>
          </w:tcPr>
          <w:p>
            <w:pPr>
              <w:spacing w:after="0"/>
              <w:rPr>
                <w:sz w:val="1"/>
                <w:szCs w:val="1"/>
                <w:color w:val="auto"/>
              </w:rPr>
            </w:pPr>
          </w:p>
        </w:tc>
      </w:tr>
      <w:tr>
        <w:trPr>
          <w:trHeight w:val="243"/>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892.7</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466.5</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463.5</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effect from deferred revenue and related cost of revenue</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and impairment of acquired intangibles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Impact of business reorganization</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140"/>
          </w:cols>
          <w:pgMar w:left="320" w:top="1440" w:right="439" w:bottom="1134" w:gutter="0" w:footer="0" w:header="0"/>
        </w:sectPr>
      </w:pPr>
    </w:p>
    <w:p>
      <w:pPr>
        <w:jc w:val="center"/>
        <w:ind w:right="-9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140"/>
          </w:cols>
          <w:pgMar w:left="320" w:top="1440" w:right="439" w:bottom="1134"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TAKE-TWO INTERACTIVE SOFTWARE, INC. and SUBSIDIARIES</w:t>
            </w: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w:t>
            </w:r>
          </w:p>
        </w:tc>
        <w:tc>
          <w:tcPr>
            <w:tcW w:w="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4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(145.8)</w:t>
            </w:r>
          </w:p>
        </w:tc>
        <w:tc>
          <w:tcPr>
            <w:tcW w:w="760" w:type="dxa"/>
            <w:vAlign w:val="bottom"/>
            <w:tcBorders>
              <w:bottom w:val="single" w:sz="8" w:color="CCEEFF"/>
            </w:tcBorders>
            <w:gridSpan w:val="2"/>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99.2</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166.7</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333.2</w:t>
            </w:r>
          </w:p>
        </w:tc>
        <w:tc>
          <w:tcPr>
            <w:tcW w:w="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342.1</w:t>
            </w:r>
          </w:p>
        </w:tc>
        <w:tc>
          <w:tcPr>
            <w:tcW w:w="8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Outlook</w:t>
            </w: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3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4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Fiscal Year Ended March 31, 2026</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4"/>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$(414) to $(349)</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0" w:type="dxa"/>
            <w:vAlign w:val="bottom"/>
            <w:gridSpan w:val="3"/>
          </w:tcPr>
          <w:p>
            <w:pPr>
              <w:jc w:val="center"/>
              <w:ind w:left="1250"/>
              <w:spacing w:after="0"/>
              <w:rPr>
                <w:sz w:val="20"/>
                <w:szCs w:val="20"/>
                <w:color w:val="auto"/>
              </w:rPr>
            </w:pPr>
            <w:r>
              <w:rPr>
                <w:rFonts w:ascii="Times New Roman" w:cs="Times New Roman" w:eastAsia="Times New Roman" w:hAnsi="Times New Roman"/>
                <w:sz w:val="18"/>
                <w:szCs w:val="18"/>
                <w:color w:val="auto"/>
              </w:rPr>
              <w:t>$44 to $37</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6"/>
              </w:rPr>
              <w:t>$75</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76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$169</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$705</w:t>
            </w:r>
          </w:p>
        </w:tc>
        <w:tc>
          <w:tcPr>
            <w:tcW w:w="1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tcBorders>
              <w:top w:val="single" w:sz="8" w:color="auto"/>
            </w:tcBorders>
            <w:gridSpan w:val="3"/>
          </w:tcPr>
          <w:p>
            <w:pPr>
              <w:jc w:val="center"/>
              <w:ind w:left="1250"/>
              <w:spacing w:after="0"/>
              <w:rPr>
                <w:sz w:val="20"/>
                <w:szCs w:val="20"/>
                <w:color w:val="auto"/>
              </w:rPr>
            </w:pPr>
            <w:r>
              <w:rPr>
                <w:rFonts w:ascii="Times New Roman" w:cs="Times New Roman" w:eastAsia="Times New Roman" w:hAnsi="Times New Roman"/>
                <w:sz w:val="18"/>
                <w:szCs w:val="18"/>
                <w:color w:val="auto"/>
                <w:w w:val="98"/>
              </w:rPr>
              <w:t>$579 to $637</w:t>
            </w:r>
          </w:p>
        </w:tc>
        <w:tc>
          <w:tcPr>
            <w:tcW w:w="1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Outlook</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2025</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$(90) to $(65)</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$9 to $7</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rPr>
              <w:t>$18</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76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color w:val="auto"/>
              </w:rPr>
              <w:t>$42</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$176</w:t>
            </w:r>
          </w:p>
        </w:tc>
        <w:tc>
          <w:tcPr>
            <w:tcW w:w="1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0" w:type="dxa"/>
            <w:vAlign w:val="bottom"/>
            <w:tcBorders>
              <w:top w:val="single" w:sz="8" w:color="auto"/>
            </w:tcBorders>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$155 to $178</w:t>
            </w:r>
          </w:p>
        </w:tc>
        <w:tc>
          <w:tcPr>
            <w:tcW w:w="1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3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14</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7545E146"/>
    <w:multiLevelType w:val="hybridMultilevel"/>
    <w:lvl w:ilvl="0">
      <w:lvlJc w:val="left"/>
      <w:lvlText w:val="(%1)"/>
      <w:numFmt w:val="lowerLetter"/>
    </w:lvl>
    <w:lvl w:ilvl="1">
      <w:lvlJc w:val="left"/>
      <w:lvlText w:val="•"/>
      <w:numFmt w:val="bullet"/>
      <w:start w:val="1"/>
    </w:lvl>
  </w:abstractNum>
  <w:abstractNum w:abstractNumId="6">
    <w:nsid w:val="515F007C"/>
    <w:multiLevelType w:val="hybridMultilevel"/>
    <w:lvl w:ilvl="0">
      <w:lvlJc w:val="left"/>
      <w:lvlText w:val="(%1)"/>
      <w:numFmt w:val="lowerLetter"/>
      <w:start w:val="1"/>
    </w:lvl>
    <w:lvl w:ilvl="1">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2025-11-06T15:31:41Z</dcterms:created>
  <dcterms:modified xsi:type="dcterms:W3CDTF">2025-11-06T15:31:41Z</dcterms:modified>
</cp:coreProperties>
</file>