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9"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2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18"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 Securities Exchange Act of 1934</w:t>
      </w:r>
    </w:p>
    <w:p>
      <w:pPr>
        <w:spacing w:after="0" w:line="187"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February 8, 2019</w:t>
      </w:r>
    </w:p>
    <w:p>
      <w:pPr>
        <w:spacing w:after="0" w:line="200"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32"/>
          <w:szCs w:val="32"/>
          <w:b w:val="1"/>
          <w:bCs w:val="1"/>
          <w:color w:val="auto"/>
        </w:rPr>
        <w:t>TAKE-TWO INTERACTIVE SOFTWARE, INC.</w:t>
      </w:r>
    </w:p>
    <w:p>
      <w:pPr>
        <w:spacing w:after="0" w:line="46"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360"/>
          </w:cols>
          <w:pgMar w:left="240" w:top="538" w:right="299" w:bottom="1440" w:gutter="0" w:footer="0" w:header="0"/>
        </w:sectPr>
      </w:pPr>
    </w:p>
    <w:p>
      <w:pPr>
        <w:spacing w:after="0" w:line="201" w:lineRule="exact"/>
        <w:rPr>
          <w:sz w:val="24"/>
          <w:szCs w:val="24"/>
          <w:color w:val="auto"/>
        </w:rPr>
      </w:pPr>
    </w:p>
    <w:p>
      <w:pPr>
        <w:jc w:val="center"/>
        <w:ind w:right="340"/>
        <w:spacing w:after="0"/>
        <w:rPr>
          <w:sz w:val="20"/>
          <w:szCs w:val="20"/>
          <w:color w:val="auto"/>
        </w:rPr>
      </w:pPr>
      <w:r>
        <w:rPr>
          <w:rFonts w:ascii="Times New Roman" w:cs="Times New Roman" w:eastAsia="Times New Roman" w:hAnsi="Times New Roman"/>
          <w:sz w:val="18"/>
          <w:szCs w:val="18"/>
          <w:b w:val="1"/>
          <w:bCs w:val="1"/>
          <w:color w:val="auto"/>
        </w:rPr>
        <w:t>Delaware</w:t>
      </w:r>
    </w:p>
    <w:p>
      <w:pPr>
        <w:spacing w:after="0" w:line="31" w:lineRule="exact"/>
        <w:rPr>
          <w:sz w:val="24"/>
          <w:szCs w:val="24"/>
          <w:color w:val="auto"/>
        </w:rPr>
      </w:pPr>
    </w:p>
    <w:p>
      <w:pPr>
        <w:jc w:val="center"/>
        <w:ind w:right="340"/>
        <w:spacing w:after="0"/>
        <w:rPr>
          <w:sz w:val="20"/>
          <w:szCs w:val="20"/>
          <w:color w:val="auto"/>
        </w:rPr>
      </w:pPr>
      <w:r>
        <w:rPr>
          <w:rFonts w:ascii="Times New Roman" w:cs="Times New Roman" w:eastAsia="Times New Roman" w:hAnsi="Times New Roman"/>
          <w:sz w:val="17"/>
          <w:szCs w:val="17"/>
          <w:color w:val="auto"/>
        </w:rPr>
        <w:t>(State or other jurisdiction of</w:t>
      </w:r>
    </w:p>
    <w:p>
      <w:pPr>
        <w:spacing w:after="0" w:line="20" w:lineRule="exact"/>
        <w:rPr>
          <w:sz w:val="24"/>
          <w:szCs w:val="24"/>
          <w:color w:val="auto"/>
        </w:rPr>
      </w:pPr>
      <w:r>
        <w:rPr>
          <w:sz w:val="24"/>
          <w:szCs w:val="24"/>
          <w:color w:val="auto"/>
        </w:rPr>
        <w:br w:type="column"/>
      </w:r>
    </w:p>
    <w:p>
      <w:pPr>
        <w:spacing w:after="0" w:line="181" w:lineRule="exact"/>
        <w:rPr>
          <w:sz w:val="24"/>
          <w:szCs w:val="24"/>
          <w:color w:val="auto"/>
        </w:rPr>
      </w:pPr>
    </w:p>
    <w:p>
      <w:pPr>
        <w:jc w:val="center"/>
        <w:ind w:right="840"/>
        <w:spacing w:after="0"/>
        <w:rPr>
          <w:sz w:val="20"/>
          <w:szCs w:val="20"/>
          <w:color w:val="auto"/>
        </w:rPr>
      </w:pPr>
      <w:r>
        <w:rPr>
          <w:rFonts w:ascii="Times New Roman" w:cs="Times New Roman" w:eastAsia="Times New Roman" w:hAnsi="Times New Roman"/>
          <w:sz w:val="18"/>
          <w:szCs w:val="18"/>
          <w:b w:val="1"/>
          <w:bCs w:val="1"/>
          <w:color w:val="auto"/>
        </w:rPr>
        <w:t>001-34003</w:t>
      </w:r>
    </w:p>
    <w:p>
      <w:pPr>
        <w:spacing w:after="0" w:line="31" w:lineRule="exact"/>
        <w:rPr>
          <w:sz w:val="24"/>
          <w:szCs w:val="24"/>
          <w:color w:val="auto"/>
        </w:rPr>
      </w:pPr>
    </w:p>
    <w:p>
      <w:pPr>
        <w:jc w:val="center"/>
        <w:ind w:right="840"/>
        <w:spacing w:after="0"/>
        <w:rPr>
          <w:sz w:val="20"/>
          <w:szCs w:val="20"/>
          <w:color w:val="auto"/>
        </w:rPr>
      </w:pPr>
      <w:r>
        <w:rPr>
          <w:rFonts w:ascii="Times New Roman" w:cs="Times New Roman" w:eastAsia="Times New Roman" w:hAnsi="Times New Roman"/>
          <w:sz w:val="17"/>
          <w:szCs w:val="17"/>
          <w:color w:val="auto"/>
        </w:rPr>
        <w:t>(Commission File Number)</w:t>
      </w:r>
    </w:p>
    <w:p>
      <w:pPr>
        <w:spacing w:after="0" w:line="20" w:lineRule="exact"/>
        <w:rPr>
          <w:sz w:val="24"/>
          <w:szCs w:val="24"/>
          <w:color w:val="auto"/>
        </w:rPr>
      </w:pPr>
      <w:r>
        <w:rPr>
          <w:sz w:val="24"/>
          <w:szCs w:val="24"/>
          <w:color w:val="auto"/>
        </w:rPr>
        <w:br w:type="column"/>
      </w:r>
    </w:p>
    <w:p>
      <w:pPr>
        <w:spacing w:after="0" w:line="181" w:lineRule="exact"/>
        <w:rPr>
          <w:sz w:val="24"/>
          <w:szCs w:val="24"/>
          <w:color w:val="auto"/>
        </w:rPr>
      </w:pPr>
    </w:p>
    <w:p>
      <w:pPr>
        <w:jc w:val="center"/>
        <w:ind w:right="460"/>
        <w:spacing w:after="0"/>
        <w:rPr>
          <w:sz w:val="20"/>
          <w:szCs w:val="20"/>
          <w:color w:val="auto"/>
        </w:rPr>
      </w:pPr>
      <w:r>
        <w:rPr>
          <w:rFonts w:ascii="Times New Roman" w:cs="Times New Roman" w:eastAsia="Times New Roman" w:hAnsi="Times New Roman"/>
          <w:sz w:val="18"/>
          <w:szCs w:val="18"/>
          <w:b w:val="1"/>
          <w:bCs w:val="1"/>
          <w:color w:val="auto"/>
        </w:rPr>
        <w:t>51-0350842</w:t>
      </w:r>
    </w:p>
    <w:p>
      <w:pPr>
        <w:spacing w:after="0" w:line="31" w:lineRule="exact"/>
        <w:rPr>
          <w:sz w:val="24"/>
          <w:szCs w:val="24"/>
          <w:color w:val="auto"/>
        </w:rPr>
      </w:pPr>
    </w:p>
    <w:p>
      <w:pPr>
        <w:jc w:val="center"/>
        <w:ind w:right="460"/>
        <w:spacing w:after="0"/>
        <w:rPr>
          <w:sz w:val="20"/>
          <w:szCs w:val="20"/>
          <w:color w:val="auto"/>
        </w:rPr>
      </w:pPr>
      <w:r>
        <w:rPr>
          <w:rFonts w:ascii="Times New Roman" w:cs="Times New Roman" w:eastAsia="Times New Roman" w:hAnsi="Times New Roman"/>
          <w:sz w:val="18"/>
          <w:szCs w:val="18"/>
          <w:color w:val="auto"/>
        </w:rPr>
        <w:t>(I.R.S. Employer Identification No.)</w:t>
      </w:r>
    </w:p>
    <w:p>
      <w:pPr>
        <w:spacing w:after="0" w:line="9" w:lineRule="exact"/>
        <w:rPr>
          <w:sz w:val="24"/>
          <w:szCs w:val="24"/>
          <w:color w:val="auto"/>
        </w:rPr>
      </w:pPr>
    </w:p>
    <w:p>
      <w:pPr>
        <w:sectPr>
          <w:pgSz w:w="11900" w:h="16838" w:orient="portrait"/>
          <w:cols w:equalWidth="0" w:num="3">
            <w:col w:w="4020" w:space="720"/>
            <w:col w:w="2820" w:space="720"/>
            <w:col w:w="3080"/>
          </w:cols>
          <w:pgMar w:left="240" w:top="538" w:right="299" w:bottom="1440" w:gutter="0" w:footer="0" w:header="0"/>
          <w:type w:val="continuous"/>
        </w:sectPr>
      </w:pPr>
    </w:p>
    <w:p>
      <w:pPr>
        <w:ind w:left="760"/>
        <w:spacing w:after="0"/>
        <w:rPr>
          <w:sz w:val="20"/>
          <w:szCs w:val="20"/>
          <w:color w:val="auto"/>
        </w:rPr>
      </w:pPr>
      <w:r>
        <w:rPr>
          <w:rFonts w:ascii="Times New Roman" w:cs="Times New Roman" w:eastAsia="Times New Roman" w:hAnsi="Times New Roman"/>
          <w:sz w:val="17"/>
          <w:szCs w:val="17"/>
          <w:color w:val="auto"/>
        </w:rPr>
        <w:t>incorporation or organization)</w:t>
      </w:r>
    </w:p>
    <w:p>
      <w:pPr>
        <w:sectPr>
          <w:pgSz w:w="11900" w:h="16838" w:orient="portrait"/>
          <w:cols w:equalWidth="0" w:num="1">
            <w:col w:w="11360"/>
          </w:cols>
          <w:pgMar w:left="240" w:top="538" w:right="299" w:bottom="1440" w:gutter="0" w:footer="0" w:header="0"/>
          <w:type w:val="continuous"/>
        </w:sectPr>
      </w:pPr>
    </w:p>
    <w:p>
      <w:pPr>
        <w:spacing w:after="0" w:line="214" w:lineRule="exact"/>
        <w:rPr>
          <w:sz w:val="24"/>
          <w:szCs w:val="24"/>
          <w:color w:val="auto"/>
        </w:rPr>
      </w:pPr>
    </w:p>
    <w:p>
      <w:pPr>
        <w:jc w:val="center"/>
        <w:ind w:right="1880"/>
        <w:spacing w:after="0"/>
        <w:rPr>
          <w:sz w:val="20"/>
          <w:szCs w:val="20"/>
          <w:color w:val="auto"/>
        </w:rPr>
      </w:pPr>
      <w:r>
        <w:rPr>
          <w:rFonts w:ascii="Times New Roman" w:cs="Times New Roman" w:eastAsia="Times New Roman" w:hAnsi="Times New Roman"/>
          <w:sz w:val="18"/>
          <w:szCs w:val="18"/>
          <w:b w:val="1"/>
          <w:bCs w:val="1"/>
          <w:color w:val="auto"/>
        </w:rPr>
        <w:t>110 West 44th Street</w:t>
      </w:r>
    </w:p>
    <w:p>
      <w:pPr>
        <w:spacing w:after="0" w:line="31" w:lineRule="exact"/>
        <w:rPr>
          <w:sz w:val="24"/>
          <w:szCs w:val="24"/>
          <w:color w:val="auto"/>
        </w:rPr>
      </w:pPr>
    </w:p>
    <w:p>
      <w:pPr>
        <w:jc w:val="center"/>
        <w:ind w:right="1880"/>
        <w:spacing w:after="0"/>
        <w:rPr>
          <w:sz w:val="20"/>
          <w:szCs w:val="20"/>
          <w:color w:val="auto"/>
        </w:rPr>
      </w:pPr>
      <w:r>
        <w:rPr>
          <w:rFonts w:ascii="Times New Roman" w:cs="Times New Roman" w:eastAsia="Times New Roman" w:hAnsi="Times New Roman"/>
          <w:sz w:val="18"/>
          <w:szCs w:val="18"/>
          <w:b w:val="1"/>
          <w:bCs w:val="1"/>
          <w:color w:val="auto"/>
        </w:rPr>
        <w:t>New York, New York</w:t>
      </w:r>
    </w:p>
    <w:p>
      <w:pPr>
        <w:spacing w:after="0" w:line="9" w:lineRule="exact"/>
        <w:rPr>
          <w:sz w:val="24"/>
          <w:szCs w:val="24"/>
          <w:color w:val="auto"/>
        </w:rPr>
      </w:pPr>
    </w:p>
    <w:p>
      <w:pPr>
        <w:jc w:val="center"/>
        <w:ind w:right="1880"/>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10" w:lineRule="exact"/>
        <w:rPr>
          <w:sz w:val="24"/>
          <w:szCs w:val="24"/>
          <w:color w:val="auto"/>
        </w:rPr>
      </w:pPr>
    </w:p>
    <w:p>
      <w:pPr>
        <w:jc w:val="center"/>
        <w:ind w:right="2340"/>
        <w:spacing w:after="0"/>
        <w:rPr>
          <w:sz w:val="20"/>
          <w:szCs w:val="20"/>
          <w:color w:val="auto"/>
        </w:rPr>
      </w:pPr>
      <w:r>
        <w:rPr>
          <w:rFonts w:ascii="Times New Roman" w:cs="Times New Roman" w:eastAsia="Times New Roman" w:hAnsi="Times New Roman"/>
          <w:sz w:val="18"/>
          <w:szCs w:val="18"/>
          <w:b w:val="1"/>
          <w:bCs w:val="1"/>
          <w:color w:val="auto"/>
        </w:rPr>
        <w:t>10036</w:t>
      </w:r>
    </w:p>
    <w:p>
      <w:pPr>
        <w:spacing w:after="0" w:line="31" w:lineRule="exact"/>
        <w:rPr>
          <w:sz w:val="24"/>
          <w:szCs w:val="24"/>
          <w:color w:val="auto"/>
        </w:rPr>
      </w:pPr>
    </w:p>
    <w:p>
      <w:pPr>
        <w:jc w:val="center"/>
        <w:ind w:right="2340"/>
        <w:spacing w:after="0"/>
        <w:rPr>
          <w:sz w:val="20"/>
          <w:szCs w:val="20"/>
          <w:color w:val="auto"/>
        </w:rPr>
      </w:pPr>
      <w:r>
        <w:rPr>
          <w:rFonts w:ascii="Times New Roman" w:cs="Times New Roman" w:eastAsia="Times New Roman" w:hAnsi="Times New Roman"/>
          <w:sz w:val="18"/>
          <w:szCs w:val="18"/>
          <w:color w:val="auto"/>
        </w:rPr>
        <w:t>(Zip Code)</w:t>
      </w:r>
    </w:p>
    <w:p>
      <w:pPr>
        <w:spacing w:after="0" w:line="200" w:lineRule="exact"/>
        <w:rPr>
          <w:sz w:val="24"/>
          <w:szCs w:val="24"/>
          <w:color w:val="auto"/>
        </w:rPr>
      </w:pPr>
    </w:p>
    <w:p>
      <w:pPr>
        <w:sectPr>
          <w:pgSz w:w="11900" w:h="16838" w:orient="portrait"/>
          <w:cols w:equalWidth="0" w:num="2">
            <w:col w:w="7500" w:space="720"/>
            <w:col w:w="3140"/>
          </w:cols>
          <w:pgMar w:left="240" w:top="538" w:right="299" w:bottom="1440" w:gutter="0" w:footer="0" w:header="0"/>
          <w:type w:val="continuous"/>
        </w:sectPr>
      </w:pPr>
    </w:p>
    <w:p>
      <w:pPr>
        <w:spacing w:after="0" w:line="3"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 xml:space="preserve">Registrant’s telephone number, including area code: </w:t>
      </w:r>
      <w:r>
        <w:rPr>
          <w:rFonts w:ascii="Times New Roman" w:cs="Times New Roman" w:eastAsia="Times New Roman" w:hAnsi="Times New Roman"/>
          <w:sz w:val="18"/>
          <w:szCs w:val="18"/>
          <w:b w:val="1"/>
          <w:bCs w:val="1"/>
          <w:color w:val="auto"/>
        </w:rPr>
        <w:t>(646) 536-2842</w:t>
      </w:r>
    </w:p>
    <w:p>
      <w:pPr>
        <w:spacing w:after="0" w:line="225" w:lineRule="exact"/>
        <w:rPr>
          <w:sz w:val="24"/>
          <w:szCs w:val="24"/>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 xml:space="preserve">Registrant’s Former Name or Address, if changed since last report: </w:t>
      </w:r>
      <w:r>
        <w:rPr>
          <w:rFonts w:ascii="Times New Roman" w:cs="Times New Roman" w:eastAsia="Times New Roman" w:hAnsi="Times New Roman"/>
          <w:sz w:val="18"/>
          <w:szCs w:val="18"/>
          <w:b w:val="1"/>
          <w:bCs w:val="1"/>
          <w:color w:val="auto"/>
        </w:rPr>
        <w:t>N/A</w:t>
      </w:r>
    </w:p>
    <w:p>
      <w:pPr>
        <w:spacing w:after="0" w:line="229" w:lineRule="exact"/>
        <w:rPr>
          <w:sz w:val="24"/>
          <w:szCs w:val="24"/>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6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o Pre-commencement communications pursuant to Rule 13e-4(c) under the Exchange Act (17 CFR 240.13e-4(c))</w:t>
      </w:r>
    </w:p>
    <w:p>
      <w:pPr>
        <w:spacing w:after="0" w:line="225"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6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Emerging growth company o</w:t>
      </w:r>
    </w:p>
    <w:p>
      <w:pPr>
        <w:spacing w:after="0" w:line="225" w:lineRule="exact"/>
        <w:rPr>
          <w:sz w:val="24"/>
          <w:szCs w:val="24"/>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157480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395605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60"/>
          </w:cols>
          <w:pgMar w:left="240" w:top="538" w:right="299" w:bottom="1440" w:gutter="0" w:footer="0" w:header="0"/>
          <w:type w:val="continuous"/>
        </w:sectPr>
      </w:pPr>
    </w:p>
    <w:bookmarkStart w:id="1" w:name="page2"/>
    <w:bookmarkEnd w:id="1"/>
    <w:p>
      <w:pPr>
        <w:spacing w:after="0"/>
        <w:tabs>
          <w:tab w:leader="none" w:pos="1340" w:val="left"/>
        </w:tabs>
        <w:rPr>
          <w:sz w:val="20"/>
          <w:szCs w:val="20"/>
          <w:color w:val="auto"/>
        </w:rPr>
      </w:pPr>
      <w:r>
        <w:rPr>
          <w:rFonts w:ascii="Times New Roman" w:cs="Times New Roman" w:eastAsia="Times New Roman" w:hAnsi="Times New Roman"/>
          <w:sz w:val="18"/>
          <w:szCs w:val="18"/>
          <w:b w:val="1"/>
          <w:bCs w:val="1"/>
          <w:color w:val="auto"/>
        </w:rPr>
        <w:t>Item 1.01</w:t>
      </w:r>
      <w:r>
        <w:rPr>
          <w:sz w:val="20"/>
          <w:szCs w:val="20"/>
          <w:color w:val="auto"/>
        </w:rPr>
        <w:tab/>
      </w:r>
      <w:r>
        <w:rPr>
          <w:rFonts w:ascii="Times New Roman" w:cs="Times New Roman" w:eastAsia="Times New Roman" w:hAnsi="Times New Roman"/>
          <w:sz w:val="17"/>
          <w:szCs w:val="17"/>
          <w:b w:val="1"/>
          <w:bCs w:val="1"/>
          <w:color w:val="auto"/>
        </w:rPr>
        <w:t>Entry into a Material Definitive Agreement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description of the Credit Agreement set forth in Item 2.03 of this report is incorporated herein by reference.</w:t>
      </w:r>
    </w:p>
    <w:p>
      <w:pPr>
        <w:spacing w:after="0" w:line="221" w:lineRule="exact"/>
        <w:rPr>
          <w:sz w:val="20"/>
          <w:szCs w:val="20"/>
          <w:color w:val="auto"/>
        </w:rPr>
      </w:pPr>
    </w:p>
    <w:p>
      <w:pPr>
        <w:spacing w:after="0"/>
        <w:tabs>
          <w:tab w:leader="none" w:pos="1340" w:val="left"/>
        </w:tabs>
        <w:rPr>
          <w:sz w:val="20"/>
          <w:szCs w:val="20"/>
          <w:color w:val="auto"/>
        </w:rPr>
      </w:pPr>
      <w:r>
        <w:rPr>
          <w:rFonts w:ascii="Times New Roman" w:cs="Times New Roman" w:eastAsia="Times New Roman" w:hAnsi="Times New Roman"/>
          <w:sz w:val="18"/>
          <w:szCs w:val="18"/>
          <w:b w:val="1"/>
          <w:bCs w:val="1"/>
          <w:color w:val="auto"/>
        </w:rPr>
        <w:t>Item 1.02</w:t>
      </w:r>
      <w:r>
        <w:rPr>
          <w:sz w:val="20"/>
          <w:szCs w:val="20"/>
          <w:color w:val="auto"/>
        </w:rPr>
        <w:tab/>
      </w:r>
      <w:r>
        <w:rPr>
          <w:rFonts w:ascii="Times New Roman" w:cs="Times New Roman" w:eastAsia="Times New Roman" w:hAnsi="Times New Roman"/>
          <w:sz w:val="17"/>
          <w:szCs w:val="17"/>
          <w:b w:val="1"/>
          <w:bCs w:val="1"/>
          <w:color w:val="auto"/>
        </w:rPr>
        <w:t>Termination of a Material Definitive Agreement</w:t>
      </w:r>
    </w:p>
    <w:p>
      <w:pPr>
        <w:spacing w:after="0" w:line="22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description of the Credit Agreement set forth in Item 2.03 of this report is incorporated herein by reference.</w:t>
      </w:r>
    </w:p>
    <w:p>
      <w:pPr>
        <w:spacing w:after="0" w:line="221" w:lineRule="exact"/>
        <w:rPr>
          <w:sz w:val="20"/>
          <w:szCs w:val="20"/>
          <w:color w:val="auto"/>
        </w:rPr>
      </w:pPr>
    </w:p>
    <w:p>
      <w:pPr>
        <w:spacing w:after="0"/>
        <w:tabs>
          <w:tab w:leader="none" w:pos="1340" w:val="left"/>
        </w:tabs>
        <w:rPr>
          <w:sz w:val="20"/>
          <w:szCs w:val="20"/>
          <w:color w:val="auto"/>
        </w:rPr>
      </w:pPr>
      <w:r>
        <w:rPr>
          <w:rFonts w:ascii="Times New Roman" w:cs="Times New Roman" w:eastAsia="Times New Roman" w:hAnsi="Times New Roman"/>
          <w:sz w:val="18"/>
          <w:szCs w:val="18"/>
          <w:b w:val="1"/>
          <w:bCs w:val="1"/>
          <w:color w:val="auto"/>
        </w:rPr>
        <w:t>Item 2.03</w:t>
      </w:r>
      <w:r>
        <w:rPr>
          <w:sz w:val="20"/>
          <w:szCs w:val="20"/>
          <w:color w:val="auto"/>
        </w:rPr>
        <w:tab/>
      </w:r>
      <w:r>
        <w:rPr>
          <w:rFonts w:ascii="Times New Roman" w:cs="Times New Roman" w:eastAsia="Times New Roman" w:hAnsi="Times New Roman"/>
          <w:sz w:val="17"/>
          <w:szCs w:val="17"/>
          <w:b w:val="1"/>
          <w:bCs w:val="1"/>
          <w:color w:val="auto"/>
        </w:rPr>
        <w:t>Creation of a Direct Financial Obligation or an Obligation under an Off-Balance Sheet Arrangement of a Registrant.</w:t>
      </w:r>
    </w:p>
    <w:p>
      <w:pPr>
        <w:spacing w:after="0" w:line="229" w:lineRule="exact"/>
        <w:rPr>
          <w:sz w:val="20"/>
          <w:szCs w:val="20"/>
          <w:color w:val="auto"/>
        </w:rPr>
      </w:pPr>
    </w:p>
    <w:p>
      <w:pPr>
        <w:ind w:firstLine="648"/>
        <w:spacing w:after="0" w:line="258" w:lineRule="auto"/>
        <w:rPr>
          <w:sz w:val="20"/>
          <w:szCs w:val="20"/>
          <w:color w:val="auto"/>
        </w:rPr>
      </w:pPr>
      <w:r>
        <w:rPr>
          <w:rFonts w:ascii="Times New Roman" w:cs="Times New Roman" w:eastAsia="Times New Roman" w:hAnsi="Times New Roman"/>
          <w:sz w:val="18"/>
          <w:szCs w:val="18"/>
          <w:color w:val="auto"/>
        </w:rPr>
        <w:t>On February 8, 2019, Take-Two Interactive Software, Inc. (the “Company”) entered into an unsecured Credit Agreement (the “Credit Agreement”) with certain financial institutions party thereto as lenders (the “Lenders”), Wells Fargo Bank, National Association, as administrative agent for the Lenders, Wells Fargo Securities, LLC and JPMorgan Chase Bank, N.A., as joint lead arrangers and joint bookrunners, and JPMorgan Chase Bank, N.A. as syndication agent. The Credit Agreement replaces the Company’s existing Second Amended and Restated Credit Agreement, dated as of October 17, 2011, which was terminated.</w:t>
      </w:r>
    </w:p>
    <w:p>
      <w:pPr>
        <w:spacing w:after="0" w:line="184" w:lineRule="exact"/>
        <w:rPr>
          <w:sz w:val="20"/>
          <w:szCs w:val="20"/>
          <w:color w:val="auto"/>
        </w:rPr>
      </w:pPr>
    </w:p>
    <w:p>
      <w:pPr>
        <w:ind w:right="420" w:firstLine="648"/>
        <w:spacing w:after="0" w:line="261" w:lineRule="auto"/>
        <w:rPr>
          <w:sz w:val="20"/>
          <w:szCs w:val="20"/>
          <w:color w:val="auto"/>
        </w:rPr>
      </w:pPr>
      <w:r>
        <w:rPr>
          <w:rFonts w:ascii="Times New Roman" w:cs="Times New Roman" w:eastAsia="Times New Roman" w:hAnsi="Times New Roman"/>
          <w:sz w:val="18"/>
          <w:szCs w:val="18"/>
          <w:color w:val="auto"/>
        </w:rPr>
        <w:t>The Credit Agreement provides for an unsecured five-year revolving credit facility (the “Credit Facility”) with commitments of $200,000,000, including sublimits for (i) the issuance of letters of credit in an aggregate face amount of up to $25,000,000 and (ii) borrowings and letters of credit denominated in Pounds Sterling, Euros and Canadian Dollars in an aggregate principal amount of up to $25,000,000. In addition, the Credit Agreement contains uncommitted incremental capacity permitting the incurrence of up to an additional $250,000,000 in term loans or revolving credit facilities.</w:t>
      </w:r>
    </w:p>
    <w:p>
      <w:pPr>
        <w:spacing w:after="0" w:line="18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The Company’s obligations under the Credit Agreement are guaranteed by certain direct and indirect domestic subsidiaries of the Company.</w:t>
      </w:r>
    </w:p>
    <w:p>
      <w:pPr>
        <w:spacing w:after="0" w:line="225" w:lineRule="exact"/>
        <w:rPr>
          <w:sz w:val="20"/>
          <w:szCs w:val="20"/>
          <w:color w:val="auto"/>
        </w:rPr>
      </w:pPr>
    </w:p>
    <w:p>
      <w:pPr>
        <w:ind w:right="320" w:firstLine="648"/>
        <w:spacing w:after="0" w:line="282" w:lineRule="auto"/>
        <w:rPr>
          <w:sz w:val="20"/>
          <w:szCs w:val="20"/>
          <w:color w:val="auto"/>
        </w:rPr>
      </w:pPr>
      <w:r>
        <w:rPr>
          <w:rFonts w:ascii="Times New Roman" w:cs="Times New Roman" w:eastAsia="Times New Roman" w:hAnsi="Times New Roman"/>
          <w:sz w:val="18"/>
          <w:szCs w:val="18"/>
          <w:color w:val="auto"/>
        </w:rPr>
        <w:t>The Credit Facility will bear interest at a margin of (a) 0.125% to 0.750% above a certain base rate, or (b) 1.125% to 1.750% above the LIBOR Rate, which margins are determined by reference to the Company’s consolidated total net leverage ratio.</w:t>
      </w:r>
    </w:p>
    <w:p>
      <w:pPr>
        <w:spacing w:after="0" w:line="162" w:lineRule="exact"/>
        <w:rPr>
          <w:sz w:val="20"/>
          <w:szCs w:val="20"/>
          <w:color w:val="auto"/>
        </w:rPr>
      </w:pPr>
    </w:p>
    <w:p>
      <w:pPr>
        <w:ind w:right="40" w:firstLine="648"/>
        <w:spacing w:after="0" w:line="255" w:lineRule="auto"/>
        <w:rPr>
          <w:sz w:val="20"/>
          <w:szCs w:val="20"/>
          <w:color w:val="auto"/>
        </w:rPr>
      </w:pPr>
      <w:r>
        <w:rPr>
          <w:rFonts w:ascii="Times New Roman" w:cs="Times New Roman" w:eastAsia="Times New Roman" w:hAnsi="Times New Roman"/>
          <w:sz w:val="18"/>
          <w:szCs w:val="18"/>
          <w:color w:val="auto"/>
        </w:rPr>
        <w:t>The Credit Agreement also includes, among other terms and conditions, maximum leverage ratio, minimum cash reserves and, in certain circumstances, minimum interest coverage ratio financial covenants, as well as limitations on the Company’s and each of its subsidiaries’ ability to: create, incur, assume or be liable for indebtedness; dispose of assets outside the ordinary course; acquire, merge or consolidate with or into another person or entity; create, incur or allow any lien on any of its property; make investments; or pay dividends or make distributions, in each case subject to certain exceptions. In addition, the Credit Agreement provides for certain events of default such as nonpayment of principal and interest when due thereunder, breaches of representations and warranties, noncompliance with covenants, acts of insolvency and default on indebtedness held by third parties (subject to certain limitations and cure periods).</w:t>
      </w:r>
    </w:p>
    <w:p>
      <w:pPr>
        <w:spacing w:after="0" w:line="18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This description of the Credit Agreement is a summary only and qualified in its entirety by reference to the text of the Credit Agreement, which will be filed as an exhibit to the Company’s Annual Report on Form 10-K for the period ending March 31, 2019.</w:t>
      </w:r>
    </w:p>
    <w:p>
      <w:pPr>
        <w:spacing w:after="0" w:line="162"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340"/>
          </w:cols>
          <w:pgMar w:left="240" w:top="333" w:right="31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right="200" w:firstLine="495"/>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2" w:lineRule="exact"/>
        <w:rPr>
          <w:sz w:val="20"/>
          <w:szCs w:val="20"/>
          <w:color w:val="auto"/>
        </w:rPr>
      </w:pPr>
    </w:p>
    <w:p>
      <w:pPr>
        <w:ind w:left="5820"/>
        <w:spacing w:after="0"/>
        <w:rPr>
          <w:sz w:val="20"/>
          <w:szCs w:val="20"/>
          <w:color w:val="auto"/>
        </w:rPr>
      </w:pPr>
      <w:r>
        <w:rPr>
          <w:rFonts w:ascii="Times New Roman" w:cs="Times New Roman" w:eastAsia="Times New Roman" w:hAnsi="Times New Roman"/>
          <w:sz w:val="18"/>
          <w:szCs w:val="18"/>
          <w:color w:val="auto"/>
        </w:rPr>
        <w:t>TAKE-TWO INTERACTIVE SOFTWARE, INC.</w:t>
      </w:r>
    </w:p>
    <w:p>
      <w:pPr>
        <w:spacing w:after="0" w:line="225" w:lineRule="exact"/>
        <w:rPr>
          <w:sz w:val="20"/>
          <w:szCs w:val="20"/>
          <w:color w:val="auto"/>
        </w:rPr>
      </w:pPr>
    </w:p>
    <w:tbl>
      <w:tblPr>
        <w:tblLayout w:type="fixed"/>
        <w:tblInd w:w="5820" w:type="dxa"/>
        <w:tblCellMar>
          <w:top w:w="0" w:type="dxa"/>
          <w:left w:w="0" w:type="dxa"/>
          <w:bottom w:w="0" w:type="dxa"/>
          <w:right w:w="0" w:type="dxa"/>
        </w:tblCellMar>
      </w:tblPr>
      <w:tr>
        <w:trPr>
          <w:trHeight w:val="234"/>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4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Matthew K. Breitman</w:t>
            </w:r>
          </w:p>
        </w:tc>
      </w:tr>
      <w:tr>
        <w:trPr>
          <w:trHeight w:val="191"/>
        </w:trPr>
        <w:tc>
          <w:tcPr>
            <w:tcW w:w="84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7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Matthew K. Breitman</w:t>
            </w:r>
          </w:p>
        </w:tc>
      </w:tr>
      <w:tr>
        <w:trPr>
          <w:trHeight w:val="216"/>
        </w:trPr>
        <w:tc>
          <w:tcPr>
            <w:tcW w:w="84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476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Deputy General Counsel &amp; Corporate</w:t>
            </w:r>
          </w:p>
        </w:tc>
      </w:tr>
      <w:tr>
        <w:trPr>
          <w:trHeight w:val="234"/>
        </w:trPr>
        <w:tc>
          <w:tcPr>
            <w:tcW w:w="840" w:type="dxa"/>
            <w:vAlign w:val="bottom"/>
          </w:tcPr>
          <w:p>
            <w:pPr>
              <w:spacing w:after="0"/>
              <w:rPr>
                <w:sz w:val="20"/>
                <w:szCs w:val="20"/>
                <w:color w:val="auto"/>
              </w:rPr>
            </w:pPr>
          </w:p>
        </w:tc>
        <w:tc>
          <w:tcPr>
            <w:tcW w:w="4760" w:type="dxa"/>
            <w:vAlign w:val="bottom"/>
          </w:tcPr>
          <w:p>
            <w:pPr>
              <w:spacing w:after="0"/>
              <w:rPr>
                <w:sz w:val="20"/>
                <w:szCs w:val="20"/>
                <w:color w:val="auto"/>
              </w:rPr>
            </w:pPr>
            <w:r>
              <w:rPr>
                <w:rFonts w:ascii="Times New Roman" w:cs="Times New Roman" w:eastAsia="Times New Roman" w:hAnsi="Times New Roman"/>
                <w:sz w:val="18"/>
                <w:szCs w:val="18"/>
                <w:color w:val="auto"/>
              </w:rPr>
              <w:t>Secretary</w:t>
            </w:r>
          </w:p>
        </w:tc>
      </w:tr>
    </w:tbl>
    <w:p>
      <w:pPr>
        <w:spacing w:after="0"/>
        <w:rPr>
          <w:sz w:val="20"/>
          <w:szCs w:val="20"/>
          <w:color w:val="auto"/>
        </w:rPr>
      </w:pPr>
      <w:r>
        <w:rPr>
          <w:rFonts w:ascii="Times New Roman" w:cs="Times New Roman" w:eastAsia="Times New Roman" w:hAnsi="Times New Roman"/>
          <w:sz w:val="18"/>
          <w:szCs w:val="18"/>
          <w:color w:val="auto"/>
        </w:rPr>
        <w:t>Date: February 14, 2019</w:t>
      </w: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83820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333"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2019-12-05T00:46:20Z</dcterms:created>
  <dcterms:modified xsi:type="dcterms:W3CDTF">2019-12-05T00:46:20Z</dcterms:modified>
</cp:coreProperties>
</file>