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7, 2018</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TAKE-TWO INTERACTIVE SOFTWARE,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001-34003</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51-0350842</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40"/>
          </w:cols>
          <w:pgMar w:left="240" w:top="544" w:right="29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110 West 44</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Street, New York, New York</w:t>
      </w:r>
    </w:p>
    <w:p>
      <w:pPr>
        <w:spacing w:after="0" w:line="50" w:lineRule="exact"/>
        <w:rPr>
          <w:sz w:val="24"/>
          <w:szCs w:val="24"/>
          <w:color w:val="auto"/>
        </w:rPr>
      </w:pPr>
    </w:p>
    <w:p>
      <w:pPr>
        <w:jc w:val="center"/>
        <w:ind w:right="188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8"/>
          <w:szCs w:val="18"/>
          <w:b w:val="1"/>
          <w:bCs w:val="1"/>
          <w:color w:val="auto"/>
        </w:rPr>
        <w:t>10036</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500" w:space="720"/>
            <w:col w:w="3140"/>
          </w:cols>
          <w:pgMar w:left="240" w:top="544" w:right="299" w:bottom="0" w:gutter="0" w:footer="0" w:header="0"/>
          <w:type w:val="continuous"/>
        </w:sectPr>
      </w:pPr>
    </w:p>
    <w:p>
      <w:pPr>
        <w:spacing w:after="0" w:line="11" w:lineRule="exact"/>
        <w:rPr>
          <w:sz w:val="24"/>
          <w:szCs w:val="24"/>
          <w:color w:val="auto"/>
        </w:rPr>
      </w:pPr>
    </w:p>
    <w:p>
      <w:pPr>
        <w:ind w:left="3260"/>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(646) 536-2842</w:t>
      </w:r>
    </w:p>
    <w:p>
      <w:pPr>
        <w:spacing w:after="0" w:line="204" w:lineRule="exact"/>
        <w:rPr>
          <w:sz w:val="24"/>
          <w:szCs w:val="24"/>
          <w:color w:val="auto"/>
        </w:rPr>
      </w:pPr>
    </w:p>
    <w:p>
      <w:pPr>
        <w:sectPr>
          <w:pgSz w:w="11900" w:h="16838" w:orient="portrait"/>
          <w:cols w:equalWidth="0" w:num="2">
            <w:col w:w="6960" w:space="80"/>
            <w:col w:w="4320"/>
          </w:cols>
          <w:pgMar w:left="240" w:top="544" w:right="299" w:bottom="0" w:gutter="0" w:footer="0" w:header="0"/>
          <w:type w:val="continuous"/>
        </w:sectPr>
      </w:pP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622 Broadway, New York, New York, 10012</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right="100" w:firstLine="648"/>
        <w:spacing w:after="0" w:line="264" w:lineRule="auto"/>
        <w:rPr>
          <w:sz w:val="20"/>
          <w:szCs w:val="20"/>
          <w:color w:val="auto"/>
        </w:rPr>
      </w:pPr>
      <w:r>
        <w:rPr>
          <w:rFonts w:ascii="Arial" w:cs="Arial" w:eastAsia="Arial" w:hAnsi="Arial"/>
          <w:sz w:val="18"/>
          <w:szCs w:val="18"/>
          <w:color w:val="auto"/>
        </w:rPr>
        <w:t>On February 7, 2018, Take-Two Interactive Software, Inc. (the “Company”) issued a press release announcing the financial results of the Company for its third fiscal quarter ended December 31, 2017. A copy of the press release is attached to this Current Report as Exhibit 99.1 and is incorporated by reference herein.</w:t>
      </w:r>
    </w:p>
    <w:p>
      <w:pPr>
        <w:spacing w:after="0" w:line="181" w:lineRule="exact"/>
        <w:rPr>
          <w:sz w:val="24"/>
          <w:szCs w:val="24"/>
          <w:color w:val="auto"/>
        </w:rPr>
      </w:pPr>
    </w:p>
    <w:p>
      <w:pPr>
        <w:ind w:firstLine="648"/>
        <w:spacing w:after="0" w:line="297" w:lineRule="auto"/>
        <w:rPr>
          <w:sz w:val="20"/>
          <w:szCs w:val="20"/>
          <w:color w:val="auto"/>
        </w:rPr>
      </w:pPr>
      <w:r>
        <w:rPr>
          <w:rFonts w:ascii="Arial" w:cs="Arial" w:eastAsia="Arial" w:hAnsi="Arial"/>
          <w:sz w:val="16"/>
          <w:szCs w:val="16"/>
          <w:color w:val="auto"/>
        </w:rPr>
        <w:t>The information included in this Current Report on Form 8-K, including Exhibit 99.1 hereto, that is furnished pursuant to this Item 2.02 shall not be deemed to be “filed” for the purposes of Section 18 of the Securities Exchange Act of 1934, as amended, or otherwise subject to the liabilities of that section or Sections 11 and 12(a)(2) of the Securities Act of 1933, as amended. In addition, the information included in this Current Report on Form 8-K, including Exhibit 99.1 hereto, that is furnished pursuant to this Item 2.02 shall not be incorporated by reference into any filing of the Company, whether made before or after the date hereof, regardless of any general incorporation language in such filing, unless expressly incorporated by specific reference into such filing.</w:t>
      </w:r>
    </w:p>
    <w:p>
      <w:pPr>
        <w:spacing w:after="0" w:line="154"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1320" w:hanging="664"/>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1980" w:right="120" w:hanging="648"/>
        <w:spacing w:after="0" w:line="277" w:lineRule="auto"/>
        <w:rPr>
          <w:rFonts w:ascii="Arial" w:cs="Arial" w:eastAsia="Arial" w:hAnsi="Arial"/>
          <w:sz w:val="18"/>
          <w:szCs w:val="18"/>
          <w:color w:val="auto"/>
        </w:rPr>
      </w:pPr>
      <w:r>
        <w:rPr>
          <w:rFonts w:ascii="Arial" w:cs="Arial" w:eastAsia="Arial" w:hAnsi="Arial"/>
          <w:sz w:val="18"/>
          <w:szCs w:val="18"/>
          <w:color w:val="auto"/>
        </w:rPr>
        <w:t>99.1 Press Release dated February 7, 2018 relating to Take-Two Interactive Software, Inc.’s financial results for its third fiscal quarter ended December 31, 2017.</w:t>
      </w:r>
    </w:p>
    <w:p>
      <w:pPr>
        <w:spacing w:after="0" w:line="17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460" w:type="dxa"/>
            <w:vAlign w:val="bottom"/>
            <w:gridSpan w:val="4"/>
          </w:tcPr>
          <w:p>
            <w:pPr>
              <w:jc w:val="center"/>
              <w:ind w:right="294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9920" w:type="dxa"/>
            <w:vAlign w:val="bottom"/>
            <w:gridSpan w:val="6"/>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Press Release dated February 7, 2018 relating to Take-Two Interactive Software, Inc.’s financial results for its third fiscal quarter ended</w:t>
              </w:r>
            </w:hyperlink>
          </w:p>
        </w:tc>
        <w:tc>
          <w:tcPr>
            <w:tcW w:w="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December 31, 2017.</w:t>
              </w:r>
            </w:hyperlink>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53"/>
        </w:trPr>
        <w:tc>
          <w:tcPr>
            <w:tcW w:w="116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1440" w:type="dxa"/>
            <w:vAlign w:val="bottom"/>
            <w:tcBorders>
              <w:top w:val="single" w:sz="8" w:color="0000EE"/>
            </w:tcBorders>
          </w:tcPr>
          <w:p>
            <w:pPr>
              <w:spacing w:after="0"/>
              <w:rPr>
                <w:sz w:val="24"/>
                <w:szCs w:val="24"/>
                <w:color w:val="auto"/>
              </w:rPr>
            </w:pPr>
          </w:p>
        </w:tc>
        <w:tc>
          <w:tcPr>
            <w:tcW w:w="3460" w:type="dxa"/>
            <w:vAlign w:val="bottom"/>
            <w:gridSpan w:val="2"/>
          </w:tcPr>
          <w:p>
            <w:pPr>
              <w:jc w:val="right"/>
              <w:ind w:right="588"/>
              <w:spacing w:after="0"/>
              <w:rPr>
                <w:sz w:val="20"/>
                <w:szCs w:val="20"/>
                <w:color w:val="auto"/>
              </w:rPr>
            </w:pPr>
            <w:r>
              <w:rPr>
                <w:rFonts w:ascii="Arial" w:cs="Arial" w:eastAsia="Arial" w:hAnsi="Arial"/>
                <w:sz w:val="18"/>
                <w:szCs w:val="18"/>
                <w:color w:val="auto"/>
              </w:rPr>
              <w:t>3</w:t>
            </w:r>
          </w:p>
        </w:tc>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48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TAKE-TWO INTERACTIVE SOFTWARE, INC.</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82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Breitman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Matthew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Senior Vice President, Deputy General Counsel &amp; Corporate Secretary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2018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67" w:right="199" w:bottom="1440" w:gutter="0" w:footer="0" w:header="0"/>
        </w:sectPr>
      </w:pPr>
    </w:p>
    <w:bookmarkStart w:id="2" w:name="page3"/>
    <w:bookmarkEnd w:id="2"/>
    <w:p>
      <w:pPr>
        <w:spacing w:after="0" w:line="5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823595" cy="7886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359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FOR IMMEDIATE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ectPr>
          <w:pgSz w:w="11900" w:h="16897" w:orient="portrait"/>
          <w:cols w:equalWidth="0" w:num="1">
            <w:col w:w="11420"/>
          </w:cols>
          <w:pgMar w:left="240" w:top="121" w:right="239" w:bottom="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Henry A. Diamond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 &amp; Corporate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Take-Two Interactive Software,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 536-3005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Henry.Diamond@take2games.com</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(Corporate Press)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Alan Lewis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Corporate Communications &amp; Public Affairs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Take-Two Interactive Software,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 536-2983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Alan.Lewis@take2games.com</w:t>
      </w:r>
    </w:p>
    <w:p>
      <w:pPr>
        <w:spacing w:after="0" w:line="200" w:lineRule="exact"/>
        <w:rPr>
          <w:sz w:val="20"/>
          <w:szCs w:val="20"/>
          <w:color w:val="auto"/>
        </w:rPr>
      </w:pPr>
    </w:p>
    <w:p>
      <w:pPr>
        <w:sectPr>
          <w:pgSz w:w="11900" w:h="16897" w:orient="portrait"/>
          <w:cols w:equalWidth="0" w:num="2">
            <w:col w:w="5260" w:space="720"/>
            <w:col w:w="5440"/>
          </w:cols>
          <w:pgMar w:left="240" w:top="121" w:right="239" w:bottom="0" w:gutter="0" w:footer="0" w:header="0"/>
          <w:type w:val="continuous"/>
        </w:sectPr>
      </w:pP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Reports Results for Fiscal Third Quarter 2018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GAAP net revenue was $480.8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GAAP net income was $0.21 per diluted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Net cash provided by operating activities was $203.0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Net Bookings were $653.9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deployed $110.1 million to repurchase 1.06 million shares of common stock</w:t>
      </w:r>
    </w:p>
    <w:p>
      <w:pPr>
        <w:spacing w:after="0" w:line="221"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u w:val="single" w:color="auto"/>
          <w:color w:val="auto"/>
        </w:rPr>
        <w:t>New York, NY — February 7, 2018</w:t>
      </w:r>
      <w:r>
        <w:rPr>
          <w:rFonts w:ascii="Arial" w:cs="Arial" w:eastAsia="Arial" w:hAnsi="Arial"/>
          <w:sz w:val="18"/>
          <w:szCs w:val="18"/>
          <w:b w:val="1"/>
          <w:bCs w:val="1"/>
          <w:color w:val="auto"/>
        </w:rPr>
        <w:t xml:space="preserve"> </w:t>
      </w:r>
      <w:r>
        <w:rPr>
          <w:rFonts w:ascii="Arial" w:cs="Arial" w:eastAsia="Arial" w:hAnsi="Arial"/>
          <w:sz w:val="18"/>
          <w:szCs w:val="18"/>
          <w:color w:val="auto"/>
        </w:rPr>
        <w:t>— Take-Two Interactive Software, Inc. (NASDAQ:TTWO) today reported results for its fiscal third quarter 2018,</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December 31, 2017. In addition, the Company provided its initial financial outlook for its fiscal fourth quarter ending March 31, 2018, and updated its financial outlook for its fiscal year ending March 31, 2018.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Third Quarter 2018 GAAP Financial Highlights</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 xml:space="preserve">Net revenue grew to $480.8 million, as compared to $476.5 million in last year’s fiscal third quarter. Recurrent consumer spending (virtual currency, add-on content and microtransactions) grew 64% year-over-year and accounted for 32% of total net revenue. The largest contributors to net revenue in fiscal third quarter 2018 were </w:t>
      </w:r>
      <w:r>
        <w:rPr>
          <w:rFonts w:ascii="Arial" w:cs="Arial" w:eastAsia="Arial" w:hAnsi="Arial"/>
          <w:sz w:val="17"/>
          <w:szCs w:val="17"/>
          <w:i w:val="1"/>
          <w:iCs w:val="1"/>
          <w:color w:val="auto"/>
        </w:rPr>
        <w:t>Grand Theft Auto® V</w:t>
      </w:r>
      <w:r>
        <w:rPr>
          <w:rFonts w:ascii="Arial" w:cs="Arial" w:eastAsia="Arial" w:hAnsi="Arial"/>
          <w:sz w:val="17"/>
          <w:szCs w:val="17"/>
          <w:color w:val="auto"/>
        </w:rPr>
        <w:t xml:space="preserve"> and </w:t>
      </w:r>
      <w:r>
        <w:rPr>
          <w:rFonts w:ascii="Arial" w:cs="Arial" w:eastAsia="Arial" w:hAnsi="Arial"/>
          <w:sz w:val="17"/>
          <w:szCs w:val="17"/>
          <w:i w:val="1"/>
          <w:iCs w:val="1"/>
          <w:color w:val="auto"/>
        </w:rPr>
        <w:t>Grand Theft Auto Online</w:t>
      </w:r>
      <w:r>
        <w:rPr>
          <w:rFonts w:ascii="Arial" w:cs="Arial" w:eastAsia="Arial" w:hAnsi="Arial"/>
          <w:sz w:val="17"/>
          <w:szCs w:val="17"/>
          <w:color w:val="auto"/>
        </w:rPr>
        <w:t xml:space="preserve">, </w:t>
      </w:r>
      <w:r>
        <w:rPr>
          <w:rFonts w:ascii="Arial" w:cs="Arial" w:eastAsia="Arial" w:hAnsi="Arial"/>
          <w:sz w:val="17"/>
          <w:szCs w:val="17"/>
          <w:i w:val="1"/>
          <w:iCs w:val="1"/>
          <w:color w:val="auto"/>
        </w:rPr>
        <w:t>NBA® 2K18</w:t>
      </w:r>
      <w:r>
        <w:rPr>
          <w:rFonts w:ascii="Arial" w:cs="Arial" w:eastAsia="Arial" w:hAnsi="Arial"/>
          <w:sz w:val="17"/>
          <w:szCs w:val="17"/>
          <w:color w:val="auto"/>
        </w:rPr>
        <w:t xml:space="preserve">, </w:t>
      </w:r>
      <w:r>
        <w:rPr>
          <w:rFonts w:ascii="Arial" w:cs="Arial" w:eastAsia="Arial" w:hAnsi="Arial"/>
          <w:sz w:val="17"/>
          <w:szCs w:val="17"/>
          <w:i w:val="1"/>
          <w:iCs w:val="1"/>
          <w:color w:val="auto"/>
        </w:rPr>
        <w:t>WWE® 2K18</w:t>
      </w:r>
      <w:r>
        <w:rPr>
          <w:rFonts w:ascii="Arial" w:cs="Arial" w:eastAsia="Arial" w:hAnsi="Arial"/>
          <w:sz w:val="17"/>
          <w:szCs w:val="17"/>
          <w:color w:val="auto"/>
        </w:rPr>
        <w:t xml:space="preserve"> and </w:t>
      </w:r>
      <w:r>
        <w:rPr>
          <w:rFonts w:ascii="Arial" w:cs="Arial" w:eastAsia="Arial" w:hAnsi="Arial"/>
          <w:sz w:val="17"/>
          <w:szCs w:val="17"/>
          <w:i w:val="1"/>
          <w:iCs w:val="1"/>
          <w:color w:val="auto"/>
        </w:rPr>
        <w:t>WWE SuperCard</w:t>
      </w:r>
      <w:r>
        <w:rPr>
          <w:rFonts w:ascii="Arial" w:cs="Arial" w:eastAsia="Arial" w:hAnsi="Arial"/>
          <w:sz w:val="17"/>
          <w:szCs w:val="17"/>
          <w:color w:val="auto"/>
        </w:rPr>
        <w:t xml:space="preserve">, and </w:t>
      </w:r>
      <w:r>
        <w:rPr>
          <w:rFonts w:ascii="Arial" w:cs="Arial" w:eastAsia="Arial" w:hAnsi="Arial"/>
          <w:sz w:val="17"/>
          <w:szCs w:val="17"/>
          <w:i w:val="1"/>
          <w:iCs w:val="1"/>
          <w:color w:val="auto"/>
        </w:rPr>
        <w:t>L.A. Noire</w:t>
      </w:r>
      <w:r>
        <w:rPr>
          <w:rFonts w:ascii="Arial" w:cs="Arial" w:eastAsia="Arial" w:hAnsi="Arial"/>
          <w:sz w:val="17"/>
          <w:szCs w:val="17"/>
          <w:color w:val="auto"/>
        </w:rPr>
        <w:t>.</w:t>
      </w:r>
    </w:p>
    <w:p>
      <w:pPr>
        <w:spacing w:after="0" w:line="166"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 xml:space="preserve">Digitally-delivered net revenue grew 8% to $258.4 million, as compared to $240.2 million in last year’s fiscal third quarter, and accounted for 54% of total net revenue. The largest contributors to digitally-delivered net revenue in fiscal third quarter 2018 were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Theft Auto V,</w:t>
      </w:r>
      <w:r>
        <w:rPr>
          <w:rFonts w:ascii="Arial" w:cs="Arial" w:eastAsia="Arial" w:hAnsi="Arial"/>
          <w:sz w:val="18"/>
          <w:szCs w:val="18"/>
          <w:color w:val="auto"/>
        </w:rPr>
        <w:t xml:space="preserve"> </w:t>
      </w:r>
      <w:r>
        <w:rPr>
          <w:rFonts w:ascii="Arial" w:cs="Arial" w:eastAsia="Arial" w:hAnsi="Arial"/>
          <w:sz w:val="18"/>
          <w:szCs w:val="18"/>
          <w:i w:val="1"/>
          <w:iCs w:val="1"/>
          <w:color w:val="auto"/>
        </w:rPr>
        <w:t>NBA 2K18</w:t>
      </w:r>
      <w:r>
        <w:rPr>
          <w:rFonts w:ascii="Arial" w:cs="Arial" w:eastAsia="Arial" w:hAnsi="Arial"/>
          <w:sz w:val="18"/>
          <w:szCs w:val="18"/>
          <w:color w:val="auto"/>
        </w:rPr>
        <w:t>,</w:t>
      </w:r>
      <w:r>
        <w:rPr>
          <w:rFonts w:ascii="Arial" w:cs="Arial" w:eastAsia="Arial" w:hAnsi="Arial"/>
          <w:sz w:val="18"/>
          <w:szCs w:val="18"/>
          <w:i w:val="1"/>
          <w:iCs w:val="1"/>
          <w:color w:val="auto"/>
        </w:rPr>
        <w:t xml:space="preserve"> WWE 2K18 </w:t>
      </w:r>
      <w:r>
        <w:rPr>
          <w:rFonts w:ascii="Arial" w:cs="Arial" w:eastAsia="Arial" w:hAnsi="Arial"/>
          <w:sz w:val="18"/>
          <w:szCs w:val="18"/>
          <w:color w:val="auto"/>
        </w:rPr>
        <w:t>and</w:t>
      </w:r>
      <w:r>
        <w:rPr>
          <w:rFonts w:ascii="Arial" w:cs="Arial" w:eastAsia="Arial" w:hAnsi="Arial"/>
          <w:sz w:val="18"/>
          <w:szCs w:val="18"/>
          <w:i w:val="1"/>
          <w:iCs w:val="1"/>
          <w:color w:val="auto"/>
        </w:rPr>
        <w:t xml:space="preserve"> WWE SuperCard</w:t>
      </w:r>
      <w:r>
        <w:rPr>
          <w:rFonts w:ascii="Arial" w:cs="Arial" w:eastAsia="Arial" w:hAnsi="Arial"/>
          <w:sz w:val="18"/>
          <w:szCs w:val="18"/>
          <w:color w:val="auto"/>
        </w:rPr>
        <w:t>, and</w:t>
      </w:r>
      <w:r>
        <w:rPr>
          <w:rFonts w:ascii="Arial" w:cs="Arial" w:eastAsia="Arial" w:hAnsi="Arial"/>
          <w:sz w:val="18"/>
          <w:szCs w:val="18"/>
          <w:i w:val="1"/>
          <w:iCs w:val="1"/>
          <w:color w:val="auto"/>
        </w:rPr>
        <w:t xml:space="preserve"> Sid Meier’s Civilization VI</w:t>
      </w:r>
      <w:r>
        <w:rPr>
          <w:rFonts w:ascii="Arial" w:cs="Arial" w:eastAsia="Arial" w:hAnsi="Arial"/>
          <w:sz w:val="18"/>
          <w:szCs w:val="18"/>
          <w:color w:val="auto"/>
        </w:rPr>
        <w:t>.</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Net income increased to $25.1 million, or $0.21 per diluted share, as compared to net loss of $29.8 million, or $0.33 per diluted share, for the comparable period last year. Net income reflects $11.9 million of incremental income tax expense, or approximately $0.10 per diluted share, due to the application of the Tax Cuts and Jobs Act, enacted on December 22, 2017. This amount is a reasonable estimate provided in accordance with Securities and Exchange Commission guidance. We will provide additional information about such estimate in our forthcoming Form 10-Q for the fiscal quarter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 was $203.0 million. As of December 31, 2017, the Company had cash and short-term investments of $1.322 billion.</w:t>
      </w:r>
    </w:p>
    <w:p>
      <w:pPr>
        <w:spacing w:after="0" w:line="24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following data, together with a management reporting tax rate of 22%, are used internally by the Company’s management and Board of Directors to adjust the Company’s GAAP financial results in order to facilitate comparison of its operating performance between periods and to better understand its core business and future outlook: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Months Ended December 31, 2017</w:t>
            </w: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Financial Data</w:t>
            </w:r>
          </w:p>
        </w:tc>
        <w:tc>
          <w:tcPr>
            <w:tcW w:w="1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Change in</w:t>
            </w: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deferred</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Non-cash</w:t>
            </w: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net</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Statement</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amounts</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&amp; impairment</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and related</w:t>
            </w:r>
          </w:p>
        </w:tc>
        <w:tc>
          <w:tcPr>
            <w:tcW w:w="14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Stock-based</w:t>
            </w: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related to</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of acquired</w:t>
            </w:r>
          </w:p>
        </w:tc>
        <w:tc>
          <w:tcPr>
            <w:tcW w:w="12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Business</w:t>
            </w:r>
          </w:p>
        </w:tc>
        <w:tc>
          <w:tcPr>
            <w:tcW w:w="0" w:type="dxa"/>
            <w:vAlign w:val="bottom"/>
          </w:tcPr>
          <w:p>
            <w:pPr>
              <w:spacing w:after="0"/>
              <w:rPr>
                <w:sz w:val="1"/>
                <w:szCs w:val="1"/>
                <w:color w:val="auto"/>
              </w:rPr>
            </w:pPr>
          </w:p>
        </w:tc>
      </w:tr>
      <w:tr>
        <w:trPr>
          <w:trHeight w:val="14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of</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cost of</w:t>
            </w: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convertible</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intangible</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operations</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goods sold</w:t>
            </w:r>
          </w:p>
        </w:tc>
        <w:tc>
          <w:tcPr>
            <w:tcW w:w="14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compensation</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notes</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assets</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reorganization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480,840</w:t>
            </w:r>
          </w:p>
        </w:tc>
        <w:tc>
          <w:tcPr>
            <w:tcW w:w="12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173,099</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267,983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37,647</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8,262</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(4,912)</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212,857</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b w:val="1"/>
                <w:bCs w:val="1"/>
                <w:color w:val="auto"/>
                <w:w w:val="86"/>
              </w:rPr>
              <w:t>135,452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(8,262)</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4,912</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204,005</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(21,288)</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8,852</w:t>
            </w:r>
          </w:p>
        </w:tc>
        <w:tc>
          <w:tcPr>
            <w:tcW w:w="220" w:type="dxa"/>
            <w:vAlign w:val="bottom"/>
          </w:tcPr>
          <w:p>
            <w:pPr>
              <w:spacing w:after="0"/>
              <w:rPr>
                <w:sz w:val="18"/>
                <w:szCs w:val="18"/>
                <w:color w:val="auto"/>
              </w:rPr>
            </w:pPr>
          </w:p>
        </w:tc>
        <w:tc>
          <w:tcPr>
            <w:tcW w:w="1140" w:type="dxa"/>
            <w:vAlign w:val="bottom"/>
            <w:tcBorders>
              <w:top w:val="single" w:sz="8" w:color="auto"/>
            </w:tcBorders>
          </w:tcPr>
          <w:p>
            <w:pPr>
              <w:ind w:left="560"/>
              <w:spacing w:after="0"/>
              <w:rPr>
                <w:sz w:val="20"/>
                <w:szCs w:val="20"/>
                <w:color w:val="auto"/>
              </w:rPr>
            </w:pPr>
            <w:r>
              <w:rPr>
                <w:rFonts w:ascii="Arial" w:cs="Arial" w:eastAsia="Arial" w:hAnsi="Arial"/>
                <w:sz w:val="18"/>
                <w:szCs w:val="18"/>
                <w:b w:val="1"/>
                <w:bCs w:val="1"/>
                <w:color w:val="auto"/>
                <w:w w:val="86"/>
              </w:rPr>
              <w:t>135,452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13,026</w:t>
            </w: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9,170</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net</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2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97" w:orient="portrait"/>
          <w:cols w:equalWidth="0" w:num="1">
            <w:col w:w="11420"/>
          </w:cols>
          <w:pgMar w:left="240" w:top="121" w:right="239"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1820" w:type="dxa"/>
            <w:vAlign w:val="bottom"/>
          </w:tcPr>
          <w:p>
            <w:pPr>
              <w:jc w:val="right"/>
              <w:ind w:right="290"/>
              <w:spacing w:after="0"/>
              <w:rPr>
                <w:sz w:val="20"/>
                <w:szCs w:val="20"/>
                <w:color w:val="auto"/>
              </w:rPr>
            </w:pPr>
            <w:r>
              <w:rPr>
                <w:rFonts w:ascii="Arial" w:cs="Arial" w:eastAsia="Arial" w:hAnsi="Arial"/>
                <w:sz w:val="18"/>
                <w:szCs w:val="18"/>
                <w:b w:val="1"/>
                <w:bCs w:val="1"/>
                <w:color w:val="auto"/>
              </w:rPr>
              <w:t>12,226</w:t>
            </w:r>
          </w:p>
        </w:tc>
        <w:tc>
          <w:tcPr>
            <w:tcW w:w="1440" w:type="dxa"/>
            <w:vAlign w:val="bottom"/>
          </w:tcPr>
          <w:p>
            <w:pPr>
              <w:jc w:val="right"/>
              <w:ind w:right="370"/>
              <w:spacing w:after="0"/>
              <w:rPr>
                <w:sz w:val="20"/>
                <w:szCs w:val="20"/>
                <w:color w:val="auto"/>
              </w:rPr>
            </w:pPr>
            <w:r>
              <w:rPr>
                <w:rFonts w:ascii="Arial" w:cs="Arial" w:eastAsia="Arial" w:hAnsi="Arial"/>
                <w:sz w:val="18"/>
                <w:szCs w:val="18"/>
                <w:b w:val="1"/>
                <w:bCs w:val="1"/>
                <w:color w:val="auto"/>
              </w:rPr>
              <w:t>135,452</w:t>
            </w: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13,026</w:t>
            </w: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795</w:t>
            </w:r>
          </w:p>
        </w:tc>
        <w:tc>
          <w:tcPr>
            <w:tcW w:w="1420" w:type="dxa"/>
            <w:vAlign w:val="bottom"/>
          </w:tcPr>
          <w:p>
            <w:pPr>
              <w:jc w:val="right"/>
              <w:ind w:right="450"/>
              <w:spacing w:after="0"/>
              <w:rPr>
                <w:sz w:val="20"/>
                <w:szCs w:val="20"/>
                <w:color w:val="auto"/>
              </w:rPr>
            </w:pPr>
            <w:r>
              <w:rPr>
                <w:rFonts w:ascii="Arial" w:cs="Arial" w:eastAsia="Arial" w:hAnsi="Arial"/>
                <w:sz w:val="18"/>
                <w:szCs w:val="18"/>
                <w:b w:val="1"/>
                <w:bCs w:val="1"/>
                <w:color w:val="auto"/>
              </w:rPr>
              <w:t>9,170</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700</w:t>
            </w:r>
          </w:p>
        </w:tc>
      </w:tr>
    </w:tbl>
    <w:p>
      <w:pPr>
        <w:spacing w:after="0" w:line="202" w:lineRule="exact"/>
        <w:rPr>
          <w:sz w:val="20"/>
          <w:szCs w:val="20"/>
          <w:color w:val="auto"/>
        </w:rPr>
      </w:pPr>
    </w:p>
    <w:p>
      <w:pPr>
        <w:jc w:val="both"/>
        <w:ind w:right="320"/>
        <w:spacing w:after="0" w:line="277" w:lineRule="auto"/>
        <w:rPr>
          <w:sz w:val="20"/>
          <w:szCs w:val="20"/>
          <w:color w:val="auto"/>
        </w:rPr>
      </w:pPr>
      <w:r>
        <w:rPr>
          <w:rFonts w:ascii="Arial" w:cs="Arial" w:eastAsia="Arial" w:hAnsi="Arial"/>
          <w:sz w:val="18"/>
          <w:szCs w:val="18"/>
          <w:color w:val="auto"/>
        </w:rPr>
        <w:t>In order to calculate net income per diluted share for management reporting purposes, the Company uses its fully diluted share count of 119.5 million and adds back to net income the interest expense, net of tax, on its convertible notes of $0.01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Metric — Net Bookings</w:t>
      </w:r>
    </w:p>
    <w:p>
      <w:pPr>
        <w:spacing w:after="0" w:line="229"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 xml:space="preserve">During fiscal third quarter 2018, total Net Bookings were $653.9 million, as compared to $744.8 million during last year’s fiscal third quarter, which had benefitted from the launches of </w:t>
      </w:r>
      <w:r>
        <w:rPr>
          <w:rFonts w:ascii="Arial" w:cs="Arial" w:eastAsia="Arial" w:hAnsi="Arial"/>
          <w:sz w:val="18"/>
          <w:szCs w:val="18"/>
          <w:i w:val="1"/>
          <w:iCs w:val="1"/>
          <w:color w:val="auto"/>
        </w:rPr>
        <w:t>Mafia III</w:t>
      </w:r>
      <w:r>
        <w:rPr>
          <w:rFonts w:ascii="Arial" w:cs="Arial" w:eastAsia="Arial" w:hAnsi="Arial"/>
          <w:sz w:val="18"/>
          <w:szCs w:val="18"/>
          <w:color w:val="auto"/>
        </w:rPr>
        <w:t xml:space="preserve"> and </w:t>
      </w:r>
      <w:r>
        <w:rPr>
          <w:rFonts w:ascii="Arial" w:cs="Arial" w:eastAsia="Arial" w:hAnsi="Arial"/>
          <w:sz w:val="18"/>
          <w:szCs w:val="18"/>
          <w:i w:val="1"/>
          <w:iCs w:val="1"/>
          <w:color w:val="auto"/>
        </w:rPr>
        <w:t>Sid Meier’s Civilization VI</w:t>
      </w:r>
      <w:r>
        <w:rPr>
          <w:rFonts w:ascii="Arial" w:cs="Arial" w:eastAsia="Arial" w:hAnsi="Arial"/>
          <w:sz w:val="18"/>
          <w:szCs w:val="18"/>
          <w:color w:val="auto"/>
        </w:rPr>
        <w:t xml:space="preserve">. Net Bookings from recurrent consumer spending grew 44% year-over-year and accounted for 40% of total Net Bookings. The largest contributors to Net Bookings were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Theft Auto V</w:t>
      </w:r>
      <w:r>
        <w:rPr>
          <w:rFonts w:ascii="Arial" w:cs="Arial" w:eastAsia="Arial" w:hAnsi="Arial"/>
          <w:sz w:val="18"/>
          <w:szCs w:val="18"/>
          <w:color w:val="auto"/>
        </w:rPr>
        <w:t xml:space="preserve">, </w:t>
      </w:r>
      <w:r>
        <w:rPr>
          <w:rFonts w:ascii="Arial" w:cs="Arial" w:eastAsia="Arial" w:hAnsi="Arial"/>
          <w:sz w:val="18"/>
          <w:szCs w:val="18"/>
          <w:i w:val="1"/>
          <w:iCs w:val="1"/>
          <w:color w:val="auto"/>
        </w:rPr>
        <w:t>NBA 2K18</w:t>
      </w:r>
      <w:r>
        <w:rPr>
          <w:rFonts w:ascii="Arial" w:cs="Arial" w:eastAsia="Arial" w:hAnsi="Arial"/>
          <w:sz w:val="18"/>
          <w:szCs w:val="18"/>
          <w:color w:val="auto"/>
        </w:rPr>
        <w:t xml:space="preserve">, </w:t>
      </w:r>
      <w:r>
        <w:rPr>
          <w:rFonts w:ascii="Arial" w:cs="Arial" w:eastAsia="Arial" w:hAnsi="Arial"/>
          <w:sz w:val="18"/>
          <w:szCs w:val="18"/>
          <w:i w:val="1"/>
          <w:iCs w:val="1"/>
          <w:color w:val="auto"/>
        </w:rPr>
        <w:t>WWE 2K18</w:t>
      </w:r>
      <w:r>
        <w:rPr>
          <w:rFonts w:ascii="Arial" w:cs="Arial" w:eastAsia="Arial" w:hAnsi="Arial"/>
          <w:sz w:val="18"/>
          <w:szCs w:val="18"/>
          <w:color w:val="auto"/>
        </w:rPr>
        <w:t>,</w:t>
      </w:r>
      <w:r>
        <w:rPr>
          <w:rFonts w:ascii="Arial" w:cs="Arial" w:eastAsia="Arial" w:hAnsi="Arial"/>
          <w:sz w:val="18"/>
          <w:szCs w:val="18"/>
          <w:i w:val="1"/>
          <w:iCs w:val="1"/>
          <w:color w:val="auto"/>
        </w:rPr>
        <w:t xml:space="preserve"> L.A. Noire</w:t>
      </w:r>
      <w:r>
        <w:rPr>
          <w:rFonts w:ascii="Arial" w:cs="Arial" w:eastAsia="Arial" w:hAnsi="Arial"/>
          <w:sz w:val="18"/>
          <w:szCs w:val="18"/>
          <w:color w:val="auto"/>
        </w:rPr>
        <w:t>, and</w:t>
      </w:r>
      <w:r>
        <w:rPr>
          <w:rFonts w:ascii="Arial" w:cs="Arial" w:eastAsia="Arial" w:hAnsi="Arial"/>
          <w:sz w:val="18"/>
          <w:szCs w:val="18"/>
          <w:i w:val="1"/>
          <w:iCs w:val="1"/>
          <w:color w:val="auto"/>
        </w:rPr>
        <w:t xml:space="preserve"> Dragon City </w:t>
      </w:r>
      <w:r>
        <w:rPr>
          <w:rFonts w:ascii="Arial" w:cs="Arial" w:eastAsia="Arial" w:hAnsi="Arial"/>
          <w:sz w:val="18"/>
          <w:szCs w:val="18"/>
          <w:color w:val="auto"/>
        </w:rPr>
        <w:t>and</w:t>
      </w:r>
      <w:r>
        <w:rPr>
          <w:rFonts w:ascii="Arial" w:cs="Arial" w:eastAsia="Arial" w:hAnsi="Arial"/>
          <w:sz w:val="18"/>
          <w:szCs w:val="18"/>
          <w:i w:val="1"/>
          <w:iCs w:val="1"/>
          <w:color w:val="auto"/>
        </w:rPr>
        <w:t xml:space="preserve"> Monster Legends</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Catalog accounted for $343.5 million of Net Bookings led by </w:t>
      </w:r>
      <w:r>
        <w:rPr>
          <w:rFonts w:ascii="Arial" w:cs="Arial" w:eastAsia="Arial" w:hAnsi="Arial"/>
          <w:sz w:val="18"/>
          <w:szCs w:val="18"/>
          <w:i w:val="1"/>
          <w:iCs w:val="1"/>
          <w:color w:val="auto"/>
        </w:rPr>
        <w:t>Grand Theft Auto</w:t>
      </w:r>
      <w:r>
        <w:rPr>
          <w:rFonts w:ascii="Arial" w:cs="Arial" w:eastAsia="Arial" w:hAnsi="Arial"/>
          <w:sz w:val="18"/>
          <w:szCs w:val="18"/>
          <w:color w:val="auto"/>
        </w:rPr>
        <w:t xml:space="preserve">, and </w:t>
      </w:r>
      <w:r>
        <w:rPr>
          <w:rFonts w:ascii="Arial" w:cs="Arial" w:eastAsia="Arial" w:hAnsi="Arial"/>
          <w:sz w:val="18"/>
          <w:szCs w:val="18"/>
          <w:i w:val="1"/>
          <w:iCs w:val="1"/>
          <w:color w:val="auto"/>
        </w:rPr>
        <w:t>Dragon City</w:t>
      </w:r>
      <w:r>
        <w:rPr>
          <w:rFonts w:ascii="Arial" w:cs="Arial" w:eastAsia="Arial" w:hAnsi="Arial"/>
          <w:sz w:val="18"/>
          <w:szCs w:val="18"/>
          <w:color w:val="auto"/>
        </w:rPr>
        <w:t xml:space="preserve"> and </w:t>
      </w:r>
      <w:r>
        <w:rPr>
          <w:rFonts w:ascii="Arial" w:cs="Arial" w:eastAsia="Arial" w:hAnsi="Arial"/>
          <w:sz w:val="18"/>
          <w:szCs w:val="18"/>
          <w:i w:val="1"/>
          <w:iCs w:val="1"/>
          <w:color w:val="auto"/>
        </w:rPr>
        <w:t>Monster Legends</w:t>
      </w:r>
      <w:r>
        <w:rPr>
          <w:rFonts w:ascii="Arial" w:cs="Arial" w:eastAsia="Arial" w:hAnsi="Arial"/>
          <w:sz w:val="18"/>
          <w:szCs w:val="18"/>
          <w:color w:val="auto"/>
        </w:rPr>
        <w:t>.</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 xml:space="preserve">Digitally-delivered Net Bookings grew 6% to $379.7 million, as compared to $357.4 million in last year’s fiscal third quarter, and accounted for 58% of total Net Bookings. The largest contributors to digitally-delivered Net Bookings in fiscal third quarter 2018 were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Theft Auto</w:t>
      </w:r>
      <w:r>
        <w:rPr>
          <w:rFonts w:ascii="Arial" w:cs="Arial" w:eastAsia="Arial" w:hAnsi="Arial"/>
          <w:sz w:val="18"/>
          <w:szCs w:val="18"/>
          <w:color w:val="auto"/>
        </w:rPr>
        <w:t xml:space="preserve"> </w:t>
      </w:r>
      <w:r>
        <w:rPr>
          <w:rFonts w:ascii="Arial" w:cs="Arial" w:eastAsia="Arial" w:hAnsi="Arial"/>
          <w:sz w:val="18"/>
          <w:szCs w:val="18"/>
          <w:i w:val="1"/>
          <w:iCs w:val="1"/>
          <w:color w:val="auto"/>
        </w:rPr>
        <w:t>V</w:t>
      </w:r>
      <w:r>
        <w:rPr>
          <w:rFonts w:ascii="Arial" w:cs="Arial" w:eastAsia="Arial" w:hAnsi="Arial"/>
          <w:sz w:val="18"/>
          <w:szCs w:val="18"/>
          <w:color w:val="auto"/>
        </w:rPr>
        <w:t>,</w:t>
      </w:r>
      <w:r>
        <w:rPr>
          <w:rFonts w:ascii="Arial" w:cs="Arial" w:eastAsia="Arial" w:hAnsi="Arial"/>
          <w:sz w:val="18"/>
          <w:szCs w:val="18"/>
          <w:i w:val="1"/>
          <w:iCs w:val="1"/>
          <w:color w:val="auto"/>
        </w:rPr>
        <w:t xml:space="preserve"> NBA 2K18, WWE 2K18 </w:t>
      </w:r>
      <w:r>
        <w:rPr>
          <w:rFonts w:ascii="Arial" w:cs="Arial" w:eastAsia="Arial" w:hAnsi="Arial"/>
          <w:sz w:val="18"/>
          <w:szCs w:val="18"/>
          <w:color w:val="auto"/>
        </w:rPr>
        <w:t>and</w:t>
      </w:r>
      <w:r>
        <w:rPr>
          <w:rFonts w:ascii="Arial" w:cs="Arial" w:eastAsia="Arial" w:hAnsi="Arial"/>
          <w:sz w:val="18"/>
          <w:szCs w:val="18"/>
          <w:i w:val="1"/>
          <w:iCs w:val="1"/>
          <w:color w:val="auto"/>
        </w:rPr>
        <w:t xml:space="preserve"> WWE SuperCard</w:t>
      </w:r>
      <w:r>
        <w:rPr>
          <w:rFonts w:ascii="Arial" w:cs="Arial" w:eastAsia="Arial" w:hAnsi="Arial"/>
          <w:sz w:val="18"/>
          <w:szCs w:val="18"/>
          <w:color w:val="auto"/>
        </w:rPr>
        <w:t>, and</w:t>
      </w:r>
      <w:r>
        <w:rPr>
          <w:rFonts w:ascii="Arial" w:cs="Arial" w:eastAsia="Arial" w:hAnsi="Arial"/>
          <w:sz w:val="18"/>
          <w:szCs w:val="18"/>
          <w:i w:val="1"/>
          <w:iCs w:val="1"/>
          <w:color w:val="auto"/>
        </w:rPr>
        <w:t xml:space="preserve"> Monster Legends </w:t>
      </w:r>
      <w:r>
        <w:rPr>
          <w:rFonts w:ascii="Arial" w:cs="Arial" w:eastAsia="Arial" w:hAnsi="Arial"/>
          <w:sz w:val="18"/>
          <w:szCs w:val="18"/>
          <w:color w:val="auto"/>
        </w:rPr>
        <w:t>and</w:t>
      </w:r>
      <w:r>
        <w:rPr>
          <w:rFonts w:ascii="Arial" w:cs="Arial" w:eastAsia="Arial" w:hAnsi="Arial"/>
          <w:sz w:val="18"/>
          <w:szCs w:val="18"/>
          <w:i w:val="1"/>
          <w:iCs w:val="1"/>
          <w:color w:val="auto"/>
        </w:rPr>
        <w:t xml:space="preserve"> Dragon City</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Comments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“During the holiday season, we benefited from high consumer demand for our offerings, enabling our Company to deliver another quarter of both strong Net Bookings and net cash provided by operating activities,” said Strauss Zelnick, Chairman and CEO of Take-Two. “Our stellar results were highlighted by record recurrent consumer spending on both </w:t>
      </w:r>
      <w:r>
        <w:rPr>
          <w:rFonts w:ascii="Arial" w:cs="Arial" w:eastAsia="Arial" w:hAnsi="Arial"/>
          <w:sz w:val="16"/>
          <w:szCs w:val="16"/>
          <w:i w:val="1"/>
          <w:iCs w:val="1"/>
          <w:color w:val="auto"/>
        </w:rPr>
        <w:t>Grand Theft Auto Online</w:t>
      </w:r>
      <w:r>
        <w:rPr>
          <w:rFonts w:ascii="Arial" w:cs="Arial" w:eastAsia="Arial" w:hAnsi="Arial"/>
          <w:sz w:val="16"/>
          <w:szCs w:val="16"/>
          <w:color w:val="auto"/>
        </w:rPr>
        <w:t xml:space="preserve"> and </w:t>
      </w:r>
      <w:r>
        <w:rPr>
          <w:rFonts w:ascii="Arial" w:cs="Arial" w:eastAsia="Arial" w:hAnsi="Arial"/>
          <w:sz w:val="16"/>
          <w:szCs w:val="16"/>
          <w:i w:val="1"/>
          <w:iCs w:val="1"/>
          <w:color w:val="auto"/>
        </w:rPr>
        <w:t>NBA 2K18</w:t>
      </w:r>
      <w:r>
        <w:rPr>
          <w:rFonts w:ascii="Arial" w:cs="Arial" w:eastAsia="Arial" w:hAnsi="Arial"/>
          <w:sz w:val="16"/>
          <w:szCs w:val="16"/>
          <w:color w:val="auto"/>
        </w:rPr>
        <w:t xml:space="preserve">, robust ongoing sales of </w:t>
      </w:r>
      <w:r>
        <w:rPr>
          <w:rFonts w:ascii="Arial" w:cs="Arial" w:eastAsia="Arial" w:hAnsi="Arial"/>
          <w:sz w:val="16"/>
          <w:szCs w:val="16"/>
          <w:i w:val="1"/>
          <w:iCs w:val="1"/>
          <w:color w:val="auto"/>
        </w:rPr>
        <w:t>Grand Theft Auto V</w:t>
      </w:r>
      <w:r>
        <w:rPr>
          <w:rFonts w:ascii="Arial" w:cs="Arial" w:eastAsia="Arial" w:hAnsi="Arial"/>
          <w:sz w:val="16"/>
          <w:szCs w:val="16"/>
          <w:color w:val="auto"/>
        </w:rPr>
        <w:t xml:space="preserve">, and the successful launch of </w:t>
      </w:r>
      <w:r>
        <w:rPr>
          <w:rFonts w:ascii="Arial" w:cs="Arial" w:eastAsia="Arial" w:hAnsi="Arial"/>
          <w:sz w:val="16"/>
          <w:szCs w:val="16"/>
          <w:i w:val="1"/>
          <w:iCs w:val="1"/>
          <w:color w:val="auto"/>
        </w:rPr>
        <w:t>WWE 2K18</w:t>
      </w:r>
      <w:r>
        <w:rPr>
          <w:rFonts w:ascii="Arial" w:cs="Arial" w:eastAsia="Arial" w:hAnsi="Arial"/>
          <w:sz w:val="16"/>
          <w:szCs w:val="16"/>
          <w:color w:val="auto"/>
        </w:rPr>
        <w:t>. We took advantage of favorable market conditions to deploy $110 million of cash to repurchase more than 1 million shares of our stock. As a result of our outstanding third quarter performance and increased fourth quarter forecast, we are raising our fiscal 2018 outlook for Net Bookings.</w:t>
      </w:r>
    </w:p>
    <w:p>
      <w:pPr>
        <w:spacing w:after="0" w:line="158" w:lineRule="exact"/>
        <w:rPr>
          <w:sz w:val="20"/>
          <w:szCs w:val="20"/>
          <w:color w:val="auto"/>
        </w:rPr>
      </w:pPr>
    </w:p>
    <w:p>
      <w:pPr>
        <w:jc w:val="both"/>
        <w:ind w:right="720"/>
        <w:spacing w:after="0" w:line="264" w:lineRule="auto"/>
        <w:rPr>
          <w:sz w:val="20"/>
          <w:szCs w:val="20"/>
          <w:color w:val="auto"/>
        </w:rPr>
      </w:pPr>
      <w:r>
        <w:rPr>
          <w:rFonts w:ascii="Arial" w:cs="Arial" w:eastAsia="Arial" w:hAnsi="Arial"/>
          <w:sz w:val="18"/>
          <w:szCs w:val="18"/>
          <w:color w:val="auto"/>
        </w:rPr>
        <w:t>“In addition to achieving superb results, we announced the formation of Private Division, our new label that is dedicated to bringing titles from top independent developers to market. Private Division already has deals to publish several upcoming titles based on new IP from renowned talent, and represents an exciting new growth opportunity that complements Take-Two’s core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 xml:space="preserve">“Rockstar Games has announced that </w:t>
      </w:r>
      <w:r>
        <w:rPr>
          <w:rFonts w:ascii="Arial" w:cs="Arial" w:eastAsia="Arial" w:hAnsi="Arial"/>
          <w:sz w:val="18"/>
          <w:szCs w:val="18"/>
          <w:i w:val="1"/>
          <w:iCs w:val="1"/>
          <w:color w:val="auto"/>
        </w:rPr>
        <w:t>Red Dead Redemption 2</w:t>
      </w:r>
      <w:r>
        <w:rPr>
          <w:rFonts w:ascii="Arial" w:cs="Arial" w:eastAsia="Arial" w:hAnsi="Arial"/>
          <w:sz w:val="18"/>
          <w:szCs w:val="18"/>
          <w:color w:val="auto"/>
        </w:rPr>
        <w:t xml:space="preserve"> will launch on October 26, 2018. We continue to expect to deliver both record Net Bookings and record net cash provided by operating activities in fiscal 2019, in excess of $2.5 billion and $700 million, respectively, led by the launches of </w:t>
      </w:r>
      <w:r>
        <w:rPr>
          <w:rFonts w:ascii="Arial" w:cs="Arial" w:eastAsia="Arial" w:hAnsi="Arial"/>
          <w:sz w:val="18"/>
          <w:szCs w:val="18"/>
          <w:i w:val="1"/>
          <w:iCs w:val="1"/>
          <w:color w:val="auto"/>
        </w:rPr>
        <w:t>Red Dead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Redemption 2 </w:t>
      </w:r>
      <w:r>
        <w:rPr>
          <w:rFonts w:ascii="Arial" w:cs="Arial" w:eastAsia="Arial" w:hAnsi="Arial"/>
          <w:sz w:val="18"/>
          <w:szCs w:val="18"/>
          <w:color w:val="auto"/>
        </w:rPr>
        <w:t>and a highly anticipated new title from one of 2K’s biggest franchises. We have a robust development pipeline and are better positioned than</w:t>
      </w:r>
      <w:r>
        <w:rPr>
          <w:rFonts w:ascii="Arial" w:cs="Arial" w:eastAsia="Arial" w:hAnsi="Arial"/>
          <w:sz w:val="18"/>
          <w:szCs w:val="18"/>
          <w:i w:val="1"/>
          <w:iCs w:val="1"/>
          <w:color w:val="auto"/>
        </w:rPr>
        <w:t xml:space="preserve"> </w:t>
      </w:r>
      <w:r>
        <w:rPr>
          <w:rFonts w:ascii="Arial" w:cs="Arial" w:eastAsia="Arial" w:hAnsi="Arial"/>
          <w:sz w:val="18"/>
          <w:szCs w:val="18"/>
          <w:color w:val="auto"/>
        </w:rPr>
        <w:t>ever for long-term growth and margin expansion.”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and Product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October 1, 2017:</w:t>
      </w:r>
    </w:p>
    <w:p>
      <w:pPr>
        <w:spacing w:after="0" w:line="225" w:lineRule="exact"/>
        <w:rPr>
          <w:sz w:val="20"/>
          <w:szCs w:val="20"/>
          <w:color w:val="auto"/>
        </w:rPr>
      </w:pPr>
    </w:p>
    <w:p>
      <w:pPr>
        <w:ind w:left="340" w:right="40" w:hanging="332"/>
        <w:spacing w:after="0" w:line="274" w:lineRule="auto"/>
        <w:tabs>
          <w:tab w:leader="none" w:pos="304" w:val="left"/>
        </w:tabs>
        <w:numPr>
          <w:ilvl w:val="0"/>
          <w:numId w:val="3"/>
        </w:numPr>
        <w:rPr>
          <w:rFonts w:ascii="Arial" w:cs="Arial" w:eastAsia="Arial" w:hAnsi="Arial"/>
          <w:sz w:val="17"/>
          <w:szCs w:val="17"/>
          <w:color w:val="auto"/>
        </w:rPr>
      </w:pPr>
      <w:r>
        <w:rPr>
          <w:rFonts w:ascii="Arial" w:cs="Arial" w:eastAsia="Arial" w:hAnsi="Arial"/>
          <w:sz w:val="17"/>
          <w:szCs w:val="17"/>
          <w:color w:val="auto"/>
        </w:rPr>
        <w:t>Take-Two announced the formation of Private Division, a new publishing label that focuses on bringing titles from top independent developers to market. Private Division will publish several upcoming titles based on new IP from renowned industry creative talent, including the previously</w:t>
      </w:r>
    </w:p>
    <w:p>
      <w:pPr>
        <w:ind w:left="340" w:right="180"/>
        <w:spacing w:after="0" w:line="250" w:lineRule="auto"/>
        <w:rPr>
          <w:rFonts w:ascii="Arial" w:cs="Arial" w:eastAsia="Arial" w:hAnsi="Arial"/>
          <w:sz w:val="17"/>
          <w:szCs w:val="17"/>
          <w:color w:val="auto"/>
        </w:rPr>
      </w:pPr>
      <w:r>
        <w:rPr>
          <w:rFonts w:ascii="Arial" w:cs="Arial" w:eastAsia="Arial" w:hAnsi="Arial"/>
          <w:sz w:val="18"/>
          <w:szCs w:val="18"/>
          <w:color w:val="auto"/>
        </w:rPr>
        <w:t xml:space="preserve">announced </w:t>
      </w:r>
      <w:r>
        <w:rPr>
          <w:rFonts w:ascii="Arial" w:cs="Arial" w:eastAsia="Arial" w:hAnsi="Arial"/>
          <w:sz w:val="18"/>
          <w:szCs w:val="18"/>
          <w:i w:val="1"/>
          <w:iCs w:val="1"/>
          <w:color w:val="auto"/>
        </w:rPr>
        <w:t>Ancestors: The Humankind Odyssey</w:t>
      </w:r>
      <w:r>
        <w:rPr>
          <w:rFonts w:ascii="Arial" w:cs="Arial" w:eastAsia="Arial" w:hAnsi="Arial"/>
          <w:sz w:val="18"/>
          <w:szCs w:val="18"/>
          <w:color w:val="auto"/>
        </w:rPr>
        <w:t xml:space="preserve"> from Panache Digital Games; an unannounced RPG currently codenamed </w:t>
      </w:r>
      <w:r>
        <w:rPr>
          <w:rFonts w:ascii="Arial" w:cs="Arial" w:eastAsia="Arial" w:hAnsi="Arial"/>
          <w:sz w:val="18"/>
          <w:szCs w:val="18"/>
          <w:i w:val="1"/>
          <w:iCs w:val="1"/>
          <w:color w:val="auto"/>
        </w:rPr>
        <w:t>Project Wight</w:t>
      </w:r>
      <w:r>
        <w:rPr>
          <w:rFonts w:ascii="Arial" w:cs="Arial" w:eastAsia="Arial" w:hAnsi="Arial"/>
          <w:sz w:val="18"/>
          <w:szCs w:val="18"/>
          <w:color w:val="auto"/>
        </w:rPr>
        <w:t xml:space="preserve"> from The Outsiders; an unannounced RPG from Obsidian Entertainment; and an unannounced sci-fi first-person shooter from V1 Interactive. Private Division is also the publisher for </w:t>
      </w:r>
      <w:r>
        <w:rPr>
          <w:rFonts w:ascii="Arial" w:cs="Arial" w:eastAsia="Arial" w:hAnsi="Arial"/>
          <w:sz w:val="18"/>
          <w:szCs w:val="18"/>
          <w:i w:val="1"/>
          <w:iCs w:val="1"/>
          <w:color w:val="auto"/>
        </w:rPr>
        <w:t>Kerbal Space Program</w:t>
      </w:r>
      <w:r>
        <w:rPr>
          <w:rFonts w:ascii="Arial" w:cs="Arial" w:eastAsia="Arial" w:hAnsi="Arial"/>
          <w:sz w:val="18"/>
          <w:szCs w:val="18"/>
          <w:color w:val="auto"/>
        </w:rPr>
        <w:t>, which Take-Two acquired in May 2017.</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Take-Two deployed $110.1 million to repurchase 1.06 million shares of its common stock.</w:t>
      </w:r>
    </w:p>
    <w:p>
      <w:pPr>
        <w:spacing w:after="0" w:line="9" w:lineRule="exact"/>
        <w:rPr>
          <w:rFonts w:ascii="Arial" w:cs="Arial" w:eastAsia="Arial" w:hAnsi="Arial"/>
          <w:sz w:val="18"/>
          <w:szCs w:val="18"/>
          <w:color w:val="auto"/>
        </w:rPr>
      </w:pPr>
    </w:p>
    <w:p>
      <w:pPr>
        <w:ind w:left="340" w:right="300" w:hanging="332"/>
        <w:spacing w:after="0" w:line="261" w:lineRule="auto"/>
        <w:tabs>
          <w:tab w:leader="none" w:pos="304"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 December 18, 2017, Take-Two was added to the NASDAQ-100 Index® (Nasdaq: NDX). The NASDAQ-100 Index is composed of the 100 largest non-financial companies listed on The NASDAQ Stock Market®.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Rockstar Games:</w:t>
      </w:r>
    </w:p>
    <w:p>
      <w:pPr>
        <w:spacing w:after="0" w:line="229" w:lineRule="exact"/>
        <w:rPr>
          <w:sz w:val="20"/>
          <w:szCs w:val="20"/>
          <w:color w:val="auto"/>
        </w:rPr>
      </w:pPr>
    </w:p>
    <w:p>
      <w:pPr>
        <w:ind w:left="340" w:right="40" w:hanging="332"/>
        <w:spacing w:after="0" w:line="254"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Released new versions of the blockbuster detective thriller, </w:t>
      </w:r>
      <w:r>
        <w:rPr>
          <w:rFonts w:ascii="Arial" w:cs="Arial" w:eastAsia="Arial" w:hAnsi="Arial"/>
          <w:sz w:val="18"/>
          <w:szCs w:val="18"/>
          <w:i w:val="1"/>
          <w:iCs w:val="1"/>
          <w:color w:val="auto"/>
        </w:rPr>
        <w:t>L.A. Noire</w:t>
      </w:r>
      <w:r>
        <w:rPr>
          <w:rFonts w:ascii="Arial" w:cs="Arial" w:eastAsia="Arial" w:hAnsi="Arial"/>
          <w:sz w:val="18"/>
          <w:szCs w:val="18"/>
          <w:color w:val="auto"/>
        </w:rPr>
        <w:t xml:space="preserve">, for Nintendo Switch™, PlayStation®4 and Xbox One. These new versions include the original </w:t>
      </w:r>
      <w:r>
        <w:rPr>
          <w:rFonts w:ascii="Arial" w:cs="Arial" w:eastAsia="Arial" w:hAnsi="Arial"/>
          <w:sz w:val="18"/>
          <w:szCs w:val="18"/>
          <w:i w:val="1"/>
          <w:iCs w:val="1"/>
          <w:color w:val="auto"/>
        </w:rPr>
        <w:t>L.A. Noire</w:t>
      </w:r>
      <w:r>
        <w:rPr>
          <w:rFonts w:ascii="Arial" w:cs="Arial" w:eastAsia="Arial" w:hAnsi="Arial"/>
          <w:sz w:val="18"/>
          <w:szCs w:val="18"/>
          <w:color w:val="auto"/>
        </w:rPr>
        <w:t xml:space="preserve"> game plus all of its additional downloadable content, with specific enhancements tailored to the unique capabilities of each platform. Following these came the release of </w:t>
      </w:r>
      <w:r>
        <w:rPr>
          <w:rFonts w:ascii="Arial" w:cs="Arial" w:eastAsia="Arial" w:hAnsi="Arial"/>
          <w:sz w:val="18"/>
          <w:szCs w:val="18"/>
          <w:i w:val="1"/>
          <w:iCs w:val="1"/>
          <w:color w:val="auto"/>
        </w:rPr>
        <w:t>LA Noire: The VR Case Files</w:t>
      </w:r>
      <w:r>
        <w:rPr>
          <w:rFonts w:ascii="Arial" w:cs="Arial" w:eastAsia="Arial" w:hAnsi="Arial"/>
          <w:sz w:val="18"/>
          <w:szCs w:val="18"/>
          <w:color w:val="auto"/>
        </w:rPr>
        <w:t>, featuring seven select cases from the original game rebuilt specifically for a virtual reality experience on the HTC VIVE™ system.</w:t>
      </w:r>
    </w:p>
    <w:p>
      <w:pPr>
        <w:spacing w:after="0" w:line="2" w:lineRule="exact"/>
        <w:rPr>
          <w:rFonts w:ascii="Arial" w:cs="Arial" w:eastAsia="Arial" w:hAnsi="Arial"/>
          <w:sz w:val="18"/>
          <w:szCs w:val="18"/>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Released new free content updates for </w:t>
      </w:r>
      <w:r>
        <w:rPr>
          <w:rFonts w:ascii="Arial" w:cs="Arial" w:eastAsia="Arial" w:hAnsi="Arial"/>
          <w:sz w:val="18"/>
          <w:szCs w:val="18"/>
          <w:i w:val="1"/>
          <w:iCs w:val="1"/>
          <w:color w:val="auto"/>
        </w:rPr>
        <w:t>Grand Theft Auto Online</w:t>
      </w:r>
      <w:r>
        <w:rPr>
          <w:rFonts w:ascii="Arial" w:cs="Arial" w:eastAsia="Arial" w:hAnsi="Arial"/>
          <w:sz w:val="18"/>
          <w:szCs w:val="18"/>
          <w:color w:val="auto"/>
        </w:rPr>
        <w:t>, including: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More themed content drops for </w:t>
      </w:r>
      <w:r>
        <w:rPr>
          <w:rFonts w:ascii="Arial" w:cs="Arial" w:eastAsia="Arial" w:hAnsi="Arial"/>
          <w:sz w:val="18"/>
          <w:szCs w:val="18"/>
          <w:i w:val="1"/>
          <w:iCs w:val="1"/>
          <w:color w:val="auto"/>
        </w:rPr>
        <w:t>Smuggler’s Run</w:t>
      </w:r>
      <w:r>
        <w:rPr>
          <w:rFonts w:ascii="Arial" w:cs="Arial" w:eastAsia="Arial" w:hAnsi="Arial"/>
          <w:sz w:val="18"/>
          <w:szCs w:val="18"/>
          <w:color w:val="auto"/>
        </w:rPr>
        <w:t xml:space="preserve"> featuring:</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2"/>
          <w:numId w:val="4"/>
        </w:numPr>
        <w:rPr>
          <w:rFonts w:ascii="Arial" w:cs="Arial" w:eastAsia="Arial" w:hAnsi="Arial"/>
          <w:sz w:val="18"/>
          <w:szCs w:val="18"/>
          <w:color w:val="auto"/>
        </w:rPr>
      </w:pPr>
      <w:r>
        <w:rPr>
          <w:rFonts w:ascii="Arial" w:cs="Arial" w:eastAsia="Arial" w:hAnsi="Arial"/>
          <w:sz w:val="18"/>
          <w:szCs w:val="18"/>
          <w:color w:val="auto"/>
        </w:rPr>
        <w:t xml:space="preserve">The Mammoth Mogul aircraft and </w:t>
      </w:r>
      <w:r>
        <w:rPr>
          <w:rFonts w:ascii="Arial" w:cs="Arial" w:eastAsia="Arial" w:hAnsi="Arial"/>
          <w:sz w:val="18"/>
          <w:szCs w:val="18"/>
          <w:i w:val="1"/>
          <w:iCs w:val="1"/>
          <w:color w:val="auto"/>
        </w:rPr>
        <w:t>Stockpile</w:t>
      </w:r>
      <w:r>
        <w:rPr>
          <w:rFonts w:ascii="Arial" w:cs="Arial" w:eastAsia="Arial" w:hAnsi="Arial"/>
          <w:sz w:val="18"/>
          <w:szCs w:val="18"/>
          <w:color w:val="auto"/>
        </w:rPr>
        <w:t>, a new, jet-fueled take on capture-the-flag.</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2"/>
          <w:numId w:val="4"/>
        </w:numPr>
        <w:rPr>
          <w:rFonts w:ascii="Arial" w:cs="Arial" w:eastAsia="Arial" w:hAnsi="Arial"/>
          <w:sz w:val="18"/>
          <w:szCs w:val="18"/>
          <w:color w:val="auto"/>
        </w:rPr>
      </w:pPr>
      <w:r>
        <w:rPr>
          <w:rFonts w:ascii="Arial" w:cs="Arial" w:eastAsia="Arial" w:hAnsi="Arial"/>
          <w:sz w:val="18"/>
          <w:szCs w:val="18"/>
          <w:color w:val="auto"/>
        </w:rPr>
        <w:t>Transform Races, a new form of Stunt Race where players switch vehicle classes instantly mid-race across land, air and sea.</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Special Halloween content including the Vigilante weaponized vehicle, the Seabreeze aircraft and </w:t>
      </w:r>
      <w:r>
        <w:rPr>
          <w:rFonts w:ascii="Arial" w:cs="Arial" w:eastAsia="Arial" w:hAnsi="Arial"/>
          <w:sz w:val="18"/>
          <w:szCs w:val="18"/>
          <w:i w:val="1"/>
          <w:iCs w:val="1"/>
          <w:color w:val="auto"/>
        </w:rPr>
        <w:t>Condemned</w:t>
      </w:r>
      <w:r>
        <w:rPr>
          <w:rFonts w:ascii="Arial" w:cs="Arial" w:eastAsia="Arial" w:hAnsi="Arial"/>
          <w:sz w:val="18"/>
          <w:szCs w:val="18"/>
          <w:color w:val="auto"/>
        </w:rPr>
        <w:t xml:space="preserve"> Adversary Mode.</w:t>
      </w:r>
    </w:p>
    <w:p>
      <w:pPr>
        <w:spacing w:after="0" w:line="9" w:lineRule="exact"/>
        <w:rPr>
          <w:rFonts w:ascii="Arial" w:cs="Arial" w:eastAsia="Arial" w:hAnsi="Arial"/>
          <w:sz w:val="18"/>
          <w:szCs w:val="18"/>
          <w:color w:val="auto"/>
        </w:rPr>
      </w:pPr>
    </w:p>
    <w:p>
      <w:pPr>
        <w:ind w:left="660" w:right="640" w:hanging="328"/>
        <w:spacing w:after="0" w:line="250" w:lineRule="auto"/>
        <w:tabs>
          <w:tab w:leader="none" w:pos="624"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The Doomsday Heist</w:t>
      </w:r>
      <w:r>
        <w:rPr>
          <w:rFonts w:ascii="Arial" w:cs="Arial" w:eastAsia="Arial" w:hAnsi="Arial"/>
          <w:sz w:val="18"/>
          <w:szCs w:val="18"/>
          <w:color w:val="auto"/>
        </w:rPr>
        <w:t>, a story-driven online adventure involving the planning, preparation and execution of a series of epic co-operative heist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missions and featuring a ton of new vehicles and gear, inside the biggest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update yet.</w:t>
      </w:r>
    </w:p>
    <w:p>
      <w:pPr>
        <w:ind w:left="660" w:right="380" w:hanging="328"/>
        <w:spacing w:after="0" w:line="250" w:lineRule="auto"/>
        <w:tabs>
          <w:tab w:leader="none" w:pos="624"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Festive Surprise 2017</w:t>
      </w:r>
      <w:r>
        <w:rPr>
          <w:rFonts w:ascii="Arial" w:cs="Arial" w:eastAsia="Arial" w:hAnsi="Arial"/>
          <w:sz w:val="18"/>
          <w:szCs w:val="18"/>
          <w:color w:val="auto"/>
        </w:rPr>
        <w:t>, which featured holiday-themed items in stores across Los Santos, the Firework Launcher, as well as the return of favorite</w:t>
      </w:r>
      <w:r>
        <w:rPr>
          <w:rFonts w:ascii="Arial" w:cs="Arial" w:eastAsia="Arial" w:hAnsi="Arial"/>
          <w:sz w:val="18"/>
          <w:szCs w:val="18"/>
          <w:i w:val="1"/>
          <w:iCs w:val="1"/>
          <w:color w:val="auto"/>
        </w:rPr>
        <w:t xml:space="preserve"> </w:t>
      </w:r>
      <w:r>
        <w:rPr>
          <w:rFonts w:ascii="Arial" w:cs="Arial" w:eastAsia="Arial" w:hAnsi="Arial"/>
          <w:sz w:val="18"/>
          <w:szCs w:val="18"/>
          <w:color w:val="auto"/>
        </w:rPr>
        <w:t>items from past holiday seasons and more.</w:t>
      </w:r>
    </w:p>
    <w:p>
      <w:pPr>
        <w:ind w:left="340" w:right="200" w:hanging="332"/>
        <w:spacing w:after="0" w:line="265" w:lineRule="auto"/>
        <w:tabs>
          <w:tab w:leader="none" w:pos="304"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Released the </w:t>
      </w:r>
      <w:r>
        <w:rPr>
          <w:rFonts w:ascii="Arial" w:cs="Arial" w:eastAsia="Arial" w:hAnsi="Arial"/>
          <w:sz w:val="17"/>
          <w:szCs w:val="17"/>
          <w:i w:val="1"/>
          <w:iCs w:val="1"/>
          <w:color w:val="auto"/>
        </w:rPr>
        <w:t>Criminal Enterprise Starter Pack</w:t>
      </w:r>
      <w:r>
        <w:rPr>
          <w:rFonts w:ascii="Arial" w:cs="Arial" w:eastAsia="Arial" w:hAnsi="Arial"/>
          <w:sz w:val="17"/>
          <w:szCs w:val="17"/>
          <w:color w:val="auto"/>
        </w:rPr>
        <w:t xml:space="preserve"> that gives players access to a huge range of the most exciting and popular additions to </w:t>
      </w:r>
      <w:r>
        <w:rPr>
          <w:rFonts w:ascii="Arial" w:cs="Arial" w:eastAsia="Arial" w:hAnsi="Arial"/>
          <w:sz w:val="17"/>
          <w:szCs w:val="17"/>
          <w:i w:val="1"/>
          <w:iCs w:val="1"/>
          <w:color w:val="auto"/>
        </w:rPr>
        <w:t>Grand Theft Auto</w:t>
      </w:r>
      <w:r>
        <w:rPr>
          <w:rFonts w:ascii="Arial" w:cs="Arial" w:eastAsia="Arial" w:hAnsi="Arial"/>
          <w:sz w:val="17"/>
          <w:szCs w:val="17"/>
          <w:color w:val="auto"/>
        </w:rPr>
        <w:t xml:space="preserve"> </w:t>
      </w:r>
      <w:r>
        <w:rPr>
          <w:rFonts w:ascii="Arial" w:cs="Arial" w:eastAsia="Arial" w:hAnsi="Arial"/>
          <w:sz w:val="17"/>
          <w:szCs w:val="17"/>
          <w:i w:val="1"/>
          <w:iCs w:val="1"/>
          <w:color w:val="auto"/>
        </w:rPr>
        <w:t>Online</w:t>
      </w:r>
      <w:r>
        <w:rPr>
          <w:rFonts w:ascii="Arial" w:cs="Arial" w:eastAsia="Arial" w:hAnsi="Arial"/>
          <w:sz w:val="17"/>
          <w:szCs w:val="17"/>
          <w:color w:val="auto"/>
        </w:rPr>
        <w:t>, including properties, vehicles, weapons and more valued at over GTA$10,000,000 plus GTA$1,000,000 Bonus Cash.</w:t>
      </w:r>
    </w:p>
    <w:p>
      <w:pPr>
        <w:ind w:left="340" w:right="680" w:hanging="332"/>
        <w:spacing w:after="0" w:line="261"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Announced that </w:t>
      </w:r>
      <w:r>
        <w:rPr>
          <w:rFonts w:ascii="Arial" w:cs="Arial" w:eastAsia="Arial" w:hAnsi="Arial"/>
          <w:sz w:val="18"/>
          <w:szCs w:val="18"/>
          <w:i w:val="1"/>
          <w:iCs w:val="1"/>
          <w:color w:val="auto"/>
        </w:rPr>
        <w:t>Red Dead Redemption 2</w:t>
      </w:r>
      <w:r>
        <w:rPr>
          <w:rFonts w:ascii="Arial" w:cs="Arial" w:eastAsia="Arial" w:hAnsi="Arial"/>
          <w:sz w:val="18"/>
          <w:szCs w:val="18"/>
          <w:color w:val="auto"/>
        </w:rPr>
        <w:t>, which had been planned for release during Spring 2018, will now launch on October 26, 2018 to allow additional time to polish further the final product.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2K:</w:t>
      </w:r>
    </w:p>
    <w:p>
      <w:pPr>
        <w:spacing w:after="0" w:line="229" w:lineRule="exact"/>
        <w:rPr>
          <w:sz w:val="20"/>
          <w:szCs w:val="20"/>
          <w:color w:val="auto"/>
        </w:rPr>
      </w:pPr>
    </w:p>
    <w:p>
      <w:pPr>
        <w:ind w:left="340" w:right="40" w:hanging="332"/>
        <w:spacing w:after="0" w:line="277" w:lineRule="auto"/>
        <w:tabs>
          <w:tab w:leader="none" w:pos="30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Released the </w:t>
      </w:r>
      <w:r>
        <w:rPr>
          <w:rFonts w:ascii="Arial" w:cs="Arial" w:eastAsia="Arial" w:hAnsi="Arial"/>
          <w:sz w:val="18"/>
          <w:szCs w:val="18"/>
          <w:i w:val="1"/>
          <w:iCs w:val="1"/>
          <w:color w:val="auto"/>
        </w:rPr>
        <w:t>Sid Meier’s Civilization VI: Khemer and Indonesia Civilization and Scenario Pack</w:t>
      </w:r>
      <w:r>
        <w:rPr>
          <w:rFonts w:ascii="Arial" w:cs="Arial" w:eastAsia="Arial" w:hAnsi="Arial"/>
          <w:sz w:val="18"/>
          <w:szCs w:val="18"/>
          <w:color w:val="auto"/>
        </w:rPr>
        <w:t xml:space="preserve"> bringing new challenges and scenarios to Firaxis Games’ popular strategy series, and announced that its </w:t>
      </w:r>
      <w:r>
        <w:rPr>
          <w:rFonts w:ascii="Arial" w:cs="Arial" w:eastAsia="Arial" w:hAnsi="Arial"/>
          <w:sz w:val="18"/>
          <w:szCs w:val="18"/>
          <w:i w:val="1"/>
          <w:iCs w:val="1"/>
          <w:color w:val="auto"/>
        </w:rPr>
        <w:t>Rise and Fall</w:t>
      </w:r>
      <w:r>
        <w:rPr>
          <w:rFonts w:ascii="Arial" w:cs="Arial" w:eastAsia="Arial" w:hAnsi="Arial"/>
          <w:sz w:val="18"/>
          <w:szCs w:val="18"/>
          <w:color w:val="auto"/>
        </w:rPr>
        <w:t xml:space="preserve"> expansion pack for the title will launch on February 8, 2018.</w:t>
      </w:r>
    </w:p>
    <w:p>
      <w:pPr>
        <w:sectPr>
          <w:pgSz w:w="11900" w:h="16838" w:orient="portrait"/>
          <w:cols w:equalWidth="0" w:num="1">
            <w:col w:w="11400"/>
          </w:cols>
          <w:pgMar w:left="240" w:top="121" w:right="259" w:bottom="0" w:gutter="0" w:footer="0" w:header="0"/>
        </w:sectPr>
      </w:pPr>
    </w:p>
    <w:bookmarkStart w:id="4" w:name="page5"/>
    <w:bookmarkEnd w:id="4"/>
    <w:p>
      <w:pPr>
        <w:spacing w:after="0" w:line="60" w:lineRule="exact"/>
        <w:rPr>
          <w:sz w:val="20"/>
          <w:szCs w:val="20"/>
          <w:color w:val="auto"/>
        </w:rPr>
      </w:pPr>
    </w:p>
    <w:p>
      <w:pPr>
        <w:ind w:left="340" w:right="260" w:hanging="332"/>
        <w:spacing w:after="0" w:line="254" w:lineRule="auto"/>
        <w:tabs>
          <w:tab w:leader="none" w:pos="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Launched </w:t>
      </w:r>
      <w:r>
        <w:rPr>
          <w:rFonts w:ascii="Arial" w:cs="Arial" w:eastAsia="Arial" w:hAnsi="Arial"/>
          <w:sz w:val="18"/>
          <w:szCs w:val="18"/>
          <w:i w:val="1"/>
          <w:iCs w:val="1"/>
          <w:color w:val="auto"/>
        </w:rPr>
        <w:t>WWE 2K18</w:t>
      </w:r>
      <w:r>
        <w:rPr>
          <w:rFonts w:ascii="Arial" w:cs="Arial" w:eastAsia="Arial" w:hAnsi="Arial"/>
          <w:sz w:val="18"/>
          <w:szCs w:val="18"/>
          <w:color w:val="auto"/>
        </w:rPr>
        <w:t xml:space="preserve"> for PlayStation 4, Xbox One, Nintendo Switch and PC. Developed collaboratively by Yuke’s and Visual Concepts, </w:t>
      </w:r>
      <w:r>
        <w:rPr>
          <w:rFonts w:ascii="Arial" w:cs="Arial" w:eastAsia="Arial" w:hAnsi="Arial"/>
          <w:sz w:val="18"/>
          <w:szCs w:val="18"/>
          <w:i w:val="1"/>
          <w:iCs w:val="1"/>
          <w:color w:val="auto"/>
        </w:rPr>
        <w:t>WWE 2K18</w:t>
      </w:r>
      <w:r>
        <w:rPr>
          <w:rFonts w:ascii="Arial" w:cs="Arial" w:eastAsia="Arial" w:hAnsi="Arial"/>
          <w:sz w:val="18"/>
          <w:szCs w:val="18"/>
          <w:color w:val="auto"/>
        </w:rPr>
        <w:t xml:space="preserve"> features Seth Rollins as its cover Superstar, along with the largest playable roster in franchise history, new online-centric Road to Glory mode, notable gameplay improvements, and a powerful new graphics engine. </w:t>
      </w:r>
      <w:r>
        <w:rPr>
          <w:rFonts w:ascii="Arial" w:cs="Arial" w:eastAsia="Arial" w:hAnsi="Arial"/>
          <w:sz w:val="18"/>
          <w:szCs w:val="18"/>
          <w:i w:val="1"/>
          <w:iCs w:val="1"/>
          <w:color w:val="auto"/>
        </w:rPr>
        <w:t>WWE 2K18</w:t>
      </w:r>
      <w:r>
        <w:rPr>
          <w:rFonts w:ascii="Arial" w:cs="Arial" w:eastAsia="Arial" w:hAnsi="Arial"/>
          <w:sz w:val="18"/>
          <w:szCs w:val="18"/>
          <w:color w:val="auto"/>
        </w:rPr>
        <w:t xml:space="preserve"> has been supported with a series of downloadable content, including a Season Pass.</w:t>
      </w:r>
    </w:p>
    <w:p>
      <w:pPr>
        <w:spacing w:after="0" w:line="2" w:lineRule="exact"/>
        <w:rPr>
          <w:rFonts w:ascii="Arial" w:cs="Arial" w:eastAsia="Arial" w:hAnsi="Arial"/>
          <w:sz w:val="18"/>
          <w:szCs w:val="18"/>
          <w:color w:val="auto"/>
        </w:rPr>
      </w:pPr>
    </w:p>
    <w:p>
      <w:pPr>
        <w:ind w:left="340" w:right="100" w:hanging="332"/>
        <w:spacing w:after="0" w:line="302" w:lineRule="auto"/>
        <w:tabs>
          <w:tab w:leader="none" w:pos="304"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Released </w:t>
      </w:r>
      <w:r>
        <w:rPr>
          <w:rFonts w:ascii="Arial" w:cs="Arial" w:eastAsia="Arial" w:hAnsi="Arial"/>
          <w:sz w:val="16"/>
          <w:szCs w:val="16"/>
          <w:i w:val="1"/>
          <w:iCs w:val="1"/>
          <w:color w:val="auto"/>
        </w:rPr>
        <w:t>WWE SuperCard — Season 4</w:t>
      </w:r>
      <w:r>
        <w:rPr>
          <w:rFonts w:ascii="Arial" w:cs="Arial" w:eastAsia="Arial" w:hAnsi="Arial"/>
          <w:sz w:val="16"/>
          <w:szCs w:val="16"/>
          <w:color w:val="auto"/>
        </w:rPr>
        <w:t xml:space="preserve">, the latest addition to the Company’s action-packed collectible card-battling game, as a free downloadable update for iOS and Android™ devices. Featuring 250 new cards, three new card tiers, and much more, the </w:t>
      </w:r>
      <w:r>
        <w:rPr>
          <w:rFonts w:ascii="Arial" w:cs="Arial" w:eastAsia="Arial" w:hAnsi="Arial"/>
          <w:sz w:val="16"/>
          <w:szCs w:val="16"/>
          <w:i w:val="1"/>
          <w:iCs w:val="1"/>
          <w:color w:val="auto"/>
        </w:rPr>
        <w:t>WWE SuperCard</w:t>
      </w:r>
      <w:r>
        <w:rPr>
          <w:rFonts w:ascii="Arial" w:cs="Arial" w:eastAsia="Arial" w:hAnsi="Arial"/>
          <w:sz w:val="16"/>
          <w:szCs w:val="16"/>
          <w:color w:val="auto"/>
        </w:rPr>
        <w:t xml:space="preserve"> series — which has now been downloaded more than 16.5 million times to date — delivers the best in competitive and engaging WWE action for mobile devices.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1" w:lineRule="exact"/>
        <w:rPr>
          <w:rFonts w:ascii="Arial" w:cs="Arial" w:eastAsia="Arial" w:hAnsi="Arial"/>
          <w:sz w:val="16"/>
          <w:szCs w:val="16"/>
          <w:color w:val="auto"/>
        </w:rPr>
      </w:pPr>
    </w:p>
    <w:p>
      <w:pPr>
        <w:ind w:left="340" w:right="180" w:hanging="332"/>
        <w:spacing w:after="0" w:line="264" w:lineRule="auto"/>
        <w:tabs>
          <w:tab w:leader="none" w:pos="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Launched </w:t>
      </w:r>
      <w:r>
        <w:rPr>
          <w:rFonts w:ascii="Arial" w:cs="Arial" w:eastAsia="Arial" w:hAnsi="Arial"/>
          <w:sz w:val="18"/>
          <w:szCs w:val="18"/>
          <w:i w:val="1"/>
          <w:iCs w:val="1"/>
          <w:color w:val="auto"/>
        </w:rPr>
        <w:t>NHL® SuperCard 2K18</w:t>
      </w:r>
      <w:r>
        <w:rPr>
          <w:rFonts w:ascii="Arial" w:cs="Arial" w:eastAsia="Arial" w:hAnsi="Arial"/>
          <w:sz w:val="18"/>
          <w:szCs w:val="18"/>
          <w:color w:val="auto"/>
        </w:rPr>
        <w:t xml:space="preserve">, the foremost NHL collectible card-battling game. Featuring cover athlete Kyle Turris, center for the Nashville Predators, </w:t>
      </w:r>
      <w:r>
        <w:rPr>
          <w:rFonts w:ascii="Arial" w:cs="Arial" w:eastAsia="Arial" w:hAnsi="Arial"/>
          <w:sz w:val="18"/>
          <w:szCs w:val="18"/>
          <w:i w:val="1"/>
          <w:iCs w:val="1"/>
          <w:color w:val="auto"/>
        </w:rPr>
        <w:t>NHL SuperCard</w:t>
      </w:r>
      <w:r>
        <w:rPr>
          <w:rFonts w:ascii="Arial" w:cs="Arial" w:eastAsia="Arial" w:hAnsi="Arial"/>
          <w:sz w:val="18"/>
          <w:szCs w:val="18"/>
          <w:color w:val="auto"/>
        </w:rPr>
        <w:t xml:space="preserve"> is available for download free of charge for iOS and Android devices and offers more than 450 cards, thrilling game modes, weekly events and more to bring players on the ice and into the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-812165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Division:</w:t>
      </w:r>
    </w:p>
    <w:p>
      <w:pPr>
        <w:spacing w:after="0" w:line="229" w:lineRule="exact"/>
        <w:rPr>
          <w:sz w:val="20"/>
          <w:szCs w:val="20"/>
          <w:color w:val="auto"/>
        </w:rPr>
      </w:pPr>
    </w:p>
    <w:p>
      <w:pPr>
        <w:ind w:left="340" w:right="40" w:hanging="332"/>
        <w:spacing w:after="0" w:line="279" w:lineRule="auto"/>
        <w:tabs>
          <w:tab w:leader="none" w:pos="304"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Released </w:t>
      </w:r>
      <w:r>
        <w:rPr>
          <w:rFonts w:ascii="Arial" w:cs="Arial" w:eastAsia="Arial" w:hAnsi="Arial"/>
          <w:sz w:val="17"/>
          <w:szCs w:val="17"/>
          <w:i w:val="1"/>
          <w:iCs w:val="1"/>
          <w:color w:val="auto"/>
        </w:rPr>
        <w:t>Kerbal Space Program Enhanced Edition</w:t>
      </w:r>
      <w:r>
        <w:rPr>
          <w:rFonts w:ascii="Arial" w:cs="Arial" w:eastAsia="Arial" w:hAnsi="Arial"/>
          <w:sz w:val="17"/>
          <w:szCs w:val="17"/>
          <w:color w:val="auto"/>
        </w:rPr>
        <w:t xml:space="preserve">, the new console version of the beloved space simulation game, for digital download on PlayStation 4 and Xbox One. </w:t>
      </w:r>
      <w:r>
        <w:rPr>
          <w:rFonts w:ascii="Arial" w:cs="Arial" w:eastAsia="Arial" w:hAnsi="Arial"/>
          <w:sz w:val="17"/>
          <w:szCs w:val="17"/>
          <w:i w:val="1"/>
          <w:iCs w:val="1"/>
          <w:color w:val="auto"/>
        </w:rPr>
        <w:t>Kerbal Space Program Enhanced Edition</w:t>
      </w:r>
      <w:r>
        <w:rPr>
          <w:rFonts w:ascii="Arial" w:cs="Arial" w:eastAsia="Arial" w:hAnsi="Arial"/>
          <w:sz w:val="17"/>
          <w:szCs w:val="17"/>
          <w:color w:val="auto"/>
        </w:rPr>
        <w:t xml:space="preserve"> is built from the ground up to include re-worked and console-optimized UI, a new control scheme exclusively for consoles, and more ways to enjoy launching spaceships into orbit. As a thank you to the existing console community, all owners of the prior console version of </w:t>
      </w:r>
      <w:r>
        <w:rPr>
          <w:rFonts w:ascii="Arial" w:cs="Arial" w:eastAsia="Arial" w:hAnsi="Arial"/>
          <w:sz w:val="17"/>
          <w:szCs w:val="17"/>
          <w:i w:val="1"/>
          <w:iCs w:val="1"/>
          <w:color w:val="auto"/>
        </w:rPr>
        <w:t>Kerbal Space Program</w:t>
      </w:r>
      <w:r>
        <w:rPr>
          <w:rFonts w:ascii="Arial" w:cs="Arial" w:eastAsia="Arial" w:hAnsi="Arial"/>
          <w:sz w:val="17"/>
          <w:szCs w:val="17"/>
          <w:color w:val="auto"/>
        </w:rPr>
        <w:t xml:space="preserve"> can redeem the </w:t>
      </w:r>
      <w:r>
        <w:rPr>
          <w:rFonts w:ascii="Arial" w:cs="Arial" w:eastAsia="Arial" w:hAnsi="Arial"/>
          <w:sz w:val="17"/>
          <w:szCs w:val="17"/>
          <w:i w:val="1"/>
          <w:iCs w:val="1"/>
          <w:color w:val="auto"/>
        </w:rPr>
        <w:t>Enhanced Edition</w:t>
      </w:r>
      <w:r>
        <w:rPr>
          <w:rFonts w:ascii="Arial" w:cs="Arial" w:eastAsia="Arial" w:hAnsi="Arial"/>
          <w:sz w:val="17"/>
          <w:szCs w:val="17"/>
          <w:color w:val="auto"/>
        </w:rPr>
        <w:t xml:space="preserve"> for free.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Outlook for Fiscal 2018</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Take-Two is providing its initial financial outlook for its fiscal fourth quarter ending March 31, 2018, and updating its financial outlook for its fiscal year ending March 31, 2018,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Quarter Ending March 31, 2018</w:t>
      </w:r>
    </w:p>
    <w:p>
      <w:pPr>
        <w:spacing w:after="0" w:line="225"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GAAP net revenue is expected to range from $460 to $510 million</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GAAP net income is expected to range from $87 to $99 million</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GAAP diluted net income per share is expected to range from $0.73 to $0.83</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 count used to calculate GAAP diluted net income per share is expected to be 118.8 million (1)</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Bookings (operational metric) are expected to range from $410 to $460 million</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is also providing selected data and its management reporting tax rate of 22% that are used internally by its management and Board of Directors to adjust the Company’s GAAP financial outlook in order to facilitate comparison of its operating performance between periods and to better understand its core business and future outlook: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7"/>
          </w:tcPr>
          <w:p>
            <w:pPr>
              <w:jc w:val="right"/>
              <w:ind w:right="729"/>
              <w:spacing w:after="0"/>
              <w:rPr>
                <w:sz w:val="20"/>
                <w:szCs w:val="20"/>
                <w:color w:val="auto"/>
              </w:rPr>
            </w:pPr>
            <w:r>
              <w:rPr>
                <w:rFonts w:ascii="Arial" w:cs="Arial" w:eastAsia="Arial" w:hAnsi="Arial"/>
                <w:sz w:val="14"/>
                <w:szCs w:val="14"/>
                <w:b w:val="1"/>
                <w:bCs w:val="1"/>
                <w:color w:val="auto"/>
              </w:rPr>
              <w:t>Three Months Ending March 31, 2018</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4"/>
          </w:tcPr>
          <w:p>
            <w:pPr>
              <w:jc w:val="right"/>
              <w:ind w:right="549"/>
              <w:spacing w:after="0" w:line="142" w:lineRule="exact"/>
              <w:rPr>
                <w:sz w:val="20"/>
                <w:szCs w:val="20"/>
                <w:color w:val="auto"/>
              </w:rPr>
            </w:pPr>
            <w:r>
              <w:rPr>
                <w:rFonts w:ascii="Arial" w:cs="Arial" w:eastAsia="Arial" w:hAnsi="Arial"/>
                <w:sz w:val="14"/>
                <w:szCs w:val="14"/>
                <w:b w:val="1"/>
                <w:bCs w:val="1"/>
                <w:color w:val="auto"/>
              </w:rPr>
              <w:t>Financial Data</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8"/>
              </w:rPr>
              <w:t>Change in</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left="129"/>
              <w:spacing w:after="0" w:line="119" w:lineRule="exact"/>
              <w:rPr>
                <w:sz w:val="20"/>
                <w:szCs w:val="20"/>
                <w:color w:val="auto"/>
              </w:rPr>
            </w:pPr>
            <w:r>
              <w:rPr>
                <w:rFonts w:ascii="Arial" w:cs="Arial" w:eastAsia="Arial" w:hAnsi="Arial"/>
                <w:sz w:val="13"/>
                <w:szCs w:val="13"/>
                <w:b w:val="1"/>
                <w:bCs w:val="1"/>
                <w:color w:val="auto"/>
                <w:w w:val="97"/>
              </w:rPr>
              <w:t>Non-cash</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deferred net</w:t>
            </w:r>
          </w:p>
        </w:tc>
        <w:tc>
          <w:tcPr>
            <w:tcW w:w="12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Stock-based</w:t>
            </w:r>
          </w:p>
        </w:tc>
        <w:tc>
          <w:tcPr>
            <w:tcW w:w="120" w:type="dxa"/>
            <w:vAlign w:val="bottom"/>
          </w:tcPr>
          <w:p>
            <w:pPr>
              <w:spacing w:after="0"/>
              <w:rPr>
                <w:sz w:val="12"/>
                <w:szCs w:val="12"/>
                <w:color w:val="auto"/>
              </w:rPr>
            </w:pPr>
          </w:p>
        </w:tc>
        <w:tc>
          <w:tcPr>
            <w:tcW w:w="940" w:type="dxa"/>
            <w:vAlign w:val="bottom"/>
          </w:tcPr>
          <w:p>
            <w:pPr>
              <w:jc w:val="center"/>
              <w:ind w:left="129"/>
              <w:spacing w:after="0" w:line="149" w:lineRule="exact"/>
              <w:rPr>
                <w:sz w:val="20"/>
                <w:szCs w:val="20"/>
                <w:color w:val="auto"/>
              </w:rPr>
            </w:pPr>
            <w:r>
              <w:rPr>
                <w:rFonts w:ascii="Arial" w:cs="Arial" w:eastAsia="Arial" w:hAnsi="Arial"/>
                <w:sz w:val="14"/>
                <w:szCs w:val="14"/>
                <w:b w:val="1"/>
                <w:bCs w:val="1"/>
                <w:color w:val="auto"/>
                <w:w w:val="92"/>
              </w:rPr>
              <w:t>amounts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GAAP</w:t>
            </w:r>
          </w:p>
        </w:tc>
        <w:tc>
          <w:tcPr>
            <w:tcW w:w="12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revenue and</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left="129"/>
              <w:spacing w:after="0" w:line="149" w:lineRule="exact"/>
              <w:rPr>
                <w:sz w:val="20"/>
                <w:szCs w:val="20"/>
                <w:color w:val="auto"/>
              </w:rPr>
            </w:pPr>
            <w:r>
              <w:rPr>
                <w:rFonts w:ascii="Arial" w:cs="Arial" w:eastAsia="Arial" w:hAnsi="Arial"/>
                <w:sz w:val="14"/>
                <w:szCs w:val="14"/>
                <w:b w:val="1"/>
                <w:bCs w:val="1"/>
                <w:color w:val="auto"/>
                <w:w w:val="91"/>
              </w:rPr>
              <w:t>related to</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of acquired</w:t>
            </w:r>
          </w:p>
        </w:tc>
        <w:tc>
          <w:tcPr>
            <w:tcW w:w="0" w:type="dxa"/>
            <w:vAlign w:val="bottom"/>
          </w:tcPr>
          <w:p>
            <w:pPr>
              <w:spacing w:after="0"/>
              <w:rPr>
                <w:sz w:val="1"/>
                <w:szCs w:val="1"/>
                <w:color w:val="auto"/>
              </w:rPr>
            </w:pPr>
          </w:p>
        </w:tc>
      </w:tr>
      <w:tr>
        <w:trPr>
          <w:trHeight w:val="149"/>
        </w:trPr>
        <w:tc>
          <w:tcPr>
            <w:tcW w:w="4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related cost of</w:t>
            </w: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0" w:type="dxa"/>
            <w:vAlign w:val="bottom"/>
          </w:tcPr>
          <w:p>
            <w:pPr>
              <w:spacing w:after="0"/>
              <w:rPr>
                <w:sz w:val="12"/>
                <w:szCs w:val="12"/>
                <w:color w:val="auto"/>
              </w:rPr>
            </w:pPr>
          </w:p>
        </w:tc>
        <w:tc>
          <w:tcPr>
            <w:tcW w:w="940" w:type="dxa"/>
            <w:vAlign w:val="bottom"/>
          </w:tcPr>
          <w:p>
            <w:pPr>
              <w:jc w:val="center"/>
              <w:ind w:left="129"/>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71"/>
        </w:trPr>
        <w:tc>
          <w:tcPr>
            <w:tcW w:w="4140" w:type="dxa"/>
            <w:vAlign w:val="bottom"/>
            <w:gridSpan w:val="3"/>
            <w:vMerge w:val="continue"/>
          </w:tcPr>
          <w:p>
            <w:pPr>
              <w:spacing w:after="0"/>
              <w:rPr>
                <w:sz w:val="14"/>
                <w:szCs w:val="14"/>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outlook (2)</w:t>
            </w:r>
          </w:p>
        </w:tc>
        <w:tc>
          <w:tcPr>
            <w:tcW w:w="12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goods sold</w:t>
            </w:r>
          </w:p>
        </w:tc>
        <w:tc>
          <w:tcPr>
            <w:tcW w:w="120" w:type="dxa"/>
            <w:vAlign w:val="bottom"/>
          </w:tcPr>
          <w:p>
            <w:pPr>
              <w:spacing w:after="0"/>
              <w:rPr>
                <w:sz w:val="14"/>
                <w:szCs w:val="14"/>
                <w:color w:val="auto"/>
              </w:rPr>
            </w:pPr>
          </w:p>
        </w:tc>
        <w:tc>
          <w:tcPr>
            <w:tcW w:w="1020" w:type="dxa"/>
            <w:vAlign w:val="bottom"/>
          </w:tcPr>
          <w:p>
            <w:pPr>
              <w:jc w:val="center"/>
              <w:ind w:right="40"/>
              <w:spacing w:after="0"/>
              <w:rPr>
                <w:sz w:val="20"/>
                <w:szCs w:val="20"/>
                <w:color w:val="auto"/>
              </w:rPr>
            </w:pPr>
            <w:r>
              <w:rPr>
                <w:rFonts w:ascii="Arial" w:cs="Arial" w:eastAsia="Arial" w:hAnsi="Arial"/>
                <w:sz w:val="14"/>
                <w:szCs w:val="14"/>
                <w:b w:val="1"/>
                <w:bCs w:val="1"/>
                <w:color w:val="auto"/>
              </w:rPr>
              <w:t>(3)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left="109"/>
              <w:spacing w:after="0"/>
              <w:rPr>
                <w:sz w:val="20"/>
                <w:szCs w:val="20"/>
                <w:color w:val="auto"/>
              </w:rPr>
            </w:pPr>
            <w:r>
              <w:rPr>
                <w:rFonts w:ascii="Arial" w:cs="Arial" w:eastAsia="Arial" w:hAnsi="Arial"/>
                <w:sz w:val="14"/>
                <w:szCs w:val="14"/>
                <w:b w:val="1"/>
                <w:bCs w:val="1"/>
                <w:color w:val="auto"/>
                <w:w w:val="85"/>
              </w:rPr>
              <w:t>notes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17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89"/>
              </w:rPr>
              <w:t>$460 to $510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Cost of goods sold</w:t>
            </w: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$196 to $225</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7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89"/>
              </w:rPr>
              <w:t>$190 to $200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Interest and other, net</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789"/>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89"/>
              </w:rPr>
              <w:t>$77 to $88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89"/>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Ending March 31, 2018</w:t>
      </w:r>
    </w:p>
    <w:p>
      <w:pPr>
        <w:spacing w:after="0" w:line="22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As a result of its strong fiscal third quarter 2018 results and increased outlook for the fiscal fourth quarter, Take-Two is raising its fiscal year 2018 outlook for Net Bookings. In addition, the Company is increasing its outlook for GAAP net revenue and GAAP net income.</w:t>
      </w:r>
    </w:p>
    <w:p>
      <w:pPr>
        <w:spacing w:after="0" w:line="170"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GAAP net revenue is expected to range from $1.80 to $1.85 billion</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GAAP net income is expected to range from $170 to $181 million</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GAAP diluted net income per share is expected to range from $1.50 to $1.60</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 count used to calculate GAAP diluted net income per share is expected to be 113.2 million (4)</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cash provided by operating activities is expected to be approximately $300 million</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expenditures are expected to be approximately $60 million</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Bookings (operational metric) are expected to range from $1.99 to $2.04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is also providing selected data and its management reporting tax rate of 22% that are used internally by its management and Board of Directors to adjust the Company’s GAAP financial outlook in order to facilitate comparison of its operating performance between periods and to better understand its core business and future outlook: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20" w:type="dxa"/>
            <w:vAlign w:val="bottom"/>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Twelve Months Ending March 31, 2018</w:t>
            </w:r>
          </w:p>
        </w:tc>
        <w:tc>
          <w:tcPr>
            <w:tcW w:w="1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84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GAAP</w:t>
            </w:r>
          </w:p>
        </w:tc>
        <w:tc>
          <w:tcPr>
            <w:tcW w:w="10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2"/>
          </w:tcPr>
          <w:p>
            <w:pPr>
              <w:ind w:left="800"/>
              <w:spacing w:after="0" w:line="142" w:lineRule="exact"/>
              <w:rPr>
                <w:sz w:val="20"/>
                <w:szCs w:val="20"/>
                <w:color w:val="auto"/>
              </w:rPr>
            </w:pPr>
            <w:r>
              <w:rPr>
                <w:rFonts w:ascii="Arial" w:cs="Arial" w:eastAsia="Arial" w:hAnsi="Arial"/>
                <w:sz w:val="14"/>
                <w:szCs w:val="14"/>
                <w:b w:val="1"/>
                <w:bCs w:val="1"/>
                <w:color w:val="auto"/>
              </w:rPr>
              <w:t>Financial Data</w:t>
            </w:r>
          </w:p>
        </w:tc>
        <w:tc>
          <w:tcPr>
            <w:tcW w:w="1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12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1040" w:type="dxa"/>
            <w:vAlign w:val="bottom"/>
          </w:tcPr>
          <w:p>
            <w:pPr>
              <w:jc w:val="center"/>
              <w:ind w:right="29"/>
              <w:spacing w:after="0" w:line="115" w:lineRule="exact"/>
              <w:rPr>
                <w:sz w:val="20"/>
                <w:szCs w:val="20"/>
                <w:color w:val="auto"/>
              </w:rPr>
            </w:pPr>
            <w:r>
              <w:rPr>
                <w:rFonts w:ascii="Arial" w:cs="Arial" w:eastAsia="Arial" w:hAnsi="Arial"/>
                <w:sz w:val="13"/>
                <w:szCs w:val="13"/>
                <w:b w:val="1"/>
                <w:bCs w:val="1"/>
                <w:color w:val="auto"/>
                <w:w w:val="98"/>
              </w:rPr>
              <w:t>Change in</w:t>
            </w:r>
          </w:p>
        </w:tc>
        <w:tc>
          <w:tcPr>
            <w:tcW w:w="1380" w:type="dxa"/>
            <w:vAlign w:val="bottom"/>
          </w:tcPr>
          <w:p>
            <w:pPr>
              <w:jc w:val="center"/>
              <w:ind w:right="9"/>
              <w:spacing w:after="0" w:line="115" w:lineRule="exact"/>
              <w:rPr>
                <w:sz w:val="20"/>
                <w:szCs w:val="20"/>
                <w:color w:val="auto"/>
              </w:rPr>
            </w:pPr>
            <w:r>
              <w:rPr>
                <w:rFonts w:ascii="Arial" w:cs="Arial" w:eastAsia="Arial" w:hAnsi="Arial"/>
                <w:sz w:val="13"/>
                <w:szCs w:val="13"/>
                <w:b w:val="1"/>
                <w:bCs w:val="1"/>
                <w:color w:val="auto"/>
                <w:w w:val="95"/>
              </w:rPr>
              <w:t>Stock-</w:t>
            </w:r>
          </w:p>
        </w:tc>
        <w:tc>
          <w:tcPr>
            <w:tcW w:w="1220" w:type="dxa"/>
            <w:vAlign w:val="bottom"/>
          </w:tcPr>
          <w:p>
            <w:pPr>
              <w:jc w:val="center"/>
              <w:ind w:left="9"/>
              <w:spacing w:after="0" w:line="115" w:lineRule="exact"/>
              <w:rPr>
                <w:sz w:val="20"/>
                <w:szCs w:val="20"/>
                <w:color w:val="auto"/>
              </w:rPr>
            </w:pPr>
            <w:r>
              <w:rPr>
                <w:rFonts w:ascii="Arial" w:cs="Arial" w:eastAsia="Arial" w:hAnsi="Arial"/>
                <w:sz w:val="13"/>
                <w:szCs w:val="13"/>
                <w:b w:val="1"/>
                <w:bCs w:val="1"/>
                <w:color w:val="auto"/>
                <w:w w:val="97"/>
              </w:rPr>
              <w:t>Non-cash</w:t>
            </w:r>
          </w:p>
        </w:tc>
        <w:tc>
          <w:tcPr>
            <w:tcW w:w="114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rPr>
              <w:t>Acquisition</w:t>
            </w:r>
          </w:p>
        </w:tc>
        <w:tc>
          <w:tcPr>
            <w:tcW w:w="132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rPr>
              <w:t>Amortization</w:t>
            </w:r>
          </w:p>
        </w:tc>
        <w:tc>
          <w:tcPr>
            <w:tcW w:w="1260" w:type="dxa"/>
            <w:vAlign w:val="bottom"/>
          </w:tcPr>
          <w:p>
            <w:pPr>
              <w:jc w:val="center"/>
              <w:ind w:left="29"/>
              <w:spacing w:after="0" w:line="115" w:lineRule="exact"/>
              <w:rPr>
                <w:sz w:val="20"/>
                <w:szCs w:val="20"/>
                <w:color w:val="auto"/>
              </w:rPr>
            </w:pPr>
            <w:r>
              <w:rPr>
                <w:rFonts w:ascii="Arial" w:cs="Arial" w:eastAsia="Arial" w:hAnsi="Arial"/>
                <w:sz w:val="13"/>
                <w:szCs w:val="13"/>
                <w:b w:val="1"/>
                <w:bCs w:val="1"/>
                <w:color w:val="auto"/>
                <w:w w:val="89"/>
              </w:rPr>
              <w:t>Business</w:t>
            </w:r>
          </w:p>
        </w:tc>
        <w:tc>
          <w:tcPr>
            <w:tcW w:w="0" w:type="dxa"/>
            <w:vAlign w:val="bottom"/>
          </w:tcPr>
          <w:p>
            <w:pPr>
              <w:spacing w:after="0"/>
              <w:rPr>
                <w:sz w:val="1"/>
                <w:szCs w:val="1"/>
                <w:color w:val="auto"/>
              </w:rPr>
            </w:pPr>
          </w:p>
        </w:tc>
      </w:tr>
      <w:tr>
        <w:trPr>
          <w:trHeight w:val="153"/>
        </w:trPr>
        <w:tc>
          <w:tcPr>
            <w:tcW w:w="2120" w:type="dxa"/>
            <w:vAlign w:val="bottom"/>
          </w:tcPr>
          <w:p>
            <w:pPr>
              <w:spacing w:after="0"/>
              <w:rPr>
                <w:sz w:val="13"/>
                <w:szCs w:val="13"/>
                <w:color w:val="auto"/>
              </w:rPr>
            </w:pPr>
          </w:p>
        </w:tc>
        <w:tc>
          <w:tcPr>
            <w:tcW w:w="1840" w:type="dxa"/>
            <w:vAlign w:val="bottom"/>
          </w:tcPr>
          <w:p>
            <w:pPr>
              <w:jc w:val="center"/>
              <w:ind w:right="148"/>
              <w:spacing w:after="0" w:line="153" w:lineRule="exact"/>
              <w:rPr>
                <w:sz w:val="20"/>
                <w:szCs w:val="20"/>
                <w:color w:val="auto"/>
              </w:rPr>
            </w:pPr>
            <w:r>
              <w:rPr>
                <w:rFonts w:ascii="Arial" w:cs="Arial" w:eastAsia="Arial" w:hAnsi="Arial"/>
                <w:sz w:val="14"/>
                <w:szCs w:val="14"/>
                <w:b w:val="1"/>
                <w:bCs w:val="1"/>
                <w:color w:val="auto"/>
                <w:w w:val="92"/>
              </w:rPr>
              <w:t>outlook (2)</w:t>
            </w:r>
          </w:p>
        </w:tc>
        <w:tc>
          <w:tcPr>
            <w:tcW w:w="1040" w:type="dxa"/>
            <w:vAlign w:val="bottom"/>
          </w:tcPr>
          <w:p>
            <w:pPr>
              <w:jc w:val="center"/>
              <w:ind w:right="29"/>
              <w:spacing w:after="0" w:line="153" w:lineRule="exact"/>
              <w:rPr>
                <w:sz w:val="20"/>
                <w:szCs w:val="20"/>
                <w:color w:val="auto"/>
              </w:rPr>
            </w:pPr>
            <w:r>
              <w:rPr>
                <w:rFonts w:ascii="Arial" w:cs="Arial" w:eastAsia="Arial" w:hAnsi="Arial"/>
                <w:sz w:val="14"/>
                <w:szCs w:val="14"/>
                <w:b w:val="1"/>
                <w:bCs w:val="1"/>
                <w:color w:val="auto"/>
                <w:w w:val="96"/>
              </w:rPr>
              <w:t>deferred</w:t>
            </w:r>
          </w:p>
        </w:tc>
        <w:tc>
          <w:tcPr>
            <w:tcW w:w="1380" w:type="dxa"/>
            <w:vAlign w:val="bottom"/>
          </w:tcPr>
          <w:p>
            <w:pPr>
              <w:jc w:val="center"/>
              <w:ind w:right="9"/>
              <w:spacing w:after="0" w:line="153" w:lineRule="exact"/>
              <w:rPr>
                <w:sz w:val="20"/>
                <w:szCs w:val="20"/>
                <w:color w:val="auto"/>
              </w:rPr>
            </w:pPr>
            <w:r>
              <w:rPr>
                <w:rFonts w:ascii="Arial" w:cs="Arial" w:eastAsia="Arial" w:hAnsi="Arial"/>
                <w:sz w:val="14"/>
                <w:szCs w:val="14"/>
                <w:b w:val="1"/>
                <w:bCs w:val="1"/>
                <w:color w:val="auto"/>
                <w:w w:val="83"/>
              </w:rPr>
              <w:t>based</w:t>
            </w:r>
          </w:p>
        </w:tc>
        <w:tc>
          <w:tcPr>
            <w:tcW w:w="1220" w:type="dxa"/>
            <w:vAlign w:val="bottom"/>
          </w:tcPr>
          <w:p>
            <w:pPr>
              <w:jc w:val="center"/>
              <w:ind w:left="9"/>
              <w:spacing w:after="0" w:line="153" w:lineRule="exact"/>
              <w:rPr>
                <w:sz w:val="20"/>
                <w:szCs w:val="20"/>
                <w:color w:val="auto"/>
              </w:rPr>
            </w:pPr>
            <w:r>
              <w:rPr>
                <w:rFonts w:ascii="Arial" w:cs="Arial" w:eastAsia="Arial" w:hAnsi="Arial"/>
                <w:sz w:val="14"/>
                <w:szCs w:val="14"/>
                <w:b w:val="1"/>
                <w:bCs w:val="1"/>
                <w:color w:val="auto"/>
                <w:w w:val="92"/>
              </w:rPr>
              <w:t>amounts</w:t>
            </w: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related</w:t>
            </w: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&amp;</w:t>
            </w:r>
          </w:p>
        </w:tc>
        <w:tc>
          <w:tcPr>
            <w:tcW w:w="1260" w:type="dxa"/>
            <w:vAlign w:val="bottom"/>
          </w:tcPr>
          <w:p>
            <w:pPr>
              <w:jc w:val="center"/>
              <w:ind w:left="49"/>
              <w:spacing w:after="0" w:line="153" w:lineRule="exact"/>
              <w:rPr>
                <w:sz w:val="20"/>
                <w:szCs w:val="20"/>
                <w:color w:val="auto"/>
              </w:rPr>
            </w:pPr>
            <w:r>
              <w:rPr>
                <w:rFonts w:ascii="Arial" w:cs="Arial" w:eastAsia="Arial" w:hAnsi="Arial"/>
                <w:sz w:val="14"/>
                <w:szCs w:val="14"/>
                <w:b w:val="1"/>
                <w:bCs w:val="1"/>
                <w:color w:val="auto"/>
                <w:w w:val="93"/>
              </w:rPr>
              <w:t>reorganization</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w w:val="85"/>
              </w:rPr>
              <w:t>net</w:t>
            </w:r>
          </w:p>
        </w:tc>
        <w:tc>
          <w:tcPr>
            <w:tcW w:w="1380" w:type="dxa"/>
            <w:vAlign w:val="bottom"/>
          </w:tcPr>
          <w:p>
            <w:pPr>
              <w:jc w:val="center"/>
              <w:ind w:right="9"/>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2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91"/>
              </w:rPr>
              <w:t>related to</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expenses</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impairment</w:t>
            </w:r>
          </w:p>
        </w:tc>
        <w:tc>
          <w:tcPr>
            <w:tcW w:w="1260" w:type="dxa"/>
            <w:vAlign w:val="bottom"/>
          </w:tcPr>
          <w:p>
            <w:pPr>
              <w:jc w:val="center"/>
              <w:ind w:left="29"/>
              <w:spacing w:after="0" w:line="149"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w w:val="93"/>
              </w:rPr>
              <w:t>revenue</w:t>
            </w:r>
          </w:p>
        </w:tc>
        <w:tc>
          <w:tcPr>
            <w:tcW w:w="1380" w:type="dxa"/>
            <w:vAlign w:val="bottom"/>
          </w:tcPr>
          <w:p>
            <w:pPr>
              <w:jc w:val="center"/>
              <w:ind w:right="9"/>
              <w:spacing w:after="0" w:line="149" w:lineRule="exact"/>
              <w:rPr>
                <w:sz w:val="20"/>
                <w:szCs w:val="20"/>
                <w:color w:val="auto"/>
              </w:rPr>
            </w:pPr>
            <w:r>
              <w:rPr>
                <w:rFonts w:ascii="Arial" w:cs="Arial" w:eastAsia="Arial" w:hAnsi="Arial"/>
                <w:sz w:val="14"/>
                <w:szCs w:val="14"/>
                <w:b w:val="1"/>
                <w:bCs w:val="1"/>
                <w:color w:val="auto"/>
              </w:rPr>
              <w:t>(3)</w:t>
            </w:r>
          </w:p>
        </w:tc>
        <w:tc>
          <w:tcPr>
            <w:tcW w:w="122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1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260" w:type="dxa"/>
            <w:vAlign w:val="bottom"/>
          </w:tcPr>
          <w:p>
            <w:pPr>
              <w:jc w:val="center"/>
              <w:ind w:left="29"/>
              <w:spacing w:after="0" w:line="149" w:lineRule="exact"/>
              <w:rPr>
                <w:sz w:val="20"/>
                <w:szCs w:val="20"/>
                <w:color w:val="auto"/>
              </w:rPr>
            </w:pPr>
            <w:r>
              <w:rPr>
                <w:rFonts w:ascii="Arial" w:cs="Arial" w:eastAsia="Arial" w:hAnsi="Arial"/>
                <w:sz w:val="14"/>
                <w:szCs w:val="14"/>
                <w:b w:val="1"/>
                <w:bCs w:val="1"/>
                <w:color w:val="auto"/>
                <w:w w:val="88"/>
              </w:rPr>
              <w:t>stock-based</w:t>
            </w:r>
          </w:p>
        </w:tc>
        <w:tc>
          <w:tcPr>
            <w:tcW w:w="0" w:type="dxa"/>
            <w:vAlign w:val="bottom"/>
          </w:tcPr>
          <w:p>
            <w:pPr>
              <w:spacing w:after="0"/>
              <w:rPr>
                <w:sz w:val="1"/>
                <w:szCs w:val="1"/>
                <w:color w:val="auto"/>
              </w:rPr>
            </w:pPr>
          </w:p>
        </w:tc>
      </w:tr>
      <w:tr>
        <w:trPr>
          <w:trHeight w:val="186"/>
        </w:trPr>
        <w:tc>
          <w:tcPr>
            <w:tcW w:w="2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40" w:type="dxa"/>
            <w:vAlign w:val="bottom"/>
          </w:tcPr>
          <w:p>
            <w:pPr>
              <w:jc w:val="center"/>
              <w:ind w:right="29"/>
              <w:spacing w:after="0"/>
              <w:rPr>
                <w:sz w:val="20"/>
                <w:szCs w:val="20"/>
                <w:color w:val="auto"/>
              </w:rPr>
            </w:pPr>
            <w:r>
              <w:rPr>
                <w:rFonts w:ascii="Arial" w:cs="Arial" w:eastAsia="Arial" w:hAnsi="Arial"/>
                <w:sz w:val="14"/>
                <w:szCs w:val="14"/>
                <w:b w:val="1"/>
                <w:bCs w:val="1"/>
                <w:color w:val="auto"/>
                <w:w w:val="93"/>
              </w:rPr>
              <w:t>and related</w:t>
            </w:r>
          </w:p>
        </w:tc>
        <w:tc>
          <w:tcPr>
            <w:tcW w:w="1380" w:type="dxa"/>
            <w:vAlign w:val="bottom"/>
          </w:tcPr>
          <w:p>
            <w:pPr>
              <w:spacing w:after="0"/>
              <w:rPr>
                <w:sz w:val="16"/>
                <w:szCs w:val="16"/>
                <w:color w:val="auto"/>
              </w:rPr>
            </w:pPr>
          </w:p>
        </w:tc>
        <w:tc>
          <w:tcPr>
            <w:tcW w:w="1220" w:type="dxa"/>
            <w:vAlign w:val="bottom"/>
          </w:tcPr>
          <w:p>
            <w:pPr>
              <w:jc w:val="center"/>
              <w:ind w:left="29"/>
              <w:spacing w:after="0"/>
              <w:rPr>
                <w:sz w:val="20"/>
                <w:szCs w:val="20"/>
                <w:color w:val="auto"/>
              </w:rPr>
            </w:pPr>
            <w:r>
              <w:rPr>
                <w:rFonts w:ascii="Arial" w:cs="Arial" w:eastAsia="Arial" w:hAnsi="Arial"/>
                <w:sz w:val="14"/>
                <w:szCs w:val="14"/>
                <w:b w:val="1"/>
                <w:bCs w:val="1"/>
                <w:color w:val="auto"/>
                <w:w w:val="85"/>
              </w:rPr>
              <w:t>notes</w:t>
            </w:r>
          </w:p>
        </w:tc>
        <w:tc>
          <w:tcPr>
            <w:tcW w:w="114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260" w:type="dxa"/>
            <w:vAlign w:val="bottom"/>
          </w:tcPr>
          <w:p>
            <w:pPr>
              <w:jc w:val="center"/>
              <w:ind w:left="29"/>
              <w:spacing w:after="0"/>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bl>
    <w:p>
      <w:pPr>
        <w:sectPr>
          <w:pgSz w:w="11900" w:h="16899" w:orient="portrait"/>
          <w:cols w:equalWidth="0" w:num="1">
            <w:col w:w="11420"/>
          </w:cols>
          <w:pgMar w:left="240" w:top="125"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cost of</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intangible</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goods sold</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1,803 to $1,853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187</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goods sold</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905 to $934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(30)</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776 to $786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(93)</w:t>
            </w: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(27)</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b w:val="1"/>
                <w:bCs w:val="1"/>
                <w:color w:val="auto"/>
                <w:w w:val="98"/>
              </w:rPr>
              <w:t>Interest and other, net</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Income before income</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taxes</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123 to $133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176</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123</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44</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20" w:right="260" w:hanging="323"/>
        <w:spacing w:after="0" w:line="253" w:lineRule="auto"/>
        <w:tabs>
          <w:tab w:leader="none" w:pos="7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fiscal fourth quarter ending March 31, 2018, the Company’s fully diluted share count used for both GAAP and management reporting purposes is expected to be 118.8 million, which includes 114.0 million basic shares, 4.1 million shares representing the potential dilution from unvested employee stock grants, and 0.7 million shares representing the potential dilution from convertible notes. For management reporting purposes, the interest expense, net of tax, on the convertible notes, which is added back to net income to calculate diluted net income per share is $0.03 million.</w:t>
      </w:r>
    </w:p>
    <w:p>
      <w:pPr>
        <w:spacing w:after="0" w:line="3" w:lineRule="exact"/>
        <w:rPr>
          <w:rFonts w:ascii="Arial" w:cs="Arial" w:eastAsia="Arial" w:hAnsi="Arial"/>
          <w:sz w:val="18"/>
          <w:szCs w:val="18"/>
          <w:color w:val="auto"/>
        </w:rPr>
      </w:pPr>
    </w:p>
    <w:p>
      <w:pPr>
        <w:ind w:left="720" w:right="60" w:hanging="323"/>
        <w:spacing w:after="0" w:line="250" w:lineRule="auto"/>
        <w:tabs>
          <w:tab w:leader="none" w:pos="7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individual components of the financial outlook may not foot to the totals as the Company does not expect actual results for every component to be at the low end or high end of the outlook range simultaneously.</w:t>
      </w:r>
    </w:p>
    <w:p>
      <w:pPr>
        <w:jc w:val="both"/>
        <w:ind w:left="720" w:right="520" w:hanging="323"/>
        <w:spacing w:after="0" w:line="250" w:lineRule="auto"/>
        <w:tabs>
          <w:tab w:leader="none" w:pos="7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stock-based compensation expense for the periods above includes the cost of approximately 0.6 million restricted stock units previously granted to ZelnickMedia that are subject to variable accounting. Actual expense to be recorded in connection with these shares is dependent upon several factors, including future changes in Take-Two’s stock price.</w:t>
      </w:r>
    </w:p>
    <w:p>
      <w:pPr>
        <w:spacing w:after="0" w:line="1" w:lineRule="exact"/>
        <w:rPr>
          <w:rFonts w:ascii="Arial" w:cs="Arial" w:eastAsia="Arial" w:hAnsi="Arial"/>
          <w:sz w:val="18"/>
          <w:szCs w:val="18"/>
          <w:color w:val="auto"/>
        </w:rPr>
      </w:pPr>
    </w:p>
    <w:p>
      <w:pPr>
        <w:ind w:left="720" w:right="20" w:hanging="323"/>
        <w:spacing w:after="0" w:line="281" w:lineRule="auto"/>
        <w:tabs>
          <w:tab w:leader="none" w:pos="727"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 the fiscal year ending March 31, 2018, the Company’s fully diluted share count used for management reporting purposes is expected to be 118.0 million, which includes 110.1 million basic shares, 3.1 million shares representing the potential dilution from unvested employee stock grants, and 4.8 million shares representing the potential dilution from convertible notes. The interest expense, net of tax, on the convertible notes, which is added back to net income to calculate diluted net income per share for management reporting purposes is $0.83 million. Take-Two’s GAAP net income per diluted share outlook is calculated using a diluted share count of 113.2 million (basic shares plus unvested employee stock grants ), because using the “if-converted” method and the Company’s fully diluted share count of 118.0 million would have been anti-dilutive.</w:t>
      </w:r>
    </w:p>
    <w:p>
      <w:pPr>
        <w:spacing w:after="0" w:line="4" w:lineRule="exact"/>
        <w:rPr>
          <w:rFonts w:ascii="Arial" w:cs="Arial" w:eastAsia="Arial" w:hAnsi="Arial"/>
          <w:sz w:val="16"/>
          <w:szCs w:val="16"/>
          <w:color w:val="auto"/>
        </w:rPr>
      </w:pPr>
    </w:p>
    <w:p>
      <w:pPr>
        <w:ind w:left="720" w:hanging="323"/>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$2.4 million of stock-based compensation related to business reorganization.</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Key assumptions and dependencies underlying the Company’s financial outlook include: the timely delivery of the titles included in this financial outlook; continued consumer acceptance of Xbox One and PlayStation 4; the ability to develop and publish products that capture market share for these new-generation systems while also leveraging opportunities on Nintendo Switch, Xbox 360, PlayStation 3, PC and mobile platforms; and stable foreign exchange rates. See also “Cautionary Note Regarding Forward Looking Statements”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Releases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titles were released since October 1,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40" w:type="dxa"/>
            <w:vAlign w:val="bottom"/>
          </w:tcPr>
          <w:p>
            <w:pPr>
              <w:spacing w:after="0"/>
              <w:rPr>
                <w:sz w:val="20"/>
                <w:szCs w:val="20"/>
                <w:color w:val="auto"/>
              </w:rPr>
            </w:pPr>
            <w:r>
              <w:rPr>
                <w:rFonts w:ascii="Arial" w:cs="Arial" w:eastAsia="Arial" w:hAnsi="Arial"/>
                <w:sz w:val="14"/>
                <w:szCs w:val="14"/>
                <w:b w:val="1"/>
                <w:bCs w:val="1"/>
                <w:color w:val="auto"/>
              </w:rPr>
              <w:t>Label</w:t>
            </w:r>
          </w:p>
        </w:tc>
        <w:tc>
          <w:tcPr>
            <w:tcW w:w="280" w:type="dxa"/>
            <w:vAlign w:val="bottom"/>
          </w:tcPr>
          <w:p>
            <w:pPr>
              <w:spacing w:after="0"/>
              <w:rPr>
                <w:sz w:val="14"/>
                <w:szCs w:val="14"/>
                <w:color w:val="auto"/>
              </w:rPr>
            </w:pPr>
          </w:p>
        </w:tc>
        <w:tc>
          <w:tcPr>
            <w:tcW w:w="4860" w:type="dxa"/>
            <w:vAlign w:val="bottom"/>
            <w:gridSpan w:val="2"/>
          </w:tcPr>
          <w:p>
            <w:pPr>
              <w:ind w:left="2140"/>
              <w:spacing w:after="0"/>
              <w:rPr>
                <w:sz w:val="20"/>
                <w:szCs w:val="20"/>
                <w:color w:val="auto"/>
              </w:rPr>
            </w:pPr>
            <w:r>
              <w:rPr>
                <w:rFonts w:ascii="Arial" w:cs="Arial" w:eastAsia="Arial" w:hAnsi="Arial"/>
                <w:sz w:val="14"/>
                <w:szCs w:val="14"/>
                <w:b w:val="1"/>
                <w:bCs w:val="1"/>
                <w:color w:val="auto"/>
              </w:rPr>
              <w:t>Title</w:t>
            </w:r>
          </w:p>
        </w:tc>
        <w:tc>
          <w:tcPr>
            <w:tcW w:w="2560" w:type="dxa"/>
            <w:vAlign w:val="bottom"/>
            <w:gridSpan w:val="2"/>
          </w:tcPr>
          <w:p>
            <w:pPr>
              <w:ind w:left="820"/>
              <w:spacing w:after="0"/>
              <w:rPr>
                <w:sz w:val="20"/>
                <w:szCs w:val="20"/>
                <w:color w:val="auto"/>
              </w:rPr>
            </w:pPr>
            <w:r>
              <w:rPr>
                <w:rFonts w:ascii="Arial" w:cs="Arial" w:eastAsia="Arial" w:hAnsi="Arial"/>
                <w:sz w:val="14"/>
                <w:szCs w:val="14"/>
                <w:b w:val="1"/>
                <w:bCs w:val="1"/>
                <w:color w:val="auto"/>
              </w:rPr>
              <w:t>Platforms</w:t>
            </w:r>
          </w:p>
        </w:tc>
        <w:tc>
          <w:tcPr>
            <w:tcW w:w="2280" w:type="dxa"/>
            <w:vAlign w:val="bottom"/>
          </w:tcPr>
          <w:p>
            <w:pPr>
              <w:ind w:left="740"/>
              <w:spacing w:after="0"/>
              <w:rPr>
                <w:sz w:val="20"/>
                <w:szCs w:val="20"/>
                <w:color w:val="auto"/>
              </w:rPr>
            </w:pPr>
            <w:r>
              <w:rPr>
                <w:rFonts w:ascii="Arial" w:cs="Arial" w:eastAsia="Arial" w:hAnsi="Arial"/>
                <w:sz w:val="14"/>
                <w:szCs w:val="14"/>
                <w:b w:val="1"/>
                <w:bCs w:val="1"/>
                <w:color w:val="auto"/>
              </w:rPr>
              <w:t>Release Date</w:t>
            </w:r>
          </w:p>
        </w:tc>
      </w:tr>
      <w:tr>
        <w:trPr>
          <w:trHeight w:val="210"/>
        </w:trPr>
        <w:tc>
          <w:tcPr>
            <w:tcW w:w="1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2K</w:t>
            </w:r>
          </w:p>
        </w:tc>
        <w:tc>
          <w:tcPr>
            <w:tcW w:w="280" w:type="dxa"/>
            <w:vAlign w:val="bottom"/>
            <w:tcBorders>
              <w:top w:val="single" w:sz="8" w:color="CCEEFF"/>
            </w:tcBorders>
            <w:shd w:val="clear" w:color="auto" w:fill="CCEEFF"/>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NHL SuperCard 2K18</w:t>
            </w:r>
          </w:p>
        </w:tc>
        <w:tc>
          <w:tcPr>
            <w:tcW w:w="3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iOS, Android</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4, 2017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2K</w:t>
            </w:r>
          </w:p>
        </w:tc>
        <w:tc>
          <w:tcPr>
            <w:tcW w:w="5140" w:type="dxa"/>
            <w:vAlign w:val="bottom"/>
            <w:gridSpan w:val="3"/>
          </w:tcPr>
          <w:p>
            <w:pPr>
              <w:ind w:left="280"/>
              <w:spacing w:after="0"/>
              <w:rPr>
                <w:sz w:val="20"/>
                <w:szCs w:val="20"/>
                <w:color w:val="auto"/>
              </w:rPr>
            </w:pPr>
            <w:r>
              <w:rPr>
                <w:rFonts w:ascii="Arial" w:cs="Arial" w:eastAsia="Arial" w:hAnsi="Arial"/>
                <w:sz w:val="18"/>
                <w:szCs w:val="18"/>
                <w:i w:val="1"/>
                <w:iCs w:val="1"/>
                <w:color w:val="auto"/>
              </w:rPr>
              <w:t>WWE 2K18</w:t>
            </w:r>
          </w:p>
        </w:tc>
        <w:tc>
          <w:tcPr>
            <w:tcW w:w="2560" w:type="dxa"/>
            <w:vAlign w:val="bottom"/>
            <w:gridSpan w:val="2"/>
          </w:tcPr>
          <w:p>
            <w:pPr>
              <w:spacing w:after="0"/>
              <w:rPr>
                <w:sz w:val="20"/>
                <w:szCs w:val="20"/>
                <w:color w:val="auto"/>
              </w:rPr>
            </w:pPr>
            <w:r>
              <w:rPr>
                <w:rFonts w:ascii="Arial" w:cs="Arial" w:eastAsia="Arial" w:hAnsi="Arial"/>
                <w:sz w:val="18"/>
                <w:szCs w:val="18"/>
                <w:color w:val="auto"/>
              </w:rPr>
              <w:t>PS4, Xbox One</w:t>
            </w:r>
          </w:p>
        </w:tc>
        <w:tc>
          <w:tcPr>
            <w:tcW w:w="2280" w:type="dxa"/>
            <w:vAlign w:val="bottom"/>
          </w:tcPr>
          <w:p>
            <w:pPr>
              <w:spacing w:after="0"/>
              <w:rPr>
                <w:sz w:val="20"/>
                <w:szCs w:val="20"/>
                <w:color w:val="auto"/>
              </w:rPr>
            </w:pPr>
            <w:r>
              <w:rPr>
                <w:rFonts w:ascii="Arial" w:cs="Arial" w:eastAsia="Arial" w:hAnsi="Arial"/>
                <w:sz w:val="18"/>
                <w:szCs w:val="18"/>
                <w:color w:val="auto"/>
              </w:rPr>
              <w:t>October 13, 2017</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2K</w:t>
            </w:r>
          </w:p>
        </w:tc>
        <w:tc>
          <w:tcPr>
            <w:tcW w:w="5140" w:type="dxa"/>
            <w:vAlign w:val="bottom"/>
            <w:gridSpan w:val="3"/>
            <w:shd w:val="clear" w:color="auto" w:fill="CCEEFF"/>
          </w:tcPr>
          <w:p>
            <w:pPr>
              <w:ind w:left="280"/>
              <w:spacing w:after="0"/>
              <w:rPr>
                <w:sz w:val="20"/>
                <w:szCs w:val="20"/>
                <w:color w:val="auto"/>
              </w:rPr>
            </w:pPr>
            <w:r>
              <w:rPr>
                <w:rFonts w:ascii="Arial" w:cs="Arial" w:eastAsia="Arial" w:hAnsi="Arial"/>
                <w:sz w:val="18"/>
                <w:szCs w:val="18"/>
                <w:i w:val="1"/>
                <w:iCs w:val="1"/>
                <w:color w:val="auto"/>
              </w:rPr>
              <w:t>NBA 2K18</w:t>
            </w: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Switch (physical)</w:t>
            </w: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October 17, 2017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2K</w:t>
            </w:r>
          </w:p>
        </w:tc>
        <w:tc>
          <w:tcPr>
            <w:tcW w:w="5140" w:type="dxa"/>
            <w:vAlign w:val="bottom"/>
            <w:gridSpan w:val="3"/>
          </w:tcPr>
          <w:p>
            <w:pPr>
              <w:ind w:left="280"/>
              <w:spacing w:after="0"/>
              <w:rPr>
                <w:sz w:val="20"/>
                <w:szCs w:val="20"/>
                <w:color w:val="auto"/>
              </w:rPr>
            </w:pPr>
            <w:r>
              <w:rPr>
                <w:rFonts w:ascii="Arial" w:cs="Arial" w:eastAsia="Arial" w:hAnsi="Arial"/>
                <w:sz w:val="18"/>
                <w:szCs w:val="18"/>
                <w:i w:val="1"/>
                <w:iCs w:val="1"/>
                <w:color w:val="auto"/>
              </w:rPr>
              <w:t>WWE 2K18</w:t>
            </w:r>
          </w:p>
        </w:tc>
        <w:tc>
          <w:tcPr>
            <w:tcW w:w="2560" w:type="dxa"/>
            <w:vAlign w:val="bottom"/>
            <w:gridSpan w:val="2"/>
          </w:tcPr>
          <w:p>
            <w:pPr>
              <w:spacing w:after="0"/>
              <w:rPr>
                <w:sz w:val="20"/>
                <w:szCs w:val="20"/>
                <w:color w:val="auto"/>
              </w:rPr>
            </w:pPr>
            <w:r>
              <w:rPr>
                <w:rFonts w:ascii="Arial" w:cs="Arial" w:eastAsia="Arial" w:hAnsi="Arial"/>
                <w:sz w:val="18"/>
                <w:szCs w:val="18"/>
                <w:color w:val="auto"/>
              </w:rPr>
              <w:t>PC</w:t>
            </w:r>
          </w:p>
        </w:tc>
        <w:tc>
          <w:tcPr>
            <w:tcW w:w="2280" w:type="dxa"/>
            <w:vAlign w:val="bottom"/>
          </w:tcPr>
          <w:p>
            <w:pPr>
              <w:spacing w:after="0"/>
              <w:rPr>
                <w:sz w:val="20"/>
                <w:szCs w:val="20"/>
                <w:color w:val="auto"/>
              </w:rPr>
            </w:pPr>
            <w:r>
              <w:rPr>
                <w:rFonts w:ascii="Arial" w:cs="Arial" w:eastAsia="Arial" w:hAnsi="Arial"/>
                <w:sz w:val="18"/>
                <w:szCs w:val="18"/>
                <w:color w:val="auto"/>
              </w:rPr>
              <w:t>October 17, 2017</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2K</w:t>
            </w:r>
          </w:p>
        </w:tc>
        <w:tc>
          <w:tcPr>
            <w:tcW w:w="5140" w:type="dxa"/>
            <w:vAlign w:val="bottom"/>
            <w:gridSpan w:val="3"/>
            <w:shd w:val="clear" w:color="auto" w:fill="CCEEFF"/>
          </w:tcPr>
          <w:p>
            <w:pPr>
              <w:ind w:left="280"/>
              <w:spacing w:after="0"/>
              <w:rPr>
                <w:sz w:val="20"/>
                <w:szCs w:val="20"/>
                <w:color w:val="auto"/>
              </w:rPr>
            </w:pPr>
            <w:r>
              <w:rPr>
                <w:rFonts w:ascii="Arial" w:cs="Arial" w:eastAsia="Arial" w:hAnsi="Arial"/>
                <w:sz w:val="18"/>
                <w:szCs w:val="18"/>
                <w:i w:val="1"/>
                <w:iCs w:val="1"/>
                <w:color w:val="auto"/>
              </w:rPr>
              <w:t>WWE 2K18: Accelerator (DLC)</w:t>
            </w: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PS4, Xbox One, PC</w:t>
            </w: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October 17, 2017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2K</w:t>
            </w:r>
          </w:p>
        </w:tc>
        <w:tc>
          <w:tcPr>
            <w:tcW w:w="5140" w:type="dxa"/>
            <w:vAlign w:val="bottom"/>
            <w:gridSpan w:val="3"/>
          </w:tcPr>
          <w:p>
            <w:pPr>
              <w:ind w:left="280"/>
              <w:spacing w:after="0"/>
              <w:rPr>
                <w:sz w:val="20"/>
                <w:szCs w:val="20"/>
                <w:color w:val="auto"/>
              </w:rPr>
            </w:pPr>
            <w:r>
              <w:rPr>
                <w:rFonts w:ascii="Arial" w:cs="Arial" w:eastAsia="Arial" w:hAnsi="Arial"/>
                <w:sz w:val="18"/>
                <w:szCs w:val="18"/>
                <w:i w:val="1"/>
                <w:iCs w:val="1"/>
                <w:color w:val="auto"/>
              </w:rPr>
              <w:t>WWE 2K18: MyPlayer Kickstarter (DLC)</w:t>
            </w:r>
          </w:p>
        </w:tc>
        <w:tc>
          <w:tcPr>
            <w:tcW w:w="2560" w:type="dxa"/>
            <w:vAlign w:val="bottom"/>
            <w:gridSpan w:val="2"/>
          </w:tcPr>
          <w:p>
            <w:pPr>
              <w:spacing w:after="0"/>
              <w:rPr>
                <w:sz w:val="20"/>
                <w:szCs w:val="20"/>
                <w:color w:val="auto"/>
              </w:rPr>
            </w:pPr>
            <w:r>
              <w:rPr>
                <w:rFonts w:ascii="Arial" w:cs="Arial" w:eastAsia="Arial" w:hAnsi="Arial"/>
                <w:sz w:val="18"/>
                <w:szCs w:val="18"/>
                <w:color w:val="auto"/>
              </w:rPr>
              <w:t>PS4, Xbox One, PC</w:t>
            </w:r>
          </w:p>
        </w:tc>
        <w:tc>
          <w:tcPr>
            <w:tcW w:w="2280" w:type="dxa"/>
            <w:vAlign w:val="bottom"/>
          </w:tcPr>
          <w:p>
            <w:pPr>
              <w:spacing w:after="0"/>
              <w:rPr>
                <w:sz w:val="20"/>
                <w:szCs w:val="20"/>
                <w:color w:val="auto"/>
              </w:rPr>
            </w:pPr>
            <w:r>
              <w:rPr>
                <w:rFonts w:ascii="Arial" w:cs="Arial" w:eastAsia="Arial" w:hAnsi="Arial"/>
                <w:sz w:val="18"/>
                <w:szCs w:val="18"/>
                <w:color w:val="auto"/>
              </w:rPr>
              <w:t>October 17, 2017</w:t>
            </w:r>
          </w:p>
        </w:tc>
      </w:tr>
      <w:tr>
        <w:trPr>
          <w:trHeight w:val="202"/>
        </w:trPr>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2K</w:t>
            </w:r>
          </w:p>
        </w:tc>
        <w:tc>
          <w:tcPr>
            <w:tcW w:w="514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i w:val="1"/>
                <w:iCs w:val="1"/>
                <w:color w:val="auto"/>
              </w:rPr>
              <w:t>Sid Meier’s Civilization VI: Khemer &amp; Indonesia</w:t>
            </w:r>
          </w:p>
        </w:tc>
        <w:tc>
          <w:tcPr>
            <w:tcW w:w="2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PC</w:t>
            </w: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October 19, 2017</w:t>
            </w:r>
          </w:p>
        </w:tc>
      </w:tr>
      <w:tr>
        <w:trPr>
          <w:trHeight w:val="230"/>
        </w:trPr>
        <w:tc>
          <w:tcPr>
            <w:tcW w:w="1440" w:type="dxa"/>
            <w:vAlign w:val="bottom"/>
            <w:shd w:val="clear" w:color="auto" w:fill="CCEEFF"/>
          </w:tcPr>
          <w:p>
            <w:pPr>
              <w:spacing w:after="0"/>
              <w:rPr>
                <w:sz w:val="20"/>
                <w:szCs w:val="20"/>
                <w:color w:val="auto"/>
              </w:rPr>
            </w:pPr>
          </w:p>
        </w:tc>
        <w:tc>
          <w:tcPr>
            <w:tcW w:w="5140" w:type="dxa"/>
            <w:vAlign w:val="bottom"/>
            <w:gridSpan w:val="3"/>
            <w:shd w:val="clear" w:color="auto" w:fill="CCEEFF"/>
          </w:tcPr>
          <w:p>
            <w:pPr>
              <w:ind w:left="280"/>
              <w:spacing w:after="0"/>
              <w:rPr>
                <w:sz w:val="20"/>
                <w:szCs w:val="20"/>
                <w:color w:val="auto"/>
              </w:rPr>
            </w:pPr>
            <w:r>
              <w:rPr>
                <w:rFonts w:ascii="Arial" w:cs="Arial" w:eastAsia="Arial" w:hAnsi="Arial"/>
                <w:sz w:val="18"/>
                <w:szCs w:val="18"/>
                <w:i w:val="1"/>
                <w:iCs w:val="1"/>
                <w:color w:val="auto"/>
              </w:rPr>
              <w:t>Civilization/Scenario Pack (DLC)</w:t>
            </w:r>
          </w:p>
        </w:tc>
        <w:tc>
          <w:tcPr>
            <w:tcW w:w="2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Rockstar Games</w:t>
            </w:r>
          </w:p>
        </w:tc>
        <w:tc>
          <w:tcPr>
            <w:tcW w:w="5140" w:type="dxa"/>
            <w:vAlign w:val="bottom"/>
            <w:gridSpan w:val="3"/>
          </w:tcPr>
          <w:p>
            <w:pPr>
              <w:ind w:left="280"/>
              <w:spacing w:after="0"/>
              <w:rPr>
                <w:sz w:val="20"/>
                <w:szCs w:val="20"/>
                <w:color w:val="auto"/>
              </w:rPr>
            </w:pPr>
            <w:r>
              <w:rPr>
                <w:rFonts w:ascii="Arial" w:cs="Arial" w:eastAsia="Arial" w:hAnsi="Arial"/>
                <w:sz w:val="18"/>
                <w:szCs w:val="18"/>
                <w:i w:val="1"/>
                <w:iCs w:val="1"/>
                <w:color w:val="auto"/>
              </w:rPr>
              <w:t>L.A. Noire</w:t>
            </w:r>
          </w:p>
        </w:tc>
        <w:tc>
          <w:tcPr>
            <w:tcW w:w="2560" w:type="dxa"/>
            <w:vAlign w:val="bottom"/>
            <w:gridSpan w:val="2"/>
          </w:tcPr>
          <w:p>
            <w:pPr>
              <w:spacing w:after="0"/>
              <w:rPr>
                <w:sz w:val="20"/>
                <w:szCs w:val="20"/>
                <w:color w:val="auto"/>
              </w:rPr>
            </w:pPr>
            <w:r>
              <w:rPr>
                <w:rFonts w:ascii="Arial" w:cs="Arial" w:eastAsia="Arial" w:hAnsi="Arial"/>
                <w:sz w:val="18"/>
                <w:szCs w:val="18"/>
                <w:color w:val="auto"/>
              </w:rPr>
              <w:t>PS4, Xbox One, Switch</w:t>
            </w:r>
          </w:p>
        </w:tc>
        <w:tc>
          <w:tcPr>
            <w:tcW w:w="2280" w:type="dxa"/>
            <w:vAlign w:val="bottom"/>
          </w:tcPr>
          <w:p>
            <w:pPr>
              <w:spacing w:after="0"/>
              <w:rPr>
                <w:sz w:val="20"/>
                <w:szCs w:val="20"/>
                <w:color w:val="auto"/>
              </w:rPr>
            </w:pPr>
            <w:r>
              <w:rPr>
                <w:rFonts w:ascii="Arial" w:cs="Arial" w:eastAsia="Arial" w:hAnsi="Arial"/>
                <w:sz w:val="18"/>
                <w:szCs w:val="18"/>
                <w:color w:val="auto"/>
              </w:rPr>
              <w:t>November 14, 2017</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2K</w:t>
            </w:r>
          </w:p>
        </w:tc>
        <w:tc>
          <w:tcPr>
            <w:tcW w:w="5140" w:type="dxa"/>
            <w:vAlign w:val="bottom"/>
            <w:gridSpan w:val="3"/>
            <w:shd w:val="clear" w:color="auto" w:fill="CCEEFF"/>
          </w:tcPr>
          <w:p>
            <w:pPr>
              <w:ind w:left="280"/>
              <w:spacing w:after="0" w:line="216" w:lineRule="exact"/>
              <w:rPr>
                <w:sz w:val="20"/>
                <w:szCs w:val="20"/>
                <w:color w:val="auto"/>
              </w:rPr>
            </w:pPr>
            <w:r>
              <w:rPr>
                <w:rFonts w:ascii="Arial" w:cs="Arial" w:eastAsia="Arial" w:hAnsi="Arial"/>
                <w:sz w:val="18"/>
                <w:szCs w:val="18"/>
                <w:i w:val="1"/>
                <w:iCs w:val="1"/>
                <w:color w:val="auto"/>
              </w:rPr>
              <w:t>Bioshock 10</w:t>
            </w:r>
            <w:r>
              <w:rPr>
                <w:rFonts w:ascii="Arial" w:cs="Arial" w:eastAsia="Arial" w:hAnsi="Arial"/>
                <w:sz w:val="23"/>
                <w:szCs w:val="23"/>
                <w:i w:val="1"/>
                <w:iCs w:val="1"/>
                <w:color w:val="auto"/>
                <w:vertAlign w:val="superscript"/>
              </w:rPr>
              <w:t>Th</w:t>
            </w:r>
            <w:r>
              <w:rPr>
                <w:rFonts w:ascii="Arial" w:cs="Arial" w:eastAsia="Arial" w:hAnsi="Arial"/>
                <w:sz w:val="18"/>
                <w:szCs w:val="18"/>
                <w:i w:val="1"/>
                <w:iCs w:val="1"/>
                <w:color w:val="auto"/>
              </w:rPr>
              <w:t xml:space="preserve"> Anniversary Collector’s Edition</w:t>
            </w: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PS4, Xbox One</w:t>
            </w: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November 14, 2017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2K</w:t>
            </w:r>
          </w:p>
        </w:tc>
        <w:tc>
          <w:tcPr>
            <w:tcW w:w="5140" w:type="dxa"/>
            <w:vAlign w:val="bottom"/>
            <w:gridSpan w:val="3"/>
          </w:tcPr>
          <w:p>
            <w:pPr>
              <w:ind w:left="280"/>
              <w:spacing w:after="0"/>
              <w:rPr>
                <w:sz w:val="20"/>
                <w:szCs w:val="20"/>
                <w:color w:val="auto"/>
              </w:rPr>
            </w:pPr>
            <w:r>
              <w:rPr>
                <w:rFonts w:ascii="Arial" w:cs="Arial" w:eastAsia="Arial" w:hAnsi="Arial"/>
                <w:sz w:val="18"/>
                <w:szCs w:val="18"/>
                <w:i w:val="1"/>
                <w:iCs w:val="1"/>
                <w:color w:val="auto"/>
              </w:rPr>
              <w:t>Carnival Games VR: Alley Adventure (DLC)</w:t>
            </w:r>
          </w:p>
        </w:tc>
        <w:tc>
          <w:tcPr>
            <w:tcW w:w="2560" w:type="dxa"/>
            <w:vAlign w:val="bottom"/>
            <w:gridSpan w:val="2"/>
          </w:tcPr>
          <w:p>
            <w:pPr>
              <w:spacing w:after="0"/>
              <w:rPr>
                <w:sz w:val="20"/>
                <w:szCs w:val="20"/>
                <w:color w:val="auto"/>
              </w:rPr>
            </w:pPr>
            <w:r>
              <w:rPr>
                <w:rFonts w:ascii="Arial" w:cs="Arial" w:eastAsia="Arial" w:hAnsi="Arial"/>
                <w:sz w:val="18"/>
                <w:szCs w:val="18"/>
                <w:color w:val="auto"/>
              </w:rPr>
              <w:t>PSVR, HTC Vive, Oculus Rift</w:t>
            </w:r>
          </w:p>
        </w:tc>
        <w:tc>
          <w:tcPr>
            <w:tcW w:w="2280" w:type="dxa"/>
            <w:vAlign w:val="bottom"/>
          </w:tcPr>
          <w:p>
            <w:pPr>
              <w:spacing w:after="0"/>
              <w:rPr>
                <w:sz w:val="20"/>
                <w:szCs w:val="20"/>
                <w:color w:val="auto"/>
              </w:rPr>
            </w:pPr>
            <w:r>
              <w:rPr>
                <w:rFonts w:ascii="Arial" w:cs="Arial" w:eastAsia="Arial" w:hAnsi="Arial"/>
                <w:sz w:val="18"/>
                <w:szCs w:val="18"/>
                <w:color w:val="auto"/>
              </w:rPr>
              <w:t>November 14, 2017</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2K</w:t>
            </w:r>
          </w:p>
        </w:tc>
        <w:tc>
          <w:tcPr>
            <w:tcW w:w="5140" w:type="dxa"/>
            <w:vAlign w:val="bottom"/>
            <w:gridSpan w:val="3"/>
            <w:shd w:val="clear" w:color="auto" w:fill="CCEEFF"/>
          </w:tcPr>
          <w:p>
            <w:pPr>
              <w:ind w:left="280"/>
              <w:spacing w:after="0"/>
              <w:rPr>
                <w:sz w:val="20"/>
                <w:szCs w:val="20"/>
                <w:color w:val="auto"/>
              </w:rPr>
            </w:pPr>
            <w:r>
              <w:rPr>
                <w:rFonts w:ascii="Arial" w:cs="Arial" w:eastAsia="Arial" w:hAnsi="Arial"/>
                <w:sz w:val="18"/>
                <w:szCs w:val="18"/>
                <w:i w:val="1"/>
                <w:iCs w:val="1"/>
                <w:color w:val="auto"/>
              </w:rPr>
              <w:t>WWE SuperCard Season 4 (update)</w:t>
            </w: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iOS/Android</w:t>
            </w: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November 16, 2017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2K</w:t>
            </w:r>
          </w:p>
        </w:tc>
        <w:tc>
          <w:tcPr>
            <w:tcW w:w="5140" w:type="dxa"/>
            <w:vAlign w:val="bottom"/>
            <w:gridSpan w:val="3"/>
          </w:tcPr>
          <w:p>
            <w:pPr>
              <w:ind w:left="280"/>
              <w:spacing w:after="0"/>
              <w:rPr>
                <w:sz w:val="20"/>
                <w:szCs w:val="20"/>
                <w:color w:val="auto"/>
              </w:rPr>
            </w:pPr>
            <w:r>
              <w:rPr>
                <w:rFonts w:ascii="Arial" w:cs="Arial" w:eastAsia="Arial" w:hAnsi="Arial"/>
                <w:sz w:val="18"/>
                <w:szCs w:val="18"/>
                <w:i w:val="1"/>
                <w:iCs w:val="1"/>
                <w:color w:val="auto"/>
              </w:rPr>
              <w:t>WWE 2K18: NXT Generation Pack (DLC)</w:t>
            </w:r>
          </w:p>
        </w:tc>
        <w:tc>
          <w:tcPr>
            <w:tcW w:w="2560" w:type="dxa"/>
            <w:vAlign w:val="bottom"/>
            <w:gridSpan w:val="2"/>
          </w:tcPr>
          <w:p>
            <w:pPr>
              <w:spacing w:after="0"/>
              <w:rPr>
                <w:sz w:val="20"/>
                <w:szCs w:val="20"/>
                <w:color w:val="auto"/>
              </w:rPr>
            </w:pPr>
            <w:r>
              <w:rPr>
                <w:rFonts w:ascii="Arial" w:cs="Arial" w:eastAsia="Arial" w:hAnsi="Arial"/>
                <w:sz w:val="18"/>
                <w:szCs w:val="18"/>
                <w:color w:val="auto"/>
              </w:rPr>
              <w:t>PS4, Xbox One, PC</w:t>
            </w:r>
          </w:p>
        </w:tc>
        <w:tc>
          <w:tcPr>
            <w:tcW w:w="2280" w:type="dxa"/>
            <w:vAlign w:val="bottom"/>
          </w:tcPr>
          <w:p>
            <w:pPr>
              <w:spacing w:after="0"/>
              <w:rPr>
                <w:sz w:val="20"/>
                <w:szCs w:val="20"/>
                <w:color w:val="auto"/>
              </w:rPr>
            </w:pPr>
            <w:r>
              <w:rPr>
                <w:rFonts w:ascii="Arial" w:cs="Arial" w:eastAsia="Arial" w:hAnsi="Arial"/>
                <w:sz w:val="18"/>
                <w:szCs w:val="18"/>
                <w:color w:val="auto"/>
              </w:rPr>
              <w:t>November 21, 2017</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2K</w:t>
            </w:r>
          </w:p>
        </w:tc>
        <w:tc>
          <w:tcPr>
            <w:tcW w:w="5140" w:type="dxa"/>
            <w:vAlign w:val="bottom"/>
            <w:gridSpan w:val="3"/>
            <w:shd w:val="clear" w:color="auto" w:fill="CCEEFF"/>
          </w:tcPr>
          <w:p>
            <w:pPr>
              <w:ind w:left="280"/>
              <w:spacing w:after="0"/>
              <w:rPr>
                <w:sz w:val="20"/>
                <w:szCs w:val="20"/>
                <w:color w:val="auto"/>
              </w:rPr>
            </w:pPr>
            <w:r>
              <w:rPr>
                <w:rFonts w:ascii="Arial" w:cs="Arial" w:eastAsia="Arial" w:hAnsi="Arial"/>
                <w:sz w:val="18"/>
                <w:szCs w:val="18"/>
                <w:i w:val="1"/>
                <w:iCs w:val="1"/>
                <w:color w:val="auto"/>
              </w:rPr>
              <w:t>WWE 2K18</w:t>
            </w: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Switch</w:t>
            </w: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December 6, 2017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2K</w:t>
            </w:r>
          </w:p>
        </w:tc>
        <w:tc>
          <w:tcPr>
            <w:tcW w:w="5140" w:type="dxa"/>
            <w:vAlign w:val="bottom"/>
            <w:gridSpan w:val="3"/>
          </w:tcPr>
          <w:p>
            <w:pPr>
              <w:ind w:left="280"/>
              <w:spacing w:after="0"/>
              <w:rPr>
                <w:sz w:val="20"/>
                <w:szCs w:val="20"/>
                <w:color w:val="auto"/>
              </w:rPr>
            </w:pPr>
            <w:r>
              <w:rPr>
                <w:rFonts w:ascii="Arial" w:cs="Arial" w:eastAsia="Arial" w:hAnsi="Arial"/>
                <w:sz w:val="18"/>
                <w:szCs w:val="18"/>
                <w:i w:val="1"/>
                <w:iCs w:val="1"/>
                <w:color w:val="auto"/>
              </w:rPr>
              <w:t>WWE 2K18: New Moves Pack (DLC)</w:t>
            </w:r>
          </w:p>
        </w:tc>
        <w:tc>
          <w:tcPr>
            <w:tcW w:w="2560" w:type="dxa"/>
            <w:vAlign w:val="bottom"/>
            <w:gridSpan w:val="2"/>
          </w:tcPr>
          <w:p>
            <w:pPr>
              <w:spacing w:after="0"/>
              <w:rPr>
                <w:sz w:val="20"/>
                <w:szCs w:val="20"/>
                <w:color w:val="auto"/>
              </w:rPr>
            </w:pPr>
            <w:r>
              <w:rPr>
                <w:rFonts w:ascii="Arial" w:cs="Arial" w:eastAsia="Arial" w:hAnsi="Arial"/>
                <w:sz w:val="18"/>
                <w:szCs w:val="18"/>
                <w:color w:val="auto"/>
              </w:rPr>
              <w:t>PS4, Xbox One, PC</w:t>
            </w:r>
          </w:p>
        </w:tc>
        <w:tc>
          <w:tcPr>
            <w:tcW w:w="2280" w:type="dxa"/>
            <w:vAlign w:val="bottom"/>
          </w:tcPr>
          <w:p>
            <w:pPr>
              <w:spacing w:after="0"/>
              <w:rPr>
                <w:sz w:val="20"/>
                <w:szCs w:val="20"/>
                <w:color w:val="auto"/>
              </w:rPr>
            </w:pPr>
            <w:r>
              <w:rPr>
                <w:rFonts w:ascii="Arial" w:cs="Arial" w:eastAsia="Arial" w:hAnsi="Arial"/>
                <w:sz w:val="18"/>
                <w:szCs w:val="18"/>
                <w:color w:val="auto"/>
              </w:rPr>
              <w:t>December 12, 2017</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Rockstar Games</w:t>
            </w:r>
          </w:p>
        </w:tc>
        <w:tc>
          <w:tcPr>
            <w:tcW w:w="5140" w:type="dxa"/>
            <w:vAlign w:val="bottom"/>
            <w:gridSpan w:val="3"/>
            <w:shd w:val="clear" w:color="auto" w:fill="CCEEFF"/>
          </w:tcPr>
          <w:p>
            <w:pPr>
              <w:ind w:left="280"/>
              <w:spacing w:after="0"/>
              <w:rPr>
                <w:sz w:val="20"/>
                <w:szCs w:val="20"/>
                <w:color w:val="auto"/>
              </w:rPr>
            </w:pPr>
            <w:r>
              <w:rPr>
                <w:rFonts w:ascii="Arial" w:cs="Arial" w:eastAsia="Arial" w:hAnsi="Arial"/>
                <w:sz w:val="18"/>
                <w:szCs w:val="18"/>
                <w:i w:val="1"/>
                <w:iCs w:val="1"/>
                <w:color w:val="auto"/>
              </w:rPr>
              <w:t>L.A. Noire</w:t>
            </w: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HTC Vive</w:t>
            </w: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December 15, 2017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Private Division</w:t>
            </w:r>
          </w:p>
        </w:tc>
        <w:tc>
          <w:tcPr>
            <w:tcW w:w="5140" w:type="dxa"/>
            <w:vAlign w:val="bottom"/>
            <w:gridSpan w:val="3"/>
          </w:tcPr>
          <w:p>
            <w:pPr>
              <w:ind w:left="280"/>
              <w:spacing w:after="0"/>
              <w:rPr>
                <w:sz w:val="20"/>
                <w:szCs w:val="20"/>
                <w:color w:val="auto"/>
              </w:rPr>
            </w:pPr>
            <w:r>
              <w:rPr>
                <w:rFonts w:ascii="Arial" w:cs="Arial" w:eastAsia="Arial" w:hAnsi="Arial"/>
                <w:sz w:val="18"/>
                <w:szCs w:val="18"/>
                <w:i w:val="1"/>
                <w:iCs w:val="1"/>
                <w:color w:val="auto"/>
              </w:rPr>
              <w:t>Kerbal Space Program Enhanced Edition</w:t>
            </w:r>
          </w:p>
        </w:tc>
        <w:tc>
          <w:tcPr>
            <w:tcW w:w="2560" w:type="dxa"/>
            <w:vAlign w:val="bottom"/>
            <w:gridSpan w:val="2"/>
          </w:tcPr>
          <w:p>
            <w:pPr>
              <w:spacing w:after="0"/>
              <w:rPr>
                <w:sz w:val="20"/>
                <w:szCs w:val="20"/>
                <w:color w:val="auto"/>
              </w:rPr>
            </w:pPr>
            <w:r>
              <w:rPr>
                <w:rFonts w:ascii="Arial" w:cs="Arial" w:eastAsia="Arial" w:hAnsi="Arial"/>
                <w:sz w:val="18"/>
                <w:szCs w:val="18"/>
                <w:color w:val="auto"/>
              </w:rPr>
              <w:t>PS4, Xbox One</w:t>
            </w:r>
          </w:p>
        </w:tc>
        <w:tc>
          <w:tcPr>
            <w:tcW w:w="2280" w:type="dxa"/>
            <w:vAlign w:val="bottom"/>
          </w:tcPr>
          <w:p>
            <w:pPr>
              <w:spacing w:after="0"/>
              <w:rPr>
                <w:sz w:val="20"/>
                <w:szCs w:val="20"/>
                <w:color w:val="auto"/>
              </w:rPr>
            </w:pPr>
            <w:r>
              <w:rPr>
                <w:rFonts w:ascii="Arial" w:cs="Arial" w:eastAsia="Arial" w:hAnsi="Arial"/>
                <w:sz w:val="18"/>
                <w:szCs w:val="18"/>
                <w:color w:val="auto"/>
              </w:rPr>
              <w:t>January 16, 2018</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2K</w:t>
            </w:r>
          </w:p>
        </w:tc>
        <w:tc>
          <w:tcPr>
            <w:tcW w:w="5140" w:type="dxa"/>
            <w:vAlign w:val="bottom"/>
            <w:gridSpan w:val="3"/>
            <w:shd w:val="clear" w:color="auto" w:fill="CCEEFF"/>
          </w:tcPr>
          <w:p>
            <w:pPr>
              <w:ind w:left="280"/>
              <w:spacing w:after="0"/>
              <w:rPr>
                <w:sz w:val="20"/>
                <w:szCs w:val="20"/>
                <w:color w:val="auto"/>
              </w:rPr>
            </w:pPr>
            <w:r>
              <w:rPr>
                <w:rFonts w:ascii="Arial" w:cs="Arial" w:eastAsia="Arial" w:hAnsi="Arial"/>
                <w:sz w:val="18"/>
                <w:szCs w:val="18"/>
                <w:i w:val="1"/>
                <w:iCs w:val="1"/>
                <w:color w:val="auto"/>
              </w:rPr>
              <w:t>WWE 2K18: Enduring Icons Pack (DLC)</w:t>
            </w: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PS4, Xbox One, PC</w:t>
            </w: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January 16, 2018</w:t>
            </w:r>
          </w:p>
        </w:tc>
      </w:tr>
      <w:tr>
        <w:trPr>
          <w:trHeight w:val="432"/>
        </w:trPr>
        <w:tc>
          <w:tcPr>
            <w:tcW w:w="6580" w:type="dxa"/>
            <w:vAlign w:val="bottom"/>
            <w:gridSpan w:val="4"/>
          </w:tcPr>
          <w:p>
            <w:pPr>
              <w:spacing w:after="0"/>
              <w:rPr>
                <w:sz w:val="20"/>
                <w:szCs w:val="20"/>
                <w:color w:val="auto"/>
              </w:rPr>
            </w:pPr>
            <w:r>
              <w:rPr>
                <w:rFonts w:ascii="Arial" w:cs="Arial" w:eastAsia="Arial" w:hAnsi="Arial"/>
                <w:sz w:val="18"/>
                <w:szCs w:val="18"/>
                <w:color w:val="auto"/>
              </w:rPr>
              <w:t>Take-Two’s lineup of future titles announced to date includes:</w:t>
            </w:r>
          </w:p>
        </w:tc>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65"/>
        </w:trPr>
        <w:tc>
          <w:tcPr>
            <w:tcW w:w="1440" w:type="dxa"/>
            <w:vAlign w:val="bottom"/>
          </w:tcPr>
          <w:p>
            <w:pPr>
              <w:spacing w:after="0"/>
              <w:rPr>
                <w:sz w:val="20"/>
                <w:szCs w:val="20"/>
                <w:color w:val="auto"/>
              </w:rPr>
            </w:pPr>
            <w:r>
              <w:rPr>
                <w:rFonts w:ascii="Arial" w:cs="Arial" w:eastAsia="Arial" w:hAnsi="Arial"/>
                <w:sz w:val="14"/>
                <w:szCs w:val="14"/>
                <w:b w:val="1"/>
                <w:bCs w:val="1"/>
                <w:color w:val="auto"/>
              </w:rPr>
              <w:t>Label</w:t>
            </w:r>
          </w:p>
        </w:tc>
        <w:tc>
          <w:tcPr>
            <w:tcW w:w="280" w:type="dxa"/>
            <w:vAlign w:val="bottom"/>
          </w:tcPr>
          <w:p>
            <w:pPr>
              <w:spacing w:after="0"/>
              <w:rPr>
                <w:sz w:val="24"/>
                <w:szCs w:val="24"/>
                <w:color w:val="auto"/>
              </w:rPr>
            </w:pPr>
          </w:p>
        </w:tc>
        <w:tc>
          <w:tcPr>
            <w:tcW w:w="4860" w:type="dxa"/>
            <w:vAlign w:val="bottom"/>
            <w:gridSpan w:val="2"/>
          </w:tcPr>
          <w:p>
            <w:pPr>
              <w:ind w:left="2140"/>
              <w:spacing w:after="0"/>
              <w:rPr>
                <w:sz w:val="20"/>
                <w:szCs w:val="20"/>
                <w:color w:val="auto"/>
              </w:rPr>
            </w:pPr>
            <w:r>
              <w:rPr>
                <w:rFonts w:ascii="Arial" w:cs="Arial" w:eastAsia="Arial" w:hAnsi="Arial"/>
                <w:sz w:val="14"/>
                <w:szCs w:val="14"/>
                <w:b w:val="1"/>
                <w:bCs w:val="1"/>
                <w:color w:val="auto"/>
              </w:rPr>
              <w:t>Title</w:t>
            </w:r>
          </w:p>
        </w:tc>
        <w:tc>
          <w:tcPr>
            <w:tcW w:w="2560" w:type="dxa"/>
            <w:vAlign w:val="bottom"/>
            <w:gridSpan w:val="2"/>
          </w:tcPr>
          <w:p>
            <w:pPr>
              <w:ind w:left="820"/>
              <w:spacing w:after="0"/>
              <w:rPr>
                <w:sz w:val="20"/>
                <w:szCs w:val="20"/>
                <w:color w:val="auto"/>
              </w:rPr>
            </w:pPr>
            <w:r>
              <w:rPr>
                <w:rFonts w:ascii="Arial" w:cs="Arial" w:eastAsia="Arial" w:hAnsi="Arial"/>
                <w:sz w:val="14"/>
                <w:szCs w:val="14"/>
                <w:b w:val="1"/>
                <w:bCs w:val="1"/>
                <w:color w:val="auto"/>
              </w:rPr>
              <w:t>Platforms</w:t>
            </w:r>
          </w:p>
        </w:tc>
        <w:tc>
          <w:tcPr>
            <w:tcW w:w="2280" w:type="dxa"/>
            <w:vAlign w:val="bottom"/>
          </w:tcPr>
          <w:p>
            <w:pPr>
              <w:ind w:left="740"/>
              <w:spacing w:after="0"/>
              <w:rPr>
                <w:sz w:val="20"/>
                <w:szCs w:val="20"/>
                <w:color w:val="auto"/>
              </w:rPr>
            </w:pPr>
            <w:r>
              <w:rPr>
                <w:rFonts w:ascii="Arial" w:cs="Arial" w:eastAsia="Arial" w:hAnsi="Arial"/>
                <w:sz w:val="14"/>
                <w:szCs w:val="14"/>
                <w:b w:val="1"/>
                <w:bCs w:val="1"/>
                <w:color w:val="auto"/>
              </w:rPr>
              <w:t>Release Date</w:t>
            </w:r>
          </w:p>
        </w:tc>
      </w:tr>
      <w:tr>
        <w:trPr>
          <w:trHeight w:val="210"/>
        </w:trPr>
        <w:tc>
          <w:tcPr>
            <w:tcW w:w="1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2K</w:t>
            </w:r>
          </w:p>
        </w:tc>
        <w:tc>
          <w:tcPr>
            <w:tcW w:w="280" w:type="dxa"/>
            <w:vAlign w:val="bottom"/>
            <w:tcBorders>
              <w:top w:val="single" w:sz="8" w:color="CCEEFF"/>
            </w:tcBorders>
            <w:shd w:val="clear" w:color="auto" w:fill="CCEEFF"/>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Sid Meier’s Civilization VI: Rise and Fall (DLC)</w:t>
            </w:r>
          </w:p>
        </w:tc>
        <w:tc>
          <w:tcPr>
            <w:tcW w:w="3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PC</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8, 2018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Private Division</w:t>
            </w:r>
          </w:p>
        </w:tc>
        <w:tc>
          <w:tcPr>
            <w:tcW w:w="5140" w:type="dxa"/>
            <w:vAlign w:val="bottom"/>
            <w:gridSpan w:val="3"/>
          </w:tcPr>
          <w:p>
            <w:pPr>
              <w:ind w:left="280"/>
              <w:spacing w:after="0"/>
              <w:rPr>
                <w:sz w:val="20"/>
                <w:szCs w:val="20"/>
                <w:color w:val="auto"/>
              </w:rPr>
            </w:pPr>
            <w:r>
              <w:rPr>
                <w:rFonts w:ascii="Arial" w:cs="Arial" w:eastAsia="Arial" w:hAnsi="Arial"/>
                <w:sz w:val="18"/>
                <w:szCs w:val="18"/>
                <w:i w:val="1"/>
                <w:iCs w:val="1"/>
                <w:color w:val="auto"/>
              </w:rPr>
              <w:t>Kerbal Space Program: Making History Expansion</w:t>
            </w:r>
          </w:p>
        </w:tc>
        <w:tc>
          <w:tcPr>
            <w:tcW w:w="2560" w:type="dxa"/>
            <w:vAlign w:val="bottom"/>
            <w:gridSpan w:val="2"/>
          </w:tcPr>
          <w:p>
            <w:pPr>
              <w:spacing w:after="0"/>
              <w:rPr>
                <w:sz w:val="20"/>
                <w:szCs w:val="20"/>
                <w:color w:val="auto"/>
              </w:rPr>
            </w:pPr>
            <w:r>
              <w:rPr>
                <w:rFonts w:ascii="Arial" w:cs="Arial" w:eastAsia="Arial" w:hAnsi="Arial"/>
                <w:sz w:val="18"/>
                <w:szCs w:val="18"/>
                <w:color w:val="auto"/>
              </w:rPr>
              <w:t>PC</w:t>
            </w:r>
          </w:p>
        </w:tc>
        <w:tc>
          <w:tcPr>
            <w:tcW w:w="2280" w:type="dxa"/>
            <w:vAlign w:val="bottom"/>
          </w:tcPr>
          <w:p>
            <w:pPr>
              <w:spacing w:after="0"/>
              <w:rPr>
                <w:sz w:val="20"/>
                <w:szCs w:val="20"/>
                <w:color w:val="auto"/>
              </w:rPr>
            </w:pPr>
            <w:r>
              <w:rPr>
                <w:rFonts w:ascii="Arial" w:cs="Arial" w:eastAsia="Arial" w:hAnsi="Arial"/>
                <w:sz w:val="18"/>
                <w:szCs w:val="18"/>
                <w:color w:val="auto"/>
              </w:rPr>
              <w:t>March 13, 2018</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Rockstar Games</w:t>
            </w:r>
          </w:p>
        </w:tc>
        <w:tc>
          <w:tcPr>
            <w:tcW w:w="5140" w:type="dxa"/>
            <w:vAlign w:val="bottom"/>
            <w:gridSpan w:val="3"/>
            <w:shd w:val="clear" w:color="auto" w:fill="CCEEFF"/>
          </w:tcPr>
          <w:p>
            <w:pPr>
              <w:ind w:left="280"/>
              <w:spacing w:after="0"/>
              <w:rPr>
                <w:sz w:val="20"/>
                <w:szCs w:val="20"/>
                <w:color w:val="auto"/>
              </w:rPr>
            </w:pPr>
            <w:r>
              <w:rPr>
                <w:rFonts w:ascii="Arial" w:cs="Arial" w:eastAsia="Arial" w:hAnsi="Arial"/>
                <w:sz w:val="18"/>
                <w:szCs w:val="18"/>
                <w:i w:val="1"/>
                <w:iCs w:val="1"/>
                <w:color w:val="auto"/>
              </w:rPr>
              <w:t>Red Dead Redemption 2</w:t>
            </w: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PS4, Xbox One</w:t>
            </w: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October 26, 2018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Take-Two will host a conference call today at 4:30 p.m. Eastern Time to review these results and discuss other topics. The call can be accessed by dialing</w:t>
      </w:r>
    </w:p>
    <w:p>
      <w:pPr>
        <w:spacing w:after="0" w:line="46" w:lineRule="exact"/>
        <w:rPr>
          <w:sz w:val="20"/>
          <w:szCs w:val="20"/>
          <w:color w:val="auto"/>
        </w:rPr>
      </w:pPr>
    </w:p>
    <w:p>
      <w:pPr>
        <w:ind w:right="100" w:firstLine="8"/>
        <w:spacing w:after="0" w:line="261" w:lineRule="auto"/>
        <w:tabs>
          <w:tab w:leader="none" w:pos="4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407-0984 or (201) 689-8577. A live listen-only webcast of the call will be available by visiting http://ir.take2games.com and a replay will be available following the call at the same location.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Final Results</w:t>
      </w:r>
    </w:p>
    <w:p>
      <w:pPr>
        <w:sectPr>
          <w:pgSz w:w="11900" w:h="16838" w:orient="portrait"/>
          <w:cols w:equalWidth="0" w:num="1">
            <w:col w:w="11420"/>
          </w:cols>
          <w:pgMar w:left="240" w:top="104" w:right="239" w:bottom="104" w:gutter="0" w:footer="0" w:header="0"/>
        </w:sectPr>
      </w:pPr>
    </w:p>
    <w:bookmarkStart w:id="6" w:name="page7"/>
    <w:bookmarkEnd w:id="6"/>
    <w:p>
      <w:pPr>
        <w:spacing w:after="0" w:line="3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financial results discussed herein are presented on a preliminary basis; final data will be included in Take-Two’s Quarterly Report on Form 10-Q for the period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Take-Two Interactive Software</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Headquartered in New York City, Take-Two Interactive Software, Inc. is a leading developer, publisher and marketer of interactive entertainment for consumers around the globe. The Company develops and publishes products principally through its wholly-owned labels Rockstar Games and 2K, as well as its new Private Division label and Social Point, a leading developer of mobile games. Our products are designed for console systems and personal computers, including smartphones and tablets, and are delivered through physical retail, digital download, online platforms and cloud streaming services. The Company’s common stock is publicly traded on NASDAQ under the symbol TTWO. For more corporate and product information please visit our website at http://www.take2games.com.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All trademarks and copyrights contained herein are the property of their respective 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Note Regarding Forward-Looking Statements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The statements contained herein which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the Company’s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our dependence on key management and product development personnel, our dependence on our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products and our ability to develop other hit titles, the timely release and significant market acceptance of our games, the ability to maintain acceptable pricing levels on our games, and risks associated with international operations. Other important factors and information are contained in the Company’s most recent Annual Report on Form 10-K, including the risks summarized in the section entitled “Risk Factors,” the Company’s most recent Quarterly Report on Form 10-Q, and the Company’s other periodic filings with the SEC, which can be accessed at www.take2games.com. All forward-looking statements are qualified by these cautionary statements and apply only as of the date they are made. The Company undertakes no obligation to update any forward-looking statement, whether as a result of new information, future events or otherwise.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8"/>
              </w:rPr>
              <w:t>Three months ended December 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7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480,840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476,473</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1,342,618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1,208,192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80"/>
              <w:spacing w:after="0"/>
              <w:rPr>
                <w:sz w:val="20"/>
                <w:szCs w:val="20"/>
                <w:color w:val="auto"/>
              </w:rPr>
            </w:pPr>
            <w:r>
              <w:rPr>
                <w:rFonts w:ascii="Arial" w:cs="Arial" w:eastAsia="Arial" w:hAnsi="Arial"/>
                <w:sz w:val="18"/>
                <w:szCs w:val="18"/>
                <w:color w:val="auto"/>
              </w:rPr>
              <w:t>Internal royalties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112,996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103,613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294,749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240,711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Software development costs and royalties</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54,008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109,900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164,419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80"/>
              <w:spacing w:after="0"/>
              <w:rPr>
                <w:sz w:val="20"/>
                <w:szCs w:val="20"/>
                <w:color w:val="auto"/>
              </w:rPr>
            </w:pPr>
            <w:r>
              <w:rPr>
                <w:rFonts w:ascii="Arial" w:cs="Arial" w:eastAsia="Arial" w:hAnsi="Arial"/>
                <w:sz w:val="18"/>
                <w:szCs w:val="18"/>
                <w:color w:val="auto"/>
              </w:rPr>
              <w:t>Product costs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69,492</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70,089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156,124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170,127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Licenses</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31,487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93,808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 of goods sold</w:t>
            </w:r>
          </w:p>
        </w:tc>
        <w:tc>
          <w:tcPr>
            <w:tcW w:w="5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267,983</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311,074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709,100</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708,059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Gross profit</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212,857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165,399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633,518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500,133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79,513</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95,820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208,641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247,141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65,951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52,939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187,378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49,977</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37,589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142,245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7,864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34,490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80"/>
              <w:spacing w:after="0"/>
              <w:rPr>
                <w:sz w:val="20"/>
                <w:szCs w:val="20"/>
                <w:color w:val="auto"/>
              </w:rPr>
            </w:pPr>
            <w:r>
              <w:rPr>
                <w:rFonts w:ascii="Arial" w:cs="Arial" w:eastAsia="Arial" w:hAnsi="Arial"/>
                <w:sz w:val="18"/>
                <w:szCs w:val="18"/>
                <w:color w:val="auto"/>
              </w:rPr>
              <w:t>Business reorganization</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700</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13,012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204,005</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193,808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585,766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520,331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8,852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47,752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net</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(2,403)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Gain on long-term investments, net</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5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12,226</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45,349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(12,914)</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(2,282)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(37,331)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25,140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82,680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780" w:type="dxa"/>
            <w:vAlign w:val="bottom"/>
            <w:gridSpan w:val="2"/>
          </w:tcPr>
          <w:p>
            <w:pPr>
              <w:jc w:val="right"/>
              <w:ind w:right="105"/>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0.22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(0.33)</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0.76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7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0.21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(0.33)</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0.74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Basic</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113,991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90,428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109,010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86,796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117,918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90,428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111,440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Computation of Basic EPS:</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780" w:type="dxa"/>
            <w:vAlign w:val="bottom"/>
            <w:gridSpan w:val="2"/>
          </w:tcPr>
          <w:p>
            <w:pPr>
              <w:jc w:val="right"/>
              <w:ind w:right="105"/>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25,140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(29,842)</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82,680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(31,977)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income allocated to participating securities</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(487)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70" w:orient="portrait"/>
          <w:cols w:equalWidth="0" w:num="1">
            <w:col w:w="11420"/>
          </w:cols>
          <w:pgMar w:left="240" w:top="125"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760" w:type="dxa"/>
            <w:vAlign w:val="bottom"/>
            <w:gridSpan w:val="2"/>
          </w:tcPr>
          <w:p>
            <w:pPr>
              <w:spacing w:after="0"/>
              <w:rPr>
                <w:sz w:val="20"/>
                <w:szCs w:val="20"/>
                <w:color w:val="auto"/>
              </w:rPr>
            </w:pPr>
            <w:r>
              <w:rPr>
                <w:rFonts w:ascii="Arial" w:cs="Arial" w:eastAsia="Arial" w:hAnsi="Arial"/>
                <w:sz w:val="18"/>
                <w:szCs w:val="18"/>
                <w:color w:val="auto"/>
              </w:rPr>
              <w:t>Net loss for basic and diluted EPS calculation</w:t>
            </w:r>
          </w:p>
        </w:tc>
        <w:tc>
          <w:tcPr>
            <w:tcW w:w="680" w:type="dxa"/>
            <w:vAlign w:val="bottom"/>
            <w:gridSpan w:val="2"/>
          </w:tcPr>
          <w:p>
            <w:pPr>
              <w:jc w:val="right"/>
              <w:ind w:right="285"/>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25,078</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(29,842)</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82,193</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(31,977)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Weighted average shares outstanding - basic</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113,991</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90,428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109,010</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86,796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weighted average participating shares outstanding</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(279)</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(278)</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bottom w:val="single" w:sz="8" w:color="CCEEFF"/>
            </w:tcBorders>
          </w:tcPr>
          <w:p>
            <w:pPr>
              <w:ind w:left="580"/>
              <w:spacing w:after="0"/>
              <w:rPr>
                <w:sz w:val="20"/>
                <w:szCs w:val="20"/>
                <w:color w:val="auto"/>
              </w:rPr>
            </w:pPr>
            <w:r>
              <w:rPr>
                <w:rFonts w:ascii="Arial" w:cs="Arial" w:eastAsia="Arial" w:hAnsi="Arial"/>
                <w:sz w:val="18"/>
                <w:szCs w:val="18"/>
                <w:color w:val="auto"/>
                <w:w w:val="95"/>
              </w:rPr>
              <w:t>Weighted average common shares outstanding - basic</w:t>
            </w:r>
          </w:p>
        </w:tc>
        <w:tc>
          <w:tcPr>
            <w:tcW w:w="2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113,712</w:t>
            </w:r>
          </w:p>
        </w:tc>
        <w:tc>
          <w:tcPr>
            <w:tcW w:w="3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90,428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108,732</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86,796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Basic earnings (loss) per share</w:t>
            </w:r>
          </w:p>
        </w:tc>
        <w:tc>
          <w:tcPr>
            <w:tcW w:w="680" w:type="dxa"/>
            <w:vAlign w:val="bottom"/>
            <w:gridSpan w:val="2"/>
          </w:tcPr>
          <w:p>
            <w:pPr>
              <w:jc w:val="right"/>
              <w:ind w:right="285"/>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0.22</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(0.33)</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0.76</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Computation of Diluted EPS: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68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25,140</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(29,842)</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82,680</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Less: net income allocated to participating securities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(59)</w:t>
            </w:r>
          </w:p>
        </w:tc>
        <w:tc>
          <w:tcPr>
            <w:tcW w:w="4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(206)</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income (loss) for diluted EPS calculation</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25,081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82,474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 - basic</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113,712</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90,428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108,732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Add: dilutive effect of common stock equivalents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4,206</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2,708</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weighted average shares outstanding - diluted</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117,918</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90,428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111,440</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86,796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Less: weighted average participating shares outstanding</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(279)</w:t>
            </w:r>
          </w:p>
        </w:tc>
        <w:tc>
          <w:tcPr>
            <w:tcW w:w="4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(278)</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w w:val="94"/>
              </w:rPr>
              <w:t>Weighted average common shares outstanding - diluted</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117,639</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90,428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111,162</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86,796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earnings (loss) per share</w:t>
            </w:r>
          </w:p>
        </w:tc>
        <w:tc>
          <w:tcPr>
            <w:tcW w:w="68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0.21</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(0.33)</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0.74</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47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December 31,</w:t>
            </w:r>
          </w:p>
        </w:tc>
        <w:tc>
          <w:tcPr>
            <w:tcW w:w="22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080" w:type="dxa"/>
            <w:vAlign w:val="bottom"/>
          </w:tcPr>
          <w:p>
            <w:pPr>
              <w:ind w:left="366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774,455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943,396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547,329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374,806</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337,818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Accounts receivable, net of allowances of $67,685 and $66,483 at December 31, 2017 and March 31, 2017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425,931</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30,857</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Software development costs and licenses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39,369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Deferred cost of goods sold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164,112</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127,901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90,865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2,447,724</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2,195,242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Fixed assets, net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96,570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Software development costs and licenses, net of current portion</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586,866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389,728</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359,115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intangibles, net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108,112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53,610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35,325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3,682,610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3,149,154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20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45,998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907,345</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750,875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1,118,774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903,125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2,072,117</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1,685,892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13,838</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251,929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revenue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44,501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151,334</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197,199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2,281,790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2,145,426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Preferred stock, $.01 par value, 5,000 shares authorized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Common stock, $.01 par value, 200,000 shares authorized; 132,581 and 119,813 shares issued and 114,325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1,326</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102,621 outstanding at December 31, 2017 and March 31, 2017, respectively</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1,861,424</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1,452,754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Treasury stock, at cost; 18,256 and 17,192 common shares at December 31, 2017 and March 31, 2017,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(413,524)</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(17,311)</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(99,694)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(31,095)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1,400,820</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1,003,728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3,682,610</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3,149,154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21" w:right="199" w:bottom="0" w:gutter="0" w:footer="0" w:header="0"/>
        </w:sectPr>
      </w:pPr>
    </w:p>
    <w:bookmarkStart w:id="8" w:name="page9"/>
    <w:bookmarkEnd w:id="8"/>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Nine Months Ended 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82,680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(31,977)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and impairment of software development costs and licenses</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62,235</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130,019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23,233</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22,329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and impairment of intellectual property</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26,470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60"/>
              <w:spacing w:after="0"/>
              <w:rPr>
                <w:sz w:val="20"/>
                <w:szCs w:val="20"/>
                <w:color w:val="auto"/>
              </w:rPr>
            </w:pPr>
            <w:r>
              <w:rPr>
                <w:rFonts w:ascii="Arial" w:cs="Arial" w:eastAsia="Arial" w:hAnsi="Arial"/>
                <w:sz w:val="18"/>
                <w:szCs w:val="18"/>
                <w:color w:val="auto"/>
              </w:rPr>
              <w:t>Impairment of in-process research and development</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11,257</w:t>
            </w: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96,111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55,421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60"/>
              <w:spacing w:after="0"/>
              <w:rPr>
                <w:sz w:val="20"/>
                <w:szCs w:val="20"/>
                <w:color w:val="auto"/>
              </w:rPr>
            </w:pPr>
            <w:r>
              <w:rPr>
                <w:rFonts w:ascii="Arial" w:cs="Arial" w:eastAsia="Arial" w:hAnsi="Arial"/>
                <w:sz w:val="18"/>
                <w:szCs w:val="18"/>
                <w:color w:val="auto"/>
              </w:rPr>
              <w:t>Amortization of discount on Convertible Notes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15,424</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17,870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conversions of Convertible Notes</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(4,855)</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60"/>
              <w:spacing w:after="0"/>
              <w:rPr>
                <w:sz w:val="20"/>
                <w:szCs w:val="20"/>
                <w:color w:val="auto"/>
              </w:rPr>
            </w:pPr>
            <w:r>
              <w:rPr>
                <w:rFonts w:ascii="Arial" w:cs="Arial" w:eastAsia="Arial" w:hAnsi="Arial"/>
                <w:sz w:val="18"/>
                <w:szCs w:val="18"/>
                <w:color w:val="auto"/>
              </w:rPr>
              <w:t>Amortization of debt issuance costs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554</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1,078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3,432</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(36,988)</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(17,372)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(206,084)</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(160,095)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(12,976)</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(15,876)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60"/>
              <w:spacing w:after="0"/>
              <w:rPr>
                <w:sz w:val="20"/>
                <w:szCs w:val="20"/>
                <w:color w:val="auto"/>
              </w:rPr>
            </w:pPr>
            <w:r>
              <w:rPr>
                <w:rFonts w:ascii="Arial" w:cs="Arial" w:eastAsia="Arial" w:hAnsi="Arial"/>
                <w:sz w:val="18"/>
                <w:szCs w:val="18"/>
                <w:color w:val="auto"/>
              </w:rPr>
              <w:t>Software development costs and licenses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(186,373)</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(194,422)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(39,133)</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(31,460)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238,590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302,728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cost of goods sold</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(33,578)</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(66,502)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60"/>
              <w:spacing w:after="0"/>
              <w:rPr>
                <w:sz w:val="20"/>
                <w:szCs w:val="20"/>
                <w:color w:val="auto"/>
              </w:rPr>
            </w:pPr>
            <w:r>
              <w:rPr>
                <w:rFonts w:ascii="Arial" w:cs="Arial" w:eastAsia="Arial" w:hAnsi="Arial"/>
                <w:sz w:val="18"/>
                <w:szCs w:val="18"/>
                <w:color w:val="auto"/>
              </w:rPr>
              <w:t>Accounts payable, accrued expenses and other liabilities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164,086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230,067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1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204,085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Change in bank time deposits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10,000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66,841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available-for-sale securities</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172,925</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101,357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Purchases of available-for-sale securities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(282,596)</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(104,357)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fixed assets</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(47,478)</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(14,369)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Proceeds from sale of long-term investments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1,350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long-term investments</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Asset acquisition</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(25,965)</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Business acquisition</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(9,401)</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(used in) provided by investing activities</w:t>
            </w:r>
          </w:p>
        </w:tc>
        <w:tc>
          <w:tcPr>
            <w:tcW w:w="12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(182,515)</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48,187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Excess tax benefit from stock-based compensation</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Tax payment related to net share settlements on restricted stock awards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(94,930)</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(36,734)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common stock</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(110,136)</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used in financing activities</w:t>
            </w:r>
          </w:p>
        </w:tc>
        <w:tc>
          <w:tcPr>
            <w:tcW w:w="12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(205,066)</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(35,235)</w:t>
            </w:r>
          </w:p>
        </w:tc>
        <w:tc>
          <w:tcPr>
            <w:tcW w:w="100" w:type="dxa"/>
            <w:vAlign w:val="bottom"/>
            <w:tcBorders>
              <w:bottom w:val="single" w:sz="8" w:color="CCEEFF"/>
            </w:tcBorders>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Effects of foreign exchange rates on cash and cash equivalents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14,555</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(11,866)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Net change in cash and cash equivalents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(168,941)</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240,688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beginning of year</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943,396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798,742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Cash and cash equivalents, end of period</w:t>
            </w:r>
          </w:p>
        </w:tc>
        <w:tc>
          <w:tcPr>
            <w:tcW w:w="12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774,455</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1,039,430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808080"/>
            </w:tcBorders>
          </w:tcPr>
          <w:p>
            <w:pPr>
              <w:spacing w:after="0"/>
              <w:rPr>
                <w:sz w:val="24"/>
                <w:szCs w:val="24"/>
                <w:color w:val="auto"/>
              </w:rPr>
            </w:pPr>
          </w:p>
        </w:tc>
        <w:tc>
          <w:tcPr>
            <w:tcW w:w="702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ind w:left="20" w:right="4100"/>
        <w:spacing w:after="0" w:line="261" w:lineRule="auto"/>
        <w:rPr>
          <w:sz w:val="20"/>
          <w:szCs w:val="20"/>
          <w:color w:val="auto"/>
        </w:rPr>
      </w:pPr>
      <w:r>
        <w:rPr>
          <w:rFonts w:ascii="Arial" w:cs="Arial" w:eastAsia="Arial" w:hAnsi="Arial"/>
          <w:sz w:val="18"/>
          <w:szCs w:val="18"/>
          <w:b w:val="1"/>
          <w:bCs w:val="1"/>
          <w:color w:val="auto"/>
        </w:rPr>
        <w:t>Net Revenue and Net Bookings by Geographic Region, Distribution Channel, and Platform Mix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3"/>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00" w:type="dxa"/>
            <w:vAlign w:val="bottom"/>
            <w:gridSpan w:val="4"/>
          </w:tcPr>
          <w:p>
            <w:pPr>
              <w:jc w:val="right"/>
              <w:ind w:right="91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3"/>
          </w:tcPr>
          <w:p>
            <w:pPr>
              <w:ind w:left="660"/>
              <w:spacing w:after="0"/>
              <w:rPr>
                <w:sz w:val="20"/>
                <w:szCs w:val="20"/>
                <w:color w:val="auto"/>
              </w:rPr>
            </w:pPr>
            <w:r>
              <w:rPr>
                <w:rFonts w:ascii="Arial" w:cs="Arial" w:eastAsia="Arial" w:hAnsi="Arial"/>
                <w:sz w:val="14"/>
                <w:szCs w:val="14"/>
                <w:b w:val="1"/>
                <w:bCs w:val="1"/>
                <w:color w:val="auto"/>
              </w:rPr>
              <w:t>December 31, 2017</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00" w:type="dxa"/>
            <w:vAlign w:val="bottom"/>
            <w:gridSpan w:val="4"/>
          </w:tcPr>
          <w:p>
            <w:pPr>
              <w:jc w:val="right"/>
              <w:ind w:right="99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w w:val="98"/>
              </w:rPr>
              <w:t>% of Total</w:t>
            </w:r>
          </w:p>
        </w:tc>
        <w:tc>
          <w:tcPr>
            <w:tcW w:w="3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Amount</w:t>
            </w:r>
          </w:p>
        </w:tc>
        <w:tc>
          <w:tcPr>
            <w:tcW w:w="136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revenue by geographic region</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tcPr>
          <w:p>
            <w:pPr>
              <w:ind w:left="500"/>
              <w:spacing w:after="0"/>
              <w:rPr>
                <w:sz w:val="20"/>
                <w:szCs w:val="20"/>
                <w:color w:val="auto"/>
              </w:rPr>
            </w:pPr>
            <w:r>
              <w:rPr>
                <w:rFonts w:ascii="Arial" w:cs="Arial" w:eastAsia="Arial" w:hAnsi="Arial"/>
                <w:sz w:val="18"/>
                <w:szCs w:val="18"/>
                <w:b w:val="1"/>
                <w:bCs w:val="1"/>
                <w:color w:val="auto"/>
              </w:rPr>
              <w:t>262,338</w:t>
            </w:r>
          </w:p>
        </w:tc>
        <w:tc>
          <w:tcPr>
            <w:tcW w:w="104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55%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257,504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218,502</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218,969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Total net revenue</w:t>
            </w: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ind w:left="500"/>
              <w:spacing w:after="0"/>
              <w:rPr>
                <w:sz w:val="20"/>
                <w:szCs w:val="20"/>
                <w:color w:val="auto"/>
              </w:rPr>
            </w:pPr>
            <w:r>
              <w:rPr>
                <w:rFonts w:ascii="Arial" w:cs="Arial" w:eastAsia="Arial" w:hAnsi="Arial"/>
                <w:sz w:val="18"/>
                <w:szCs w:val="18"/>
                <w:b w:val="1"/>
                <w:bCs w:val="1"/>
                <w:color w:val="auto"/>
                <w:w w:val="86"/>
              </w:rPr>
              <w:t>480,840</w:t>
            </w:r>
          </w:p>
        </w:tc>
        <w:tc>
          <w:tcPr>
            <w:tcW w:w="3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100%</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476,473</w:t>
            </w:r>
          </w:p>
        </w:tc>
        <w:tc>
          <w:tcPr>
            <w:tcW w:w="280" w:type="dxa"/>
            <w:vAlign w:val="bottom"/>
            <w:vMerge w:val="continue"/>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0"/>
              <w:spacing w:after="0"/>
              <w:rPr>
                <w:sz w:val="20"/>
                <w:szCs w:val="20"/>
                <w:color w:val="auto"/>
              </w:rPr>
            </w:pPr>
            <w:r>
              <w:rPr>
                <w:rFonts w:ascii="Arial" w:cs="Arial" w:eastAsia="Arial" w:hAnsi="Arial"/>
                <w:sz w:val="18"/>
                <w:szCs w:val="18"/>
                <w:b w:val="1"/>
                <w:bCs w:val="1"/>
                <w:color w:val="auto"/>
              </w:rPr>
              <w:t>Net bookings by geographic region</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381,277</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396,914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980" w:type="dxa"/>
            <w:vAlign w:val="bottom"/>
          </w:tcPr>
          <w:p>
            <w:pPr>
              <w:ind w:left="38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18"/>
                <w:szCs w:val="18"/>
                <w:color w:val="auto"/>
              </w:rPr>
            </w:pPr>
          </w:p>
        </w:tc>
        <w:tc>
          <w:tcPr>
            <w:tcW w:w="1380" w:type="dxa"/>
            <w:vAlign w:val="bottom"/>
            <w:gridSpan w:val="2"/>
          </w:tcPr>
          <w:p>
            <w:pPr>
              <w:ind w:left="500"/>
              <w:spacing w:after="0"/>
              <w:rPr>
                <w:sz w:val="20"/>
                <w:szCs w:val="20"/>
                <w:color w:val="auto"/>
              </w:rPr>
            </w:pPr>
            <w:r>
              <w:rPr>
                <w:rFonts w:ascii="Arial" w:cs="Arial" w:eastAsia="Arial" w:hAnsi="Arial"/>
                <w:sz w:val="18"/>
                <w:szCs w:val="18"/>
                <w:b w:val="1"/>
                <w:bCs w:val="1"/>
                <w:color w:val="auto"/>
              </w:rPr>
              <w:t>272,664</w:t>
            </w:r>
          </w:p>
        </w:tc>
        <w:tc>
          <w:tcPr>
            <w:tcW w:w="104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42%</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347,909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9"/>
        </w:trPr>
        <w:tc>
          <w:tcPr>
            <w:tcW w:w="4980" w:type="dxa"/>
            <w:vAlign w:val="bottom"/>
            <w:tcBorders>
              <w:top w:val="single" w:sz="8" w:color="CCEEFF"/>
            </w:tcBorders>
            <w:shd w:val="clear" w:color="auto" w:fill="CCEEFF"/>
          </w:tcPr>
          <w:p>
            <w:pPr>
              <w:spacing w:after="0" w:line="199" w:lineRule="exact"/>
              <w:rPr>
                <w:sz w:val="20"/>
                <w:szCs w:val="20"/>
                <w:color w:val="auto"/>
              </w:rPr>
            </w:pPr>
            <w:r>
              <w:rPr>
                <w:rFonts w:ascii="Arial" w:cs="Arial" w:eastAsia="Arial" w:hAnsi="Arial"/>
                <w:sz w:val="18"/>
                <w:szCs w:val="18"/>
                <w:color w:val="auto"/>
              </w:rPr>
              <w:t>Total net bookings</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shd w:val="clear" w:color="auto" w:fill="CCEEFF"/>
          </w:tcPr>
          <w:p>
            <w:pPr>
              <w:ind w:left="500"/>
              <w:spacing w:after="0" w:line="199" w:lineRule="exact"/>
              <w:rPr>
                <w:sz w:val="20"/>
                <w:szCs w:val="20"/>
                <w:color w:val="auto"/>
              </w:rPr>
            </w:pPr>
            <w:r>
              <w:rPr>
                <w:rFonts w:ascii="Arial" w:cs="Arial" w:eastAsia="Arial" w:hAnsi="Arial"/>
                <w:sz w:val="18"/>
                <w:szCs w:val="18"/>
                <w:b w:val="1"/>
                <w:bCs w:val="1"/>
                <w:color w:val="auto"/>
                <w:w w:val="86"/>
              </w:rPr>
              <w:t>653,941</w:t>
            </w:r>
          </w:p>
        </w:tc>
        <w:tc>
          <w:tcPr>
            <w:tcW w:w="3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b w:val="1"/>
                <w:bCs w:val="1"/>
                <w:color w:val="auto"/>
                <w:w w:val="99"/>
              </w:rPr>
              <w:t>100</w:t>
            </w:r>
          </w:p>
        </w:tc>
        <w:tc>
          <w:tcPr>
            <w:tcW w:w="280" w:type="dxa"/>
            <w:vAlign w:val="bottom"/>
            <w:tcBorders>
              <w:top w:val="single" w:sz="8" w:color="CCEEFF"/>
            </w:tcBorders>
            <w:shd w:val="clear" w:color="auto" w:fill="CCEEFF"/>
          </w:tcPr>
          <w:p>
            <w:pPr>
              <w:jc w:val="right"/>
              <w:ind w:right="10"/>
              <w:spacing w:after="0" w:line="199" w:lineRule="exact"/>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744,823</w:t>
            </w: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line="199"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ectPr>
          <w:pgSz w:w="11900" w:h="16900" w:orient="portrait"/>
          <w:cols w:equalWidth="0" w:num="1">
            <w:col w:w="11460"/>
          </w:cols>
          <w:pgMar w:left="240" w:top="729" w:right="199" w:bottom="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00" w:type="dxa"/>
            <w:vAlign w:val="bottom"/>
            <w:gridSpan w:val="4"/>
          </w:tcPr>
          <w:p>
            <w:pPr>
              <w:jc w:val="center"/>
              <w:ind w:right="330"/>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00" w:type="dxa"/>
            <w:vAlign w:val="bottom"/>
            <w:gridSpan w:val="4"/>
          </w:tcPr>
          <w:p>
            <w:pPr>
              <w:jc w:val="center"/>
              <w:ind w:right="330"/>
              <w:spacing w:after="0"/>
              <w:rPr>
                <w:sz w:val="20"/>
                <w:szCs w:val="20"/>
                <w:color w:val="auto"/>
              </w:rPr>
            </w:pPr>
            <w:r>
              <w:rPr>
                <w:rFonts w:ascii="Arial" w:cs="Arial" w:eastAsia="Arial" w:hAnsi="Arial"/>
                <w:sz w:val="14"/>
                <w:szCs w:val="14"/>
                <w:b w:val="1"/>
                <w:bCs w:val="1"/>
                <w:color w:val="auto"/>
                <w:w w:val="91"/>
              </w:rPr>
              <w:t>December 31, 2016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w w:val="98"/>
              </w:rPr>
              <w:t>% of Total</w:t>
            </w:r>
          </w:p>
        </w:tc>
        <w:tc>
          <w:tcPr>
            <w:tcW w:w="3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Amount</w:t>
            </w:r>
          </w:p>
        </w:tc>
        <w:tc>
          <w:tcPr>
            <w:tcW w:w="136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 of Total</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Net revenue by distribution channel</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80"/>
              <w:spacing w:after="0"/>
              <w:rPr>
                <w:sz w:val="20"/>
                <w:szCs w:val="20"/>
                <w:color w:val="auto"/>
              </w:rPr>
            </w:pPr>
            <w:r>
              <w:rPr>
                <w:rFonts w:ascii="Arial" w:cs="Arial" w:eastAsia="Arial" w:hAnsi="Arial"/>
                <w:sz w:val="18"/>
                <w:szCs w:val="18"/>
                <w:color w:val="auto"/>
              </w:rPr>
              <w:t>Digital online</w:t>
            </w: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tcPr>
          <w:p>
            <w:pPr>
              <w:ind w:left="500"/>
              <w:spacing w:after="0"/>
              <w:rPr>
                <w:sz w:val="20"/>
                <w:szCs w:val="20"/>
                <w:color w:val="auto"/>
              </w:rPr>
            </w:pPr>
            <w:r>
              <w:rPr>
                <w:rFonts w:ascii="Arial" w:cs="Arial" w:eastAsia="Arial" w:hAnsi="Arial"/>
                <w:sz w:val="18"/>
                <w:szCs w:val="18"/>
                <w:b w:val="1"/>
                <w:bCs w:val="1"/>
                <w:color w:val="auto"/>
              </w:rPr>
              <w:t>258,442</w:t>
            </w:r>
          </w:p>
        </w:tc>
        <w:tc>
          <w:tcPr>
            <w:tcW w:w="104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54%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240,213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Physical retail and other</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222,398</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236,260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Total net revenue</w:t>
            </w: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ind w:left="500"/>
              <w:spacing w:after="0"/>
              <w:rPr>
                <w:sz w:val="20"/>
                <w:szCs w:val="20"/>
                <w:color w:val="auto"/>
              </w:rPr>
            </w:pPr>
            <w:r>
              <w:rPr>
                <w:rFonts w:ascii="Arial" w:cs="Arial" w:eastAsia="Arial" w:hAnsi="Arial"/>
                <w:sz w:val="18"/>
                <w:szCs w:val="18"/>
                <w:b w:val="1"/>
                <w:bCs w:val="1"/>
                <w:color w:val="auto"/>
                <w:w w:val="86"/>
              </w:rPr>
              <w:t>480,840</w:t>
            </w:r>
          </w:p>
        </w:tc>
        <w:tc>
          <w:tcPr>
            <w:tcW w:w="3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100%</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476,473</w:t>
            </w:r>
          </w:p>
        </w:tc>
        <w:tc>
          <w:tcPr>
            <w:tcW w:w="280" w:type="dxa"/>
            <w:vAlign w:val="bottom"/>
            <w:vMerge w:val="continue"/>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b w:val="1"/>
                <w:bCs w:val="1"/>
                <w:color w:val="auto"/>
              </w:rPr>
              <w:t>Net bookings by distribution channel</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Digital online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379,723</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357,435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Physical retail and other</w:t>
            </w:r>
          </w:p>
        </w:tc>
        <w:tc>
          <w:tcPr>
            <w:tcW w:w="260" w:type="dxa"/>
            <w:vAlign w:val="bottom"/>
          </w:tcPr>
          <w:p>
            <w:pPr>
              <w:spacing w:after="0"/>
              <w:rPr>
                <w:sz w:val="18"/>
                <w:szCs w:val="18"/>
                <w:color w:val="auto"/>
              </w:rPr>
            </w:pPr>
          </w:p>
        </w:tc>
        <w:tc>
          <w:tcPr>
            <w:tcW w:w="1380" w:type="dxa"/>
            <w:vAlign w:val="bottom"/>
            <w:gridSpan w:val="2"/>
          </w:tcPr>
          <w:p>
            <w:pPr>
              <w:ind w:left="500"/>
              <w:spacing w:after="0"/>
              <w:rPr>
                <w:sz w:val="20"/>
                <w:szCs w:val="20"/>
                <w:color w:val="auto"/>
              </w:rPr>
            </w:pPr>
            <w:r>
              <w:rPr>
                <w:rFonts w:ascii="Arial" w:cs="Arial" w:eastAsia="Arial" w:hAnsi="Arial"/>
                <w:sz w:val="18"/>
                <w:szCs w:val="18"/>
                <w:b w:val="1"/>
                <w:bCs w:val="1"/>
                <w:color w:val="auto"/>
              </w:rPr>
              <w:t>274,218</w:t>
            </w:r>
          </w:p>
        </w:tc>
        <w:tc>
          <w:tcPr>
            <w:tcW w:w="104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42%</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387,388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bookings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b w:val="1"/>
                <w:bCs w:val="1"/>
                <w:color w:val="auto"/>
                <w:w w:val="86"/>
              </w:rPr>
              <w:t>653,941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100</w:t>
            </w:r>
          </w:p>
        </w:tc>
        <w:tc>
          <w:tcPr>
            <w:tcW w:w="28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744,823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00" w:type="dxa"/>
            <w:vAlign w:val="bottom"/>
            <w:gridSpan w:val="4"/>
          </w:tcPr>
          <w:p>
            <w:pPr>
              <w:jc w:val="center"/>
              <w:ind w:right="330"/>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00" w:type="dxa"/>
            <w:vAlign w:val="bottom"/>
            <w:gridSpan w:val="4"/>
          </w:tcPr>
          <w:p>
            <w:pPr>
              <w:jc w:val="center"/>
              <w:ind w:right="330"/>
              <w:spacing w:after="0"/>
              <w:rPr>
                <w:sz w:val="20"/>
                <w:szCs w:val="20"/>
                <w:color w:val="auto"/>
              </w:rPr>
            </w:pPr>
            <w:r>
              <w:rPr>
                <w:rFonts w:ascii="Arial" w:cs="Arial" w:eastAsia="Arial" w:hAnsi="Arial"/>
                <w:sz w:val="14"/>
                <w:szCs w:val="14"/>
                <w:b w:val="1"/>
                <w:bCs w:val="1"/>
                <w:color w:val="auto"/>
                <w:w w:val="91"/>
              </w:rPr>
              <w:t>December 31, 2016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w w:val="98"/>
              </w:rPr>
              <w:t>% of Total</w:t>
            </w:r>
          </w:p>
        </w:tc>
        <w:tc>
          <w:tcPr>
            <w:tcW w:w="3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Amount</w:t>
            </w:r>
          </w:p>
        </w:tc>
        <w:tc>
          <w:tcPr>
            <w:tcW w:w="136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 of Total</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80" w:type="dxa"/>
            <w:vAlign w:val="bottom"/>
            <w:tcBorders>
              <w:top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b w:val="1"/>
                <w:bCs w:val="1"/>
                <w:color w:val="auto"/>
              </w:rPr>
              <w:t>Net revenue by platform mix</w:t>
            </w: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80"/>
              <w:spacing w:after="0"/>
              <w:rPr>
                <w:sz w:val="20"/>
                <w:szCs w:val="20"/>
                <w:color w:val="auto"/>
              </w:rPr>
            </w:pPr>
            <w:r>
              <w:rPr>
                <w:rFonts w:ascii="Arial" w:cs="Arial" w:eastAsia="Arial" w:hAnsi="Arial"/>
                <w:sz w:val="18"/>
                <w:szCs w:val="18"/>
                <w:color w:val="auto"/>
              </w:rPr>
              <w:t>Console</w:t>
            </w: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tcPr>
          <w:p>
            <w:pPr>
              <w:ind w:left="500"/>
              <w:spacing w:after="0"/>
              <w:rPr>
                <w:sz w:val="20"/>
                <w:szCs w:val="20"/>
                <w:color w:val="auto"/>
              </w:rPr>
            </w:pPr>
            <w:r>
              <w:rPr>
                <w:rFonts w:ascii="Arial" w:cs="Arial" w:eastAsia="Arial" w:hAnsi="Arial"/>
                <w:sz w:val="18"/>
                <w:szCs w:val="18"/>
                <w:b w:val="1"/>
                <w:bCs w:val="1"/>
                <w:color w:val="auto"/>
              </w:rPr>
              <w:t>394,461</w:t>
            </w:r>
          </w:p>
        </w:tc>
        <w:tc>
          <w:tcPr>
            <w:tcW w:w="104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82%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354,220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PC and other</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86,379</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122,253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Total net revenue</w:t>
            </w: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ind w:left="500"/>
              <w:spacing w:after="0"/>
              <w:rPr>
                <w:sz w:val="20"/>
                <w:szCs w:val="20"/>
                <w:color w:val="auto"/>
              </w:rPr>
            </w:pPr>
            <w:r>
              <w:rPr>
                <w:rFonts w:ascii="Arial" w:cs="Arial" w:eastAsia="Arial" w:hAnsi="Arial"/>
                <w:sz w:val="18"/>
                <w:szCs w:val="18"/>
                <w:b w:val="1"/>
                <w:bCs w:val="1"/>
                <w:color w:val="auto"/>
                <w:w w:val="86"/>
              </w:rPr>
              <w:t>480,840</w:t>
            </w:r>
          </w:p>
        </w:tc>
        <w:tc>
          <w:tcPr>
            <w:tcW w:w="3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100%</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476,473</w:t>
            </w:r>
          </w:p>
        </w:tc>
        <w:tc>
          <w:tcPr>
            <w:tcW w:w="280" w:type="dxa"/>
            <w:vAlign w:val="bottom"/>
            <w:vMerge w:val="continue"/>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0"/>
              <w:spacing w:after="0"/>
              <w:rPr>
                <w:sz w:val="20"/>
                <w:szCs w:val="20"/>
                <w:color w:val="auto"/>
              </w:rPr>
            </w:pPr>
            <w:r>
              <w:rPr>
                <w:rFonts w:ascii="Arial" w:cs="Arial" w:eastAsia="Arial" w:hAnsi="Arial"/>
                <w:sz w:val="18"/>
                <w:szCs w:val="18"/>
                <w:b w:val="1"/>
                <w:bCs w:val="1"/>
                <w:color w:val="auto"/>
              </w:rPr>
              <w:t>Net bookings by platform mix</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Console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546,645</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84%</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600,443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80"/>
              <w:spacing w:after="0"/>
              <w:rPr>
                <w:sz w:val="20"/>
                <w:szCs w:val="20"/>
                <w:color w:val="auto"/>
              </w:rPr>
            </w:pPr>
            <w:r>
              <w:rPr>
                <w:rFonts w:ascii="Arial" w:cs="Arial" w:eastAsia="Arial" w:hAnsi="Arial"/>
                <w:sz w:val="18"/>
                <w:szCs w:val="18"/>
                <w:color w:val="auto"/>
              </w:rPr>
              <w:t>PC and other</w:t>
            </w:r>
          </w:p>
        </w:tc>
        <w:tc>
          <w:tcPr>
            <w:tcW w:w="260" w:type="dxa"/>
            <w:vAlign w:val="bottom"/>
          </w:tcPr>
          <w:p>
            <w:pPr>
              <w:spacing w:after="0"/>
              <w:rPr>
                <w:sz w:val="18"/>
                <w:szCs w:val="18"/>
                <w:color w:val="auto"/>
              </w:rPr>
            </w:pPr>
          </w:p>
        </w:tc>
        <w:tc>
          <w:tcPr>
            <w:tcW w:w="1380" w:type="dxa"/>
            <w:vAlign w:val="bottom"/>
            <w:gridSpan w:val="2"/>
          </w:tcPr>
          <w:p>
            <w:pPr>
              <w:ind w:left="500"/>
              <w:spacing w:after="0"/>
              <w:rPr>
                <w:sz w:val="20"/>
                <w:szCs w:val="20"/>
                <w:color w:val="auto"/>
              </w:rPr>
            </w:pPr>
            <w:r>
              <w:rPr>
                <w:rFonts w:ascii="Arial" w:cs="Arial" w:eastAsia="Arial" w:hAnsi="Arial"/>
                <w:sz w:val="18"/>
                <w:szCs w:val="18"/>
                <w:b w:val="1"/>
                <w:bCs w:val="1"/>
                <w:color w:val="auto"/>
              </w:rPr>
              <w:t>107,296</w:t>
            </w:r>
          </w:p>
        </w:tc>
        <w:tc>
          <w:tcPr>
            <w:tcW w:w="104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16%</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144,380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bookings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b w:val="1"/>
                <w:bCs w:val="1"/>
                <w:color w:val="auto"/>
                <w:w w:val="86"/>
              </w:rPr>
              <w:t>653,941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100</w:t>
            </w:r>
          </w:p>
        </w:tc>
        <w:tc>
          <w:tcPr>
            <w:tcW w:w="28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744,823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9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ind w:left="40" w:right="4080"/>
        <w:spacing w:after="0" w:line="261" w:lineRule="auto"/>
        <w:rPr>
          <w:sz w:val="20"/>
          <w:szCs w:val="20"/>
          <w:color w:val="auto"/>
        </w:rPr>
      </w:pPr>
      <w:r>
        <w:rPr>
          <w:rFonts w:ascii="Arial" w:cs="Arial" w:eastAsia="Arial" w:hAnsi="Arial"/>
          <w:sz w:val="18"/>
          <w:szCs w:val="18"/>
          <w:b w:val="1"/>
          <w:bCs w:val="1"/>
          <w:color w:val="auto"/>
        </w:rPr>
        <w:t>Net Revenue and Net Bookings by Geographic Region, Distribution Channel, and Platform Mix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00" w:type="dxa"/>
            <w:vAlign w:val="bottom"/>
            <w:gridSpan w:val="4"/>
          </w:tcPr>
          <w:p>
            <w:pPr>
              <w:jc w:val="center"/>
              <w:ind w:right="330"/>
              <w:spacing w:after="0"/>
              <w:rPr>
                <w:sz w:val="20"/>
                <w:szCs w:val="20"/>
                <w:color w:val="auto"/>
              </w:rPr>
            </w:pPr>
            <w:r>
              <w:rPr>
                <w:rFonts w:ascii="Arial" w:cs="Arial" w:eastAsia="Arial" w:hAnsi="Arial"/>
                <w:sz w:val="14"/>
                <w:szCs w:val="14"/>
                <w:b w:val="1"/>
                <w:bCs w:val="1"/>
                <w:color w:val="auto"/>
                <w:w w:val="94"/>
              </w:rPr>
              <w:t>Nine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00" w:type="dxa"/>
            <w:vAlign w:val="bottom"/>
            <w:gridSpan w:val="4"/>
          </w:tcPr>
          <w:p>
            <w:pPr>
              <w:jc w:val="center"/>
              <w:ind w:right="330"/>
              <w:spacing w:after="0"/>
              <w:rPr>
                <w:sz w:val="20"/>
                <w:szCs w:val="20"/>
                <w:color w:val="auto"/>
              </w:rPr>
            </w:pPr>
            <w:r>
              <w:rPr>
                <w:rFonts w:ascii="Arial" w:cs="Arial" w:eastAsia="Arial" w:hAnsi="Arial"/>
                <w:sz w:val="14"/>
                <w:szCs w:val="14"/>
                <w:b w:val="1"/>
                <w:bCs w:val="1"/>
                <w:color w:val="auto"/>
                <w:w w:val="91"/>
              </w:rPr>
              <w:t>December 31, 2016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w w:val="98"/>
              </w:rPr>
              <w:t>% of Total</w:t>
            </w:r>
          </w:p>
        </w:tc>
        <w:tc>
          <w:tcPr>
            <w:tcW w:w="3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Amount</w:t>
            </w:r>
          </w:p>
        </w:tc>
        <w:tc>
          <w:tcPr>
            <w:tcW w:w="136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 of Total</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Net revenue by geographic region</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796,603</w:t>
            </w:r>
          </w:p>
        </w:tc>
        <w:tc>
          <w:tcPr>
            <w:tcW w:w="104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59%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703,088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546,015</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505,104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Total net revenue</w:t>
            </w: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1,342,618</w:t>
            </w:r>
          </w:p>
        </w:tc>
        <w:tc>
          <w:tcPr>
            <w:tcW w:w="3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100%</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1,208,192</w:t>
            </w:r>
          </w:p>
        </w:tc>
        <w:tc>
          <w:tcPr>
            <w:tcW w:w="2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0"/>
              <w:spacing w:after="0"/>
              <w:rPr>
                <w:sz w:val="20"/>
                <w:szCs w:val="20"/>
                <w:color w:val="auto"/>
              </w:rPr>
            </w:pPr>
            <w:r>
              <w:rPr>
                <w:rFonts w:ascii="Arial" w:cs="Arial" w:eastAsia="Arial" w:hAnsi="Arial"/>
                <w:sz w:val="18"/>
                <w:szCs w:val="18"/>
                <w:b w:val="1"/>
                <w:bCs w:val="1"/>
                <w:color w:val="auto"/>
              </w:rPr>
              <w:t>Net bookings by geographic region</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929,229</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838,123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8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650,005</w:t>
            </w:r>
          </w:p>
        </w:tc>
        <w:tc>
          <w:tcPr>
            <w:tcW w:w="104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41%</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658,696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bookings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1,579,234</w:t>
            </w: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100</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1,496,819</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5"/>
        </w:trPr>
        <w:tc>
          <w:tcPr>
            <w:tcW w:w="4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00" w:type="dxa"/>
            <w:vAlign w:val="bottom"/>
            <w:gridSpan w:val="4"/>
          </w:tcPr>
          <w:p>
            <w:pPr>
              <w:jc w:val="center"/>
              <w:ind w:right="330"/>
              <w:spacing w:after="0"/>
              <w:rPr>
                <w:sz w:val="20"/>
                <w:szCs w:val="20"/>
                <w:color w:val="auto"/>
              </w:rPr>
            </w:pPr>
            <w:r>
              <w:rPr>
                <w:rFonts w:ascii="Arial" w:cs="Arial" w:eastAsia="Arial" w:hAnsi="Arial"/>
                <w:sz w:val="14"/>
                <w:szCs w:val="14"/>
                <w:b w:val="1"/>
                <w:bCs w:val="1"/>
                <w:color w:val="auto"/>
                <w:w w:val="94"/>
              </w:rPr>
              <w:t>Nine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00" w:type="dxa"/>
            <w:vAlign w:val="bottom"/>
            <w:gridSpan w:val="4"/>
          </w:tcPr>
          <w:p>
            <w:pPr>
              <w:jc w:val="center"/>
              <w:ind w:right="330"/>
              <w:spacing w:after="0"/>
              <w:rPr>
                <w:sz w:val="20"/>
                <w:szCs w:val="20"/>
                <w:color w:val="auto"/>
              </w:rPr>
            </w:pPr>
            <w:r>
              <w:rPr>
                <w:rFonts w:ascii="Arial" w:cs="Arial" w:eastAsia="Arial" w:hAnsi="Arial"/>
                <w:sz w:val="14"/>
                <w:szCs w:val="14"/>
                <w:b w:val="1"/>
                <w:bCs w:val="1"/>
                <w:color w:val="auto"/>
                <w:w w:val="91"/>
              </w:rPr>
              <w:t>December 31, 2016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w w:val="98"/>
              </w:rPr>
              <w:t>% of Total</w:t>
            </w:r>
          </w:p>
        </w:tc>
        <w:tc>
          <w:tcPr>
            <w:tcW w:w="3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Amount</w:t>
            </w:r>
          </w:p>
        </w:tc>
        <w:tc>
          <w:tcPr>
            <w:tcW w:w="136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 of Total</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revenue by distribution channel</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Digital online</w:t>
            </w: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829,564</w:t>
            </w:r>
          </w:p>
        </w:tc>
        <w:tc>
          <w:tcPr>
            <w:tcW w:w="104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62%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643,051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Physical retail and other</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513,054</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565,141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Total net revenue</w:t>
            </w: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1,342,618</w:t>
            </w:r>
          </w:p>
        </w:tc>
        <w:tc>
          <w:tcPr>
            <w:tcW w:w="3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100%</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1,208,192</w:t>
            </w:r>
          </w:p>
        </w:tc>
        <w:tc>
          <w:tcPr>
            <w:tcW w:w="2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b w:val="1"/>
                <w:bCs w:val="1"/>
                <w:color w:val="auto"/>
              </w:rPr>
              <w:t>Net bookings by distribution channel</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Digital online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1,016,373</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782,777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Physical retail and other</w:t>
            </w:r>
          </w:p>
        </w:tc>
        <w:tc>
          <w:tcPr>
            <w:tcW w:w="2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562,861</w:t>
            </w:r>
          </w:p>
        </w:tc>
        <w:tc>
          <w:tcPr>
            <w:tcW w:w="104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36%</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714,042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bookings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1,579,234</w:t>
            </w: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100</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1,496,819</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5"/>
        </w:trPr>
        <w:tc>
          <w:tcPr>
            <w:tcW w:w="4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00" w:type="dxa"/>
            <w:vAlign w:val="bottom"/>
            <w:gridSpan w:val="4"/>
          </w:tcPr>
          <w:p>
            <w:pPr>
              <w:jc w:val="center"/>
              <w:ind w:right="330"/>
              <w:spacing w:after="0"/>
              <w:rPr>
                <w:sz w:val="20"/>
                <w:szCs w:val="20"/>
                <w:color w:val="auto"/>
              </w:rPr>
            </w:pPr>
            <w:r>
              <w:rPr>
                <w:rFonts w:ascii="Arial" w:cs="Arial" w:eastAsia="Arial" w:hAnsi="Arial"/>
                <w:sz w:val="14"/>
                <w:szCs w:val="14"/>
                <w:b w:val="1"/>
                <w:bCs w:val="1"/>
                <w:color w:val="auto"/>
                <w:w w:val="94"/>
              </w:rPr>
              <w:t>Nine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00" w:type="dxa"/>
            <w:vAlign w:val="bottom"/>
            <w:gridSpan w:val="4"/>
          </w:tcPr>
          <w:p>
            <w:pPr>
              <w:jc w:val="center"/>
              <w:ind w:right="330"/>
              <w:spacing w:after="0"/>
              <w:rPr>
                <w:sz w:val="20"/>
                <w:szCs w:val="20"/>
                <w:color w:val="auto"/>
              </w:rPr>
            </w:pPr>
            <w:r>
              <w:rPr>
                <w:rFonts w:ascii="Arial" w:cs="Arial" w:eastAsia="Arial" w:hAnsi="Arial"/>
                <w:sz w:val="14"/>
                <w:szCs w:val="14"/>
                <w:b w:val="1"/>
                <w:bCs w:val="1"/>
                <w:color w:val="auto"/>
                <w:w w:val="91"/>
              </w:rPr>
              <w:t>December 31, 2016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w w:val="98"/>
              </w:rPr>
              <w:t>% of Total</w:t>
            </w:r>
          </w:p>
        </w:tc>
        <w:tc>
          <w:tcPr>
            <w:tcW w:w="3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Amount</w:t>
            </w:r>
          </w:p>
        </w:tc>
        <w:tc>
          <w:tcPr>
            <w:tcW w:w="136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 of Total</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80" w:type="dxa"/>
            <w:vAlign w:val="bottom"/>
            <w:tcBorders>
              <w:top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b w:val="1"/>
                <w:bCs w:val="1"/>
                <w:color w:val="auto"/>
              </w:rPr>
              <w:t>Net Revenues by Platform Mix</w:t>
            </w: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Console</w:t>
            </w: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1,099,843</w:t>
            </w:r>
          </w:p>
        </w:tc>
        <w:tc>
          <w:tcPr>
            <w:tcW w:w="104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82%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961,285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PC and other</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242,775</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246,907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Total net revenue</w:t>
            </w: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1,342,618</w:t>
            </w:r>
          </w:p>
        </w:tc>
        <w:tc>
          <w:tcPr>
            <w:tcW w:w="3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100%</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1,208,192</w:t>
            </w:r>
          </w:p>
        </w:tc>
        <w:tc>
          <w:tcPr>
            <w:tcW w:w="2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b w:val="1"/>
                <w:bCs w:val="1"/>
                <w:color w:val="auto"/>
              </w:rPr>
              <w:t>Net bookings by platform mix</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Console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1,298,258</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1,235,671</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PC and other</w:t>
            </w:r>
          </w:p>
        </w:tc>
        <w:tc>
          <w:tcPr>
            <w:tcW w:w="2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280,976</w:t>
            </w:r>
          </w:p>
        </w:tc>
        <w:tc>
          <w:tcPr>
            <w:tcW w:w="104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18%</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261,148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bookings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1,579,234</w:t>
            </w: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100</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1,496,819</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49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74" w:right="199" w:bottom="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ADDITIONAL DATA</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6"/>
          </w:tcPr>
          <w:p>
            <w:pPr>
              <w:jc w:val="center"/>
              <w:ind w:right="260"/>
              <w:spacing w:after="0"/>
              <w:rPr>
                <w:sz w:val="20"/>
                <w:szCs w:val="20"/>
                <w:color w:val="auto"/>
              </w:rPr>
            </w:pPr>
            <w:r>
              <w:rPr>
                <w:rFonts w:ascii="Arial" w:cs="Arial" w:eastAsia="Arial" w:hAnsi="Arial"/>
                <w:sz w:val="11"/>
                <w:szCs w:val="11"/>
                <w:b w:val="1"/>
                <w:bCs w:val="1"/>
                <w:color w:val="auto"/>
                <w:w w:val="84"/>
              </w:rPr>
              <w:t>Cost of Goods Sold-</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jc w:val="center"/>
              <w:ind w:left="44"/>
              <w:spacing w:after="0" w:line="122" w:lineRule="exact"/>
              <w:rPr>
                <w:sz w:val="20"/>
                <w:szCs w:val="20"/>
                <w:color w:val="auto"/>
              </w:rPr>
            </w:pPr>
            <w:r>
              <w:rPr>
                <w:rFonts w:ascii="Arial" w:cs="Arial" w:eastAsia="Arial" w:hAnsi="Arial"/>
                <w:sz w:val="11"/>
                <w:szCs w:val="11"/>
                <w:b w:val="1"/>
                <w:bCs w:val="1"/>
                <w:color w:val="auto"/>
                <w:w w:val="90"/>
              </w:rPr>
              <w:t>Software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gridSpan w:val="7"/>
          </w:tcPr>
          <w:p>
            <w:pPr>
              <w:jc w:val="center"/>
              <w:ind w:right="180"/>
              <w:spacing w:after="0" w:line="122" w:lineRule="exact"/>
              <w:rPr>
                <w:sz w:val="20"/>
                <w:szCs w:val="20"/>
                <w:color w:val="auto"/>
              </w:rPr>
            </w:pPr>
            <w:r>
              <w:rPr>
                <w:rFonts w:ascii="Arial" w:cs="Arial" w:eastAsia="Arial" w:hAnsi="Arial"/>
                <w:sz w:val="11"/>
                <w:szCs w:val="11"/>
                <w:b w:val="1"/>
                <w:bCs w:val="1"/>
                <w:color w:val="auto"/>
                <w:w w:val="84"/>
              </w:rPr>
              <w:t>Cost of Goods Sold-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5"/>
          </w:tcPr>
          <w:p>
            <w:pPr>
              <w:jc w:val="center"/>
              <w:ind w:right="280"/>
              <w:spacing w:after="0" w:line="122" w:lineRule="exact"/>
              <w:rPr>
                <w:sz w:val="20"/>
                <w:szCs w:val="20"/>
                <w:color w:val="auto"/>
              </w:rPr>
            </w:pPr>
            <w:r>
              <w:rPr>
                <w:rFonts w:ascii="Arial" w:cs="Arial" w:eastAsia="Arial" w:hAnsi="Arial"/>
                <w:sz w:val="11"/>
                <w:szCs w:val="11"/>
                <w:b w:val="1"/>
                <w:bCs w:val="1"/>
                <w:color w:val="auto"/>
                <w:w w:val="87"/>
              </w:rPr>
              <w:t>Development Costs</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Cost of Goods Sold-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5"/>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Cost of Goods Sold-</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3"/>
          </w:tcPr>
          <w:p>
            <w:pPr>
              <w:ind w:left="140"/>
              <w:spacing w:after="0" w:line="122" w:lineRule="exact"/>
              <w:rPr>
                <w:sz w:val="20"/>
                <w:szCs w:val="20"/>
                <w:color w:val="auto"/>
              </w:rPr>
            </w:pPr>
            <w:r>
              <w:rPr>
                <w:rFonts w:ascii="Arial" w:cs="Arial" w:eastAsia="Arial" w:hAnsi="Arial"/>
                <w:sz w:val="11"/>
                <w:szCs w:val="11"/>
                <w:b w:val="1"/>
                <w:bCs w:val="1"/>
                <w:color w:val="auto"/>
              </w:rPr>
              <w:t>Selling and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60" w:type="dxa"/>
            <w:vAlign w:val="bottom"/>
            <w:gridSpan w:val="3"/>
          </w:tcPr>
          <w:p>
            <w:pPr>
              <w:spacing w:after="0"/>
              <w:rPr>
                <w:sz w:val="20"/>
                <w:szCs w:val="20"/>
                <w:color w:val="auto"/>
              </w:rPr>
            </w:pPr>
            <w:r>
              <w:rPr>
                <w:rFonts w:ascii="Arial" w:cs="Arial" w:eastAsia="Arial" w:hAnsi="Arial"/>
                <w:sz w:val="11"/>
                <w:szCs w:val="11"/>
                <w:b w:val="1"/>
                <w:bCs w:val="1"/>
                <w:color w:val="auto"/>
              </w:rPr>
              <w:t>Three Months Ended December 31, 2017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6"/>
          </w:tcPr>
          <w:p>
            <w:pPr>
              <w:jc w:val="right"/>
              <w:ind w:right="460"/>
              <w:spacing w:after="0"/>
              <w:rPr>
                <w:sz w:val="20"/>
                <w:szCs w:val="20"/>
                <w:color w:val="auto"/>
              </w:rPr>
            </w:pPr>
            <w:r>
              <w:rPr>
                <w:rFonts w:ascii="Arial" w:cs="Arial" w:eastAsia="Arial" w:hAnsi="Arial"/>
                <w:sz w:val="11"/>
                <w:szCs w:val="11"/>
                <w:b w:val="1"/>
                <w:bCs w:val="1"/>
                <w:color w:val="auto"/>
                <w:w w:val="87"/>
              </w:rPr>
              <w:t>Net Revenues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6"/>
          </w:tcPr>
          <w:p>
            <w:pPr>
              <w:jc w:val="center"/>
              <w:ind w:right="320"/>
              <w:spacing w:after="0"/>
              <w:rPr>
                <w:sz w:val="20"/>
                <w:szCs w:val="20"/>
                <w:color w:val="auto"/>
              </w:rPr>
            </w:pPr>
            <w:r>
              <w:rPr>
                <w:rFonts w:ascii="Arial" w:cs="Arial" w:eastAsia="Arial" w:hAnsi="Arial"/>
                <w:sz w:val="11"/>
                <w:szCs w:val="11"/>
                <w:b w:val="1"/>
                <w:bCs w:val="1"/>
                <w:color w:val="auto"/>
                <w:w w:val="89"/>
              </w:rPr>
              <w:t>Internal Royalties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jc w:val="center"/>
              <w:ind w:left="44"/>
              <w:spacing w:after="0"/>
              <w:rPr>
                <w:sz w:val="20"/>
                <w:szCs w:val="20"/>
                <w:color w:val="auto"/>
              </w:rPr>
            </w:pPr>
            <w:r>
              <w:rPr>
                <w:rFonts w:ascii="Arial" w:cs="Arial" w:eastAsia="Arial" w:hAnsi="Arial"/>
                <w:sz w:val="11"/>
                <w:szCs w:val="11"/>
                <w:b w:val="1"/>
                <w:bCs w:val="1"/>
                <w:color w:val="auto"/>
                <w:w w:val="86"/>
              </w:rPr>
              <w:t>and Royalties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85"/>
              </w:rPr>
              <w:t>Product Costs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jc w:val="center"/>
              <w:ind w:right="480"/>
              <w:spacing w:after="0"/>
              <w:rPr>
                <w:sz w:val="20"/>
                <w:szCs w:val="20"/>
                <w:color w:val="auto"/>
              </w:rPr>
            </w:pPr>
            <w:r>
              <w:rPr>
                <w:rFonts w:ascii="Arial" w:cs="Arial" w:eastAsia="Arial" w:hAnsi="Arial"/>
                <w:sz w:val="11"/>
                <w:szCs w:val="11"/>
                <w:b w:val="1"/>
                <w:bCs w:val="1"/>
                <w:color w:val="auto"/>
                <w:w w:val="80"/>
              </w:rPr>
              <w:t>Licenses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3"/>
          </w:tcPr>
          <w:p>
            <w:pPr>
              <w:ind w:left="140"/>
              <w:spacing w:after="0"/>
              <w:rPr>
                <w:sz w:val="20"/>
                <w:szCs w:val="20"/>
                <w:color w:val="auto"/>
              </w:rPr>
            </w:pPr>
            <w:r>
              <w:rPr>
                <w:rFonts w:ascii="Arial" w:cs="Arial" w:eastAsia="Arial" w:hAnsi="Arial"/>
                <w:sz w:val="11"/>
                <w:szCs w:val="11"/>
                <w:b w:val="1"/>
                <w:bCs w:val="1"/>
                <w:color w:val="auto"/>
              </w:rPr>
              <w:t>Marketing</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7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As reported</w:t>
            </w:r>
          </w:p>
        </w:tc>
        <w:tc>
          <w:tcPr>
            <w:tcW w:w="22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480,840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3"/>
            <w:shd w:val="clear" w:color="auto" w:fill="CCEEFF"/>
          </w:tcPr>
          <w:p>
            <w:pPr>
              <w:ind w:left="480"/>
              <w:spacing w:after="0" w:line="122" w:lineRule="exact"/>
              <w:rPr>
                <w:sz w:val="20"/>
                <w:szCs w:val="20"/>
                <w:color w:val="auto"/>
              </w:rPr>
            </w:pPr>
            <w:r>
              <w:rPr>
                <w:rFonts w:ascii="Arial" w:cs="Arial" w:eastAsia="Arial" w:hAnsi="Arial"/>
                <w:sz w:val="11"/>
                <w:szCs w:val="11"/>
                <w:color w:val="auto"/>
              </w:rPr>
              <w:t>112,996</w:t>
            </w:r>
          </w:p>
        </w:tc>
        <w:tc>
          <w:tcPr>
            <w:tcW w:w="180" w:type="dxa"/>
            <w:vAlign w:val="bottom"/>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w w:val="94"/>
              </w:rPr>
              <w:t>54,008</w:t>
            </w:r>
          </w:p>
        </w:tc>
        <w:tc>
          <w:tcPr>
            <w:tcW w:w="40" w:type="dxa"/>
            <w:vAlign w:val="bottom"/>
            <w:shd w:val="clear" w:color="auto" w:fill="CCEEFF"/>
          </w:tcPr>
          <w:p>
            <w:pPr>
              <w:spacing w:after="0"/>
              <w:rPr>
                <w:sz w:val="10"/>
                <w:szCs w:val="10"/>
                <w:color w:val="auto"/>
              </w:rPr>
            </w:pPr>
          </w:p>
        </w:tc>
        <w:tc>
          <w:tcPr>
            <w:tcW w:w="280" w:type="dxa"/>
            <w:vAlign w:val="bottom"/>
            <w:gridSpan w:val="4"/>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69,492</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160" w:type="dxa"/>
            <w:vAlign w:val="bottom"/>
            <w:gridSpan w:val="5"/>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31,487</w:t>
            </w:r>
          </w:p>
        </w:tc>
        <w:tc>
          <w:tcPr>
            <w:tcW w:w="3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80" w:type="dxa"/>
            <w:vAlign w:val="bottom"/>
            <w:gridSpan w:val="3"/>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79,513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gridSpan w:val="2"/>
          </w:tcPr>
          <w:p>
            <w:pPr>
              <w:ind w:left="160"/>
              <w:spacing w:after="0" w:line="122" w:lineRule="exact"/>
              <w:rPr>
                <w:sz w:val="20"/>
                <w:szCs w:val="20"/>
                <w:color w:val="auto"/>
              </w:rPr>
            </w:pPr>
            <w:r>
              <w:rPr>
                <w:rFonts w:ascii="Arial" w:cs="Arial" w:eastAsia="Arial" w:hAnsi="Arial"/>
                <w:sz w:val="11"/>
                <w:szCs w:val="11"/>
                <w:color w:val="auto"/>
                <w:w w:val="97"/>
              </w:rPr>
              <w:t>Net effect from deferral and related cost of goods sold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173,099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108</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20,576</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5"/>
          </w:tcPr>
          <w:p>
            <w:pPr>
              <w:jc w:val="right"/>
              <w:ind w:right="100"/>
              <w:spacing w:after="0" w:line="122" w:lineRule="exact"/>
              <w:rPr>
                <w:sz w:val="20"/>
                <w:szCs w:val="20"/>
                <w:color w:val="auto"/>
              </w:rPr>
            </w:pPr>
            <w:r>
              <w:rPr>
                <w:rFonts w:ascii="Arial" w:cs="Arial" w:eastAsia="Arial" w:hAnsi="Arial"/>
                <w:sz w:val="11"/>
                <w:szCs w:val="11"/>
                <w:color w:val="auto"/>
              </w:rPr>
              <w:t>16,963</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gridSpan w:val="2"/>
            <w:shd w:val="clear" w:color="auto" w:fill="CCEEFF"/>
          </w:tcPr>
          <w:p>
            <w:pPr>
              <w:ind w:left="160"/>
              <w:spacing w:after="0" w:line="122" w:lineRule="exact"/>
              <w:rPr>
                <w:sz w:val="20"/>
                <w:szCs w:val="20"/>
                <w:color w:val="auto"/>
              </w:rPr>
            </w:pPr>
            <w:r>
              <w:rPr>
                <w:rFonts w:ascii="Arial" w:cs="Arial" w:eastAsia="Arial" w:hAnsi="Arial"/>
                <w:sz w:val="11"/>
                <w:szCs w:val="11"/>
                <w:color w:val="auto"/>
              </w:rPr>
              <w:t>Stock-based compensation</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8,262</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(3,014)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40" w:type="dxa"/>
            <w:vAlign w:val="bottom"/>
            <w:gridSpan w:val="2"/>
          </w:tcPr>
          <w:p>
            <w:pPr>
              <w:ind w:left="160"/>
              <w:spacing w:after="0"/>
              <w:rPr>
                <w:sz w:val="20"/>
                <w:szCs w:val="20"/>
                <w:color w:val="auto"/>
              </w:rPr>
            </w:pPr>
            <w:r>
              <w:rPr>
                <w:rFonts w:ascii="Arial" w:cs="Arial" w:eastAsia="Arial" w:hAnsi="Arial"/>
                <w:sz w:val="11"/>
                <w:szCs w:val="11"/>
                <w:color w:val="auto"/>
              </w:rPr>
              <w:t>Amortization and impairment of acquired intangibles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gridSpan w:val="4"/>
          </w:tcPr>
          <w:p>
            <w:pPr>
              <w:jc w:val="right"/>
              <w:ind w:right="20"/>
              <w:spacing w:after="0"/>
              <w:rPr>
                <w:sz w:val="20"/>
                <w:szCs w:val="20"/>
                <w:color w:val="auto"/>
              </w:rPr>
            </w:pPr>
            <w:r>
              <w:rPr>
                <w:rFonts w:ascii="Arial" w:cs="Arial" w:eastAsia="Arial" w:hAnsi="Arial"/>
                <w:sz w:val="11"/>
                <w:szCs w:val="11"/>
                <w:color w:val="auto"/>
                <w:w w:val="97"/>
              </w:rPr>
              <w:t>(4,912)</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1"/>
                <w:szCs w:val="11"/>
                <w:color w:val="auto"/>
              </w:rPr>
              <w:t>(2,477)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5"/>
          </w:tcPr>
          <w:p>
            <w:pPr>
              <w:jc w:val="right"/>
              <w:ind w:right="400"/>
              <w:spacing w:after="0"/>
              <w:rPr>
                <w:sz w:val="20"/>
                <w:szCs w:val="20"/>
                <w:color w:val="auto"/>
              </w:rPr>
            </w:pPr>
            <w:r>
              <w:rPr>
                <w:rFonts w:ascii="Arial" w:cs="Arial" w:eastAsia="Arial" w:hAnsi="Arial"/>
                <w:sz w:val="11"/>
                <w:szCs w:val="11"/>
                <w:b w:val="1"/>
                <w:bCs w:val="1"/>
                <w:color w:val="auto"/>
              </w:rPr>
              <w:t>General and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6"/>
          </w:tcPr>
          <w:p>
            <w:pPr>
              <w:jc w:val="center"/>
              <w:ind w:right="360"/>
              <w:spacing w:after="0"/>
              <w:rPr>
                <w:sz w:val="20"/>
                <w:szCs w:val="20"/>
                <w:color w:val="auto"/>
              </w:rPr>
            </w:pPr>
            <w:r>
              <w:rPr>
                <w:rFonts w:ascii="Arial" w:cs="Arial" w:eastAsia="Arial" w:hAnsi="Arial"/>
                <w:sz w:val="11"/>
                <w:szCs w:val="11"/>
                <w:b w:val="1"/>
                <w:bCs w:val="1"/>
                <w:color w:val="auto"/>
                <w:w w:val="85"/>
              </w:rPr>
              <w:t>Research and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3"/>
          </w:tcPr>
          <w:p>
            <w:pPr>
              <w:jc w:val="right"/>
              <w:ind w:right="124"/>
              <w:spacing w:after="0"/>
              <w:rPr>
                <w:sz w:val="20"/>
                <w:szCs w:val="20"/>
                <w:color w:val="auto"/>
              </w:rPr>
            </w:pPr>
            <w:r>
              <w:rPr>
                <w:rFonts w:ascii="Arial" w:cs="Arial" w:eastAsia="Arial" w:hAnsi="Arial"/>
                <w:sz w:val="11"/>
                <w:szCs w:val="11"/>
                <w:b w:val="1"/>
                <w:bCs w:val="1"/>
                <w:color w:val="auto"/>
                <w:w w:val="87"/>
              </w:rPr>
              <w:t>Depreciation and</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5"/>
          </w:tcPr>
          <w:p>
            <w:pPr>
              <w:jc w:val="center"/>
              <w:ind w:right="240"/>
              <w:spacing w:after="0"/>
              <w:rPr>
                <w:sz w:val="20"/>
                <w:szCs w:val="20"/>
                <w:color w:val="auto"/>
              </w:rPr>
            </w:pPr>
            <w:r>
              <w:rPr>
                <w:rFonts w:ascii="Arial" w:cs="Arial" w:eastAsia="Arial" w:hAnsi="Arial"/>
                <w:sz w:val="11"/>
                <w:szCs w:val="11"/>
                <w:b w:val="1"/>
                <w:bCs w:val="1"/>
                <w:color w:val="auto"/>
                <w:w w:val="89"/>
              </w:rPr>
              <w:t>Interest and Other,</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760" w:type="dxa"/>
            <w:vAlign w:val="bottom"/>
            <w:gridSpan w:val="3"/>
          </w:tcPr>
          <w:p>
            <w:pPr>
              <w:spacing w:after="0"/>
              <w:rPr>
                <w:sz w:val="20"/>
                <w:szCs w:val="20"/>
                <w:color w:val="auto"/>
              </w:rPr>
            </w:pPr>
            <w:r>
              <w:rPr>
                <w:rFonts w:ascii="Arial" w:cs="Arial" w:eastAsia="Arial" w:hAnsi="Arial"/>
                <w:sz w:val="11"/>
                <w:szCs w:val="11"/>
                <w:b w:val="1"/>
                <w:bCs w:val="1"/>
                <w:color w:val="auto"/>
              </w:rPr>
              <w:t>Three Months Ended December 31, 2017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gridSpan w:val="5"/>
          </w:tcPr>
          <w:p>
            <w:pPr>
              <w:jc w:val="right"/>
              <w:ind w:right="340"/>
              <w:spacing w:after="0"/>
              <w:rPr>
                <w:sz w:val="20"/>
                <w:szCs w:val="20"/>
                <w:color w:val="auto"/>
              </w:rPr>
            </w:pPr>
            <w:r>
              <w:rPr>
                <w:rFonts w:ascii="Arial" w:cs="Arial" w:eastAsia="Arial" w:hAnsi="Arial"/>
                <w:sz w:val="11"/>
                <w:szCs w:val="11"/>
                <w:b w:val="1"/>
                <w:bCs w:val="1"/>
                <w:color w:val="auto"/>
                <w:w w:val="94"/>
              </w:rPr>
              <w:t>Administrative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5"/>
          </w:tcPr>
          <w:p>
            <w:pPr>
              <w:jc w:val="center"/>
              <w:ind w:right="480"/>
              <w:spacing w:after="0"/>
              <w:rPr>
                <w:sz w:val="20"/>
                <w:szCs w:val="20"/>
                <w:color w:val="auto"/>
              </w:rPr>
            </w:pPr>
            <w:r>
              <w:rPr>
                <w:rFonts w:ascii="Arial" w:cs="Arial" w:eastAsia="Arial" w:hAnsi="Arial"/>
                <w:sz w:val="11"/>
                <w:szCs w:val="11"/>
                <w:b w:val="1"/>
                <w:bCs w:val="1"/>
                <w:color w:val="auto"/>
                <w:w w:val="86"/>
              </w:rPr>
              <w:t>Development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3"/>
          </w:tcPr>
          <w:p>
            <w:pPr>
              <w:jc w:val="right"/>
              <w:ind w:right="204"/>
              <w:spacing w:after="0"/>
              <w:rPr>
                <w:sz w:val="20"/>
                <w:szCs w:val="20"/>
                <w:color w:val="auto"/>
              </w:rPr>
            </w:pPr>
            <w:r>
              <w:rPr>
                <w:rFonts w:ascii="Arial" w:cs="Arial" w:eastAsia="Arial" w:hAnsi="Arial"/>
                <w:sz w:val="11"/>
                <w:szCs w:val="11"/>
                <w:b w:val="1"/>
                <w:bCs w:val="1"/>
                <w:color w:val="auto"/>
              </w:rPr>
              <w:t>Amortization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7"/>
          </w:tcPr>
          <w:p>
            <w:pPr>
              <w:jc w:val="right"/>
              <w:ind w:right="260"/>
              <w:spacing w:after="0"/>
              <w:rPr>
                <w:sz w:val="20"/>
                <w:szCs w:val="20"/>
                <w:color w:val="auto"/>
              </w:rPr>
            </w:pPr>
            <w:r>
              <w:rPr>
                <w:rFonts w:ascii="Arial" w:cs="Arial" w:eastAsia="Arial" w:hAnsi="Arial"/>
                <w:sz w:val="11"/>
                <w:szCs w:val="11"/>
                <w:b w:val="1"/>
                <w:bCs w:val="1"/>
                <w:color w:val="auto"/>
                <w:w w:val="85"/>
              </w:rPr>
              <w:t>Business Reorganization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jc w:val="center"/>
              <w:ind w:right="480"/>
              <w:spacing w:after="0"/>
              <w:rPr>
                <w:sz w:val="20"/>
                <w:szCs w:val="20"/>
                <w:color w:val="auto"/>
              </w:rPr>
            </w:pPr>
            <w:r>
              <w:rPr>
                <w:rFonts w:ascii="Arial" w:cs="Arial" w:eastAsia="Arial" w:hAnsi="Arial"/>
                <w:sz w:val="11"/>
                <w:szCs w:val="11"/>
                <w:b w:val="1"/>
                <w:bCs w:val="1"/>
                <w:color w:val="auto"/>
                <w:w w:val="84"/>
              </w:rPr>
              <w:t>net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6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7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As reported</w:t>
            </w:r>
          </w:p>
        </w:tc>
        <w:tc>
          <w:tcPr>
            <w:tcW w:w="3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65,951</w:t>
            </w:r>
          </w:p>
        </w:tc>
        <w:tc>
          <w:tcPr>
            <w:tcW w:w="240" w:type="dxa"/>
            <w:vAlign w:val="bottom"/>
            <w:gridSpan w:val="3"/>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49,977</w:t>
            </w:r>
          </w:p>
        </w:tc>
        <w:tc>
          <w:tcPr>
            <w:tcW w:w="8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8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7,864</w:t>
            </w:r>
          </w:p>
        </w:tc>
        <w:tc>
          <w:tcPr>
            <w:tcW w:w="30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700</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04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3,374</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Stock-based compensation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(16,051)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(2,223)</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gridSpan w:val="2"/>
            <w:shd w:val="clear" w:color="auto" w:fill="CCEEFF"/>
          </w:tcPr>
          <w:p>
            <w:pPr>
              <w:ind w:left="180"/>
              <w:spacing w:after="0" w:line="122" w:lineRule="exact"/>
              <w:rPr>
                <w:sz w:val="20"/>
                <w:szCs w:val="20"/>
                <w:color w:val="auto"/>
              </w:rPr>
            </w:pPr>
            <w:r>
              <w:rPr>
                <w:rFonts w:ascii="Arial" w:cs="Arial" w:eastAsia="Arial" w:hAnsi="Arial"/>
                <w:sz w:val="11"/>
                <w:szCs w:val="11"/>
                <w:color w:val="auto"/>
              </w:rPr>
              <w:t>Non-cash amounts related to Convertible Notes</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795</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Acquisition related expenses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gridSpan w:val="2"/>
            <w:shd w:val="clear" w:color="auto" w:fill="CCEEFF"/>
          </w:tcPr>
          <w:p>
            <w:pPr>
              <w:ind w:left="180"/>
              <w:spacing w:after="0" w:line="122" w:lineRule="exact"/>
              <w:rPr>
                <w:sz w:val="20"/>
                <w:szCs w:val="20"/>
                <w:color w:val="auto"/>
              </w:rPr>
            </w:pPr>
            <w:r>
              <w:rPr>
                <w:rFonts w:ascii="Arial" w:cs="Arial" w:eastAsia="Arial" w:hAnsi="Arial"/>
                <w:sz w:val="11"/>
                <w:szCs w:val="11"/>
                <w:color w:val="auto"/>
              </w:rPr>
              <w:t>Amortization and impairment of acquired intangibles</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(18)</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(1,635)</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0" w:type="dxa"/>
            <w:vAlign w:val="bottom"/>
            <w:gridSpan w:val="4"/>
            <w:shd w:val="clear" w:color="auto" w:fill="CCEEFF"/>
          </w:tcPr>
          <w:p>
            <w:pPr>
              <w:jc w:val="right"/>
              <w:ind w:right="125"/>
              <w:spacing w:after="0" w:line="122" w:lineRule="exact"/>
              <w:rPr>
                <w:sz w:val="20"/>
                <w:szCs w:val="20"/>
                <w:color w:val="auto"/>
              </w:rPr>
            </w:pPr>
            <w:r>
              <w:rPr>
                <w:rFonts w:ascii="Arial" w:cs="Arial" w:eastAsia="Arial" w:hAnsi="Arial"/>
                <w:sz w:val="11"/>
                <w:szCs w:val="11"/>
                <w:color w:val="auto"/>
              </w:rPr>
              <w:t>(128)</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Impact of business reorganization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(700)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gridSpan w:val="2"/>
            <w:shd w:val="clear" w:color="auto" w:fill="CCEEFF"/>
          </w:tcPr>
          <w:p>
            <w:pPr>
              <w:ind w:left="180"/>
              <w:spacing w:after="0" w:line="122" w:lineRule="exact"/>
              <w:rPr>
                <w:sz w:val="20"/>
                <w:szCs w:val="20"/>
                <w:color w:val="auto"/>
              </w:rPr>
            </w:pPr>
            <w:r>
              <w:rPr>
                <w:rFonts w:ascii="Arial" w:cs="Arial" w:eastAsia="Arial" w:hAnsi="Arial"/>
                <w:sz w:val="11"/>
                <w:szCs w:val="11"/>
                <w:color w:val="auto"/>
              </w:rPr>
              <w:t>Other, net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5"/>
          </w:tcPr>
          <w:p>
            <w:pPr>
              <w:jc w:val="center"/>
              <w:ind w:right="20"/>
              <w:spacing w:after="0"/>
              <w:rPr>
                <w:sz w:val="20"/>
                <w:szCs w:val="20"/>
                <w:color w:val="auto"/>
              </w:rPr>
            </w:pPr>
            <w:r>
              <w:rPr>
                <w:rFonts w:ascii="Arial" w:cs="Arial" w:eastAsia="Arial" w:hAnsi="Arial"/>
                <w:sz w:val="11"/>
                <w:szCs w:val="11"/>
                <w:b w:val="1"/>
                <w:bCs w:val="1"/>
                <w:color w:val="auto"/>
                <w:w w:val="86"/>
              </w:rPr>
              <w:t>Cost of Goods Sold-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jc w:val="center"/>
              <w:ind w:left="284"/>
              <w:spacing w:after="0" w:line="122" w:lineRule="exact"/>
              <w:rPr>
                <w:sz w:val="20"/>
                <w:szCs w:val="20"/>
                <w:color w:val="auto"/>
              </w:rPr>
            </w:pPr>
            <w:r>
              <w:rPr>
                <w:rFonts w:ascii="Arial" w:cs="Arial" w:eastAsia="Arial" w:hAnsi="Arial"/>
                <w:sz w:val="11"/>
                <w:szCs w:val="11"/>
                <w:b w:val="1"/>
                <w:bCs w:val="1"/>
                <w:color w:val="auto"/>
                <w:w w:val="90"/>
              </w:rPr>
              <w:t>Software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7"/>
          </w:tcPr>
          <w:p>
            <w:pPr>
              <w:ind w:left="40"/>
              <w:spacing w:after="0" w:line="122" w:lineRule="exact"/>
              <w:rPr>
                <w:sz w:val="20"/>
                <w:szCs w:val="20"/>
                <w:color w:val="auto"/>
              </w:rPr>
            </w:pPr>
            <w:r>
              <w:rPr>
                <w:rFonts w:ascii="Arial" w:cs="Arial" w:eastAsia="Arial" w:hAnsi="Arial"/>
                <w:sz w:val="11"/>
                <w:szCs w:val="11"/>
                <w:b w:val="1"/>
                <w:bCs w:val="1"/>
                <w:color w:val="auto"/>
                <w:w w:val="97"/>
              </w:rPr>
              <w:t>Cost of Goods Sold-</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5"/>
          </w:tcPr>
          <w:p>
            <w:pPr>
              <w:jc w:val="center"/>
              <w:ind w:right="40"/>
              <w:spacing w:after="0" w:line="122" w:lineRule="exact"/>
              <w:rPr>
                <w:sz w:val="20"/>
                <w:szCs w:val="20"/>
                <w:color w:val="auto"/>
              </w:rPr>
            </w:pPr>
            <w:r>
              <w:rPr>
                <w:rFonts w:ascii="Arial" w:cs="Arial" w:eastAsia="Arial" w:hAnsi="Arial"/>
                <w:sz w:val="11"/>
                <w:szCs w:val="11"/>
                <w:b w:val="1"/>
                <w:bCs w:val="1"/>
                <w:color w:val="auto"/>
                <w:w w:val="87"/>
              </w:rPr>
              <w:t>Development Costs</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Cost of Goods Sold-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5"/>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Cost of Goods Sold-</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3"/>
          </w:tcPr>
          <w:p>
            <w:pPr>
              <w:ind w:left="120"/>
              <w:spacing w:after="0" w:line="122" w:lineRule="exact"/>
              <w:rPr>
                <w:sz w:val="20"/>
                <w:szCs w:val="20"/>
                <w:color w:val="auto"/>
              </w:rPr>
            </w:pPr>
            <w:r>
              <w:rPr>
                <w:rFonts w:ascii="Arial" w:cs="Arial" w:eastAsia="Arial" w:hAnsi="Arial"/>
                <w:sz w:val="11"/>
                <w:szCs w:val="11"/>
                <w:b w:val="1"/>
                <w:bCs w:val="1"/>
                <w:color w:val="auto"/>
              </w:rPr>
              <w:t>Selling and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60" w:type="dxa"/>
            <w:vAlign w:val="bottom"/>
            <w:gridSpan w:val="3"/>
          </w:tcPr>
          <w:p>
            <w:pPr>
              <w:spacing w:after="0"/>
              <w:rPr>
                <w:sz w:val="20"/>
                <w:szCs w:val="20"/>
                <w:color w:val="auto"/>
              </w:rPr>
            </w:pPr>
            <w:r>
              <w:rPr>
                <w:rFonts w:ascii="Arial" w:cs="Arial" w:eastAsia="Arial" w:hAnsi="Arial"/>
                <w:sz w:val="11"/>
                <w:szCs w:val="11"/>
                <w:b w:val="1"/>
                <w:bCs w:val="1"/>
                <w:color w:val="auto"/>
              </w:rPr>
              <w:t>Three Months Ended December 31, 2016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rPr>
              <w:t>Net Revenues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w w:val="89"/>
              </w:rPr>
              <w:t>Internal Royalties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5"/>
          </w:tcPr>
          <w:p>
            <w:pPr>
              <w:jc w:val="center"/>
              <w:ind w:right="40"/>
              <w:spacing w:after="0"/>
              <w:rPr>
                <w:sz w:val="20"/>
                <w:szCs w:val="20"/>
                <w:color w:val="auto"/>
              </w:rPr>
            </w:pPr>
            <w:r>
              <w:rPr>
                <w:rFonts w:ascii="Arial" w:cs="Arial" w:eastAsia="Arial" w:hAnsi="Arial"/>
                <w:sz w:val="11"/>
                <w:szCs w:val="11"/>
                <w:b w:val="1"/>
                <w:bCs w:val="1"/>
                <w:color w:val="auto"/>
                <w:w w:val="86"/>
              </w:rPr>
              <w:t>and Royalties</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85"/>
              </w:rPr>
              <w:t>Product Costs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jc w:val="center"/>
              <w:ind w:right="460"/>
              <w:spacing w:after="0"/>
              <w:rPr>
                <w:sz w:val="20"/>
                <w:szCs w:val="20"/>
                <w:color w:val="auto"/>
              </w:rPr>
            </w:pPr>
            <w:r>
              <w:rPr>
                <w:rFonts w:ascii="Arial" w:cs="Arial" w:eastAsia="Arial" w:hAnsi="Arial"/>
                <w:sz w:val="11"/>
                <w:szCs w:val="11"/>
                <w:b w:val="1"/>
                <w:bCs w:val="1"/>
                <w:color w:val="auto"/>
                <w:w w:val="84"/>
              </w:rPr>
              <w:t>Licenses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3"/>
          </w:tcPr>
          <w:p>
            <w:pPr>
              <w:ind w:left="140"/>
              <w:spacing w:after="0"/>
              <w:rPr>
                <w:sz w:val="20"/>
                <w:szCs w:val="20"/>
                <w:color w:val="auto"/>
              </w:rPr>
            </w:pPr>
            <w:r>
              <w:rPr>
                <w:rFonts w:ascii="Arial" w:cs="Arial" w:eastAsia="Arial" w:hAnsi="Arial"/>
                <w:sz w:val="11"/>
                <w:szCs w:val="11"/>
                <w:b w:val="1"/>
                <w:bCs w:val="1"/>
                <w:color w:val="auto"/>
              </w:rPr>
              <w:t>Marketing</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6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7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As reported</w:t>
            </w:r>
          </w:p>
        </w:tc>
        <w:tc>
          <w:tcPr>
            <w:tcW w:w="640" w:type="dxa"/>
            <w:vAlign w:val="bottom"/>
            <w:gridSpan w:val="6"/>
            <w:shd w:val="clear" w:color="auto" w:fill="CCEEFF"/>
          </w:tcPr>
          <w:p>
            <w:pPr>
              <w:ind w:left="580"/>
              <w:spacing w:after="0"/>
              <w:rPr>
                <w:sz w:val="20"/>
                <w:szCs w:val="20"/>
                <w:color w:val="auto"/>
              </w:rPr>
            </w:pPr>
            <w:r>
              <w:rPr>
                <w:rFonts w:ascii="Arial" w:cs="Arial" w:eastAsia="Arial" w:hAnsi="Arial"/>
                <w:sz w:val="10"/>
                <w:szCs w:val="10"/>
                <w:color w:val="auto"/>
                <w:w w:val="71"/>
              </w:rPr>
              <w:t>$</w:t>
            </w:r>
          </w:p>
        </w:tc>
        <w:tc>
          <w:tcPr>
            <w:tcW w:w="1080" w:type="dxa"/>
            <w:vAlign w:val="bottom"/>
            <w:gridSpan w:val="6"/>
            <w:shd w:val="clear" w:color="auto" w:fill="CCEEFF"/>
          </w:tcPr>
          <w:p>
            <w:pPr>
              <w:jc w:val="right"/>
              <w:spacing w:after="0" w:line="122" w:lineRule="exact"/>
              <w:rPr>
                <w:sz w:val="20"/>
                <w:szCs w:val="20"/>
                <w:color w:val="auto"/>
              </w:rPr>
            </w:pPr>
            <w:r>
              <w:rPr>
                <w:rFonts w:ascii="Arial" w:cs="Arial" w:eastAsia="Arial" w:hAnsi="Arial"/>
                <w:sz w:val="11"/>
                <w:szCs w:val="11"/>
                <w:color w:val="auto"/>
              </w:rPr>
              <w:t>476,473</w:t>
            </w:r>
          </w:p>
        </w:tc>
        <w:tc>
          <w:tcPr>
            <w:tcW w:w="300" w:type="dxa"/>
            <w:vAlign w:val="bottom"/>
            <w:gridSpan w:val="3"/>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6"/>
            <w:shd w:val="clear" w:color="auto" w:fill="CCEEFF"/>
          </w:tcPr>
          <w:p>
            <w:pPr>
              <w:ind w:left="720"/>
              <w:spacing w:after="0" w:line="122" w:lineRule="exact"/>
              <w:rPr>
                <w:sz w:val="20"/>
                <w:szCs w:val="20"/>
                <w:color w:val="auto"/>
              </w:rPr>
            </w:pPr>
            <w:r>
              <w:rPr>
                <w:rFonts w:ascii="Arial" w:cs="Arial" w:eastAsia="Arial" w:hAnsi="Arial"/>
                <w:sz w:val="11"/>
                <w:szCs w:val="11"/>
                <w:color w:val="auto"/>
                <w:w w:val="80"/>
              </w:rPr>
              <w:t>103,613</w:t>
            </w:r>
          </w:p>
        </w:tc>
        <w:tc>
          <w:tcPr>
            <w:tcW w:w="40" w:type="dxa"/>
            <w:vAlign w:val="bottom"/>
            <w:shd w:val="clear" w:color="auto" w:fill="CCEEFF"/>
          </w:tcPr>
          <w:p>
            <w:pPr>
              <w:spacing w:after="0"/>
              <w:rPr>
                <w:sz w:val="10"/>
                <w:szCs w:val="10"/>
                <w:color w:val="auto"/>
              </w:rPr>
            </w:pPr>
          </w:p>
        </w:tc>
        <w:tc>
          <w:tcPr>
            <w:tcW w:w="980" w:type="dxa"/>
            <w:vAlign w:val="bottom"/>
            <w:gridSpan w:val="3"/>
            <w:shd w:val="clear" w:color="auto" w:fill="CCEEFF"/>
          </w:tcPr>
          <w:p>
            <w:pPr>
              <w:jc w:val="right"/>
              <w:ind w:right="684"/>
              <w:spacing w:after="0" w:line="122" w:lineRule="exact"/>
              <w:rPr>
                <w:sz w:val="20"/>
                <w:szCs w:val="20"/>
                <w:color w:val="auto"/>
              </w:rPr>
            </w:pPr>
            <w:r>
              <w:rPr>
                <w:rFonts w:ascii="Arial" w:cs="Arial" w:eastAsia="Arial" w:hAnsi="Arial"/>
                <w:sz w:val="11"/>
                <w:szCs w:val="11"/>
                <w:color w:val="auto"/>
              </w:rPr>
              <w:t>$</w:t>
            </w:r>
          </w:p>
        </w:tc>
        <w:tc>
          <w:tcPr>
            <w:tcW w:w="380" w:type="dxa"/>
            <w:vAlign w:val="bottom"/>
            <w:gridSpan w:val="4"/>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w w:val="80"/>
              </w:rPr>
              <w:t>109,900</w:t>
            </w:r>
          </w:p>
        </w:tc>
        <w:tc>
          <w:tcPr>
            <w:tcW w:w="280" w:type="dxa"/>
            <w:vAlign w:val="bottom"/>
            <w:gridSpan w:val="4"/>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120" w:type="dxa"/>
            <w:vAlign w:val="bottom"/>
            <w:gridSpan w:val="3"/>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70,089</w:t>
            </w:r>
          </w:p>
        </w:tc>
        <w:tc>
          <w:tcPr>
            <w:tcW w:w="2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160" w:type="dxa"/>
            <w:vAlign w:val="bottom"/>
            <w:gridSpan w:val="5"/>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27,472</w:t>
            </w:r>
          </w:p>
        </w:tc>
        <w:tc>
          <w:tcPr>
            <w:tcW w:w="3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95,820</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gridSpan w:val="2"/>
          </w:tcPr>
          <w:p>
            <w:pPr>
              <w:ind w:left="160"/>
              <w:spacing w:after="0" w:line="122" w:lineRule="exact"/>
              <w:rPr>
                <w:sz w:val="20"/>
                <w:szCs w:val="20"/>
                <w:color w:val="auto"/>
              </w:rPr>
            </w:pPr>
            <w:r>
              <w:rPr>
                <w:rFonts w:ascii="Arial" w:cs="Arial" w:eastAsia="Arial" w:hAnsi="Arial"/>
                <w:sz w:val="11"/>
                <w:szCs w:val="11"/>
                <w:color w:val="auto"/>
                <w:w w:val="97"/>
              </w:rPr>
              <w:t>Net effect from deferral and related cost of goods sold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6"/>
          </w:tcPr>
          <w:p>
            <w:pPr>
              <w:jc w:val="right"/>
              <w:spacing w:after="0" w:line="122" w:lineRule="exact"/>
              <w:rPr>
                <w:sz w:val="20"/>
                <w:szCs w:val="20"/>
                <w:color w:val="auto"/>
              </w:rPr>
            </w:pPr>
            <w:r>
              <w:rPr>
                <w:rFonts w:ascii="Arial" w:cs="Arial" w:eastAsia="Arial" w:hAnsi="Arial"/>
                <w:sz w:val="11"/>
                <w:szCs w:val="11"/>
                <w:color w:val="auto"/>
              </w:rPr>
              <w:t>268,350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w w:val="94"/>
              </w:rPr>
              <w:t>58,446</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47,272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5"/>
          </w:tcPr>
          <w:p>
            <w:pPr>
              <w:jc w:val="right"/>
              <w:ind w:right="100"/>
              <w:spacing w:after="0" w:line="122" w:lineRule="exact"/>
              <w:rPr>
                <w:sz w:val="20"/>
                <w:szCs w:val="20"/>
                <w:color w:val="auto"/>
              </w:rPr>
            </w:pPr>
            <w:r>
              <w:rPr>
                <w:rFonts w:ascii="Arial" w:cs="Arial" w:eastAsia="Arial" w:hAnsi="Arial"/>
                <w:sz w:val="11"/>
                <w:szCs w:val="11"/>
                <w:color w:val="auto"/>
              </w:rPr>
              <w:t>11,953</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gridSpan w:val="2"/>
            <w:shd w:val="clear" w:color="auto" w:fill="CCEEFF"/>
          </w:tcPr>
          <w:p>
            <w:pPr>
              <w:ind w:left="160"/>
              <w:spacing w:after="0" w:line="122" w:lineRule="exact"/>
              <w:rPr>
                <w:sz w:val="20"/>
                <w:szCs w:val="20"/>
                <w:color w:val="auto"/>
              </w:rPr>
            </w:pPr>
            <w:r>
              <w:rPr>
                <w:rFonts w:ascii="Arial" w:cs="Arial" w:eastAsia="Arial" w:hAnsi="Arial"/>
                <w:sz w:val="11"/>
                <w:szCs w:val="11"/>
                <w:color w:val="auto"/>
              </w:rPr>
              <w:t>Stock-based compensation</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80" w:type="dxa"/>
            <w:vAlign w:val="bottom"/>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(5,566)</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(2,441)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87"/>
              </w:rPr>
              <w:t>General and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tcPr>
          <w:p>
            <w:pPr>
              <w:ind w:left="40"/>
              <w:spacing w:after="0"/>
              <w:rPr>
                <w:sz w:val="20"/>
                <w:szCs w:val="20"/>
                <w:color w:val="auto"/>
              </w:rPr>
            </w:pPr>
            <w:r>
              <w:rPr>
                <w:rFonts w:ascii="Arial" w:cs="Arial" w:eastAsia="Arial" w:hAnsi="Arial"/>
                <w:sz w:val="13"/>
                <w:szCs w:val="13"/>
                <w:b w:val="1"/>
                <w:bCs w:val="1"/>
                <w:color w:val="auto"/>
              </w:rPr>
              <w:t>Research and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5"/>
          </w:tcPr>
          <w:p>
            <w:pPr>
              <w:jc w:val="right"/>
              <w:ind w:right="180"/>
              <w:spacing w:after="0"/>
              <w:rPr>
                <w:sz w:val="20"/>
                <w:szCs w:val="20"/>
                <w:color w:val="auto"/>
              </w:rPr>
            </w:pPr>
            <w:r>
              <w:rPr>
                <w:rFonts w:ascii="Arial" w:cs="Arial" w:eastAsia="Arial" w:hAnsi="Arial"/>
                <w:sz w:val="13"/>
                <w:szCs w:val="13"/>
                <w:b w:val="1"/>
                <w:bCs w:val="1"/>
                <w:color w:val="auto"/>
                <w:w w:val="92"/>
              </w:rPr>
              <w:t>Depreciation and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760" w:type="dxa"/>
            <w:vAlign w:val="bottom"/>
            <w:gridSpan w:val="3"/>
          </w:tcPr>
          <w:p>
            <w:pPr>
              <w:spacing w:after="0"/>
              <w:rPr>
                <w:sz w:val="20"/>
                <w:szCs w:val="20"/>
                <w:color w:val="auto"/>
              </w:rPr>
            </w:pPr>
            <w:r>
              <w:rPr>
                <w:rFonts w:ascii="Arial" w:cs="Arial" w:eastAsia="Arial" w:hAnsi="Arial"/>
                <w:sz w:val="13"/>
                <w:szCs w:val="13"/>
                <w:b w:val="1"/>
                <w:bCs w:val="1"/>
                <w:color w:val="auto"/>
              </w:rPr>
              <w:t>Three Months Ended December 31, 2016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4"/>
          </w:tcPr>
          <w:p>
            <w:pPr>
              <w:spacing w:after="0"/>
              <w:rPr>
                <w:sz w:val="20"/>
                <w:szCs w:val="20"/>
                <w:color w:val="auto"/>
              </w:rPr>
            </w:pPr>
            <w:r>
              <w:rPr>
                <w:rFonts w:ascii="Arial" w:cs="Arial" w:eastAsia="Arial" w:hAnsi="Arial"/>
                <w:sz w:val="13"/>
                <w:szCs w:val="13"/>
                <w:b w:val="1"/>
                <w:bCs w:val="1"/>
                <w:color w:val="auto"/>
                <w:w w:val="97"/>
              </w:rPr>
              <w:t>Administrative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ind w:left="40"/>
              <w:spacing w:after="0"/>
              <w:rPr>
                <w:sz w:val="20"/>
                <w:szCs w:val="20"/>
                <w:color w:val="auto"/>
              </w:rPr>
            </w:pPr>
            <w:r>
              <w:rPr>
                <w:rFonts w:ascii="Arial" w:cs="Arial" w:eastAsia="Arial" w:hAnsi="Arial"/>
                <w:sz w:val="13"/>
                <w:szCs w:val="13"/>
                <w:b w:val="1"/>
                <w:bCs w:val="1"/>
                <w:color w:val="auto"/>
              </w:rPr>
              <w:t>Development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5"/>
          </w:tcPr>
          <w:p>
            <w:pPr>
              <w:jc w:val="right"/>
              <w:ind w:right="280"/>
              <w:spacing w:after="0"/>
              <w:rPr>
                <w:sz w:val="20"/>
                <w:szCs w:val="20"/>
                <w:color w:val="auto"/>
              </w:rPr>
            </w:pPr>
            <w:r>
              <w:rPr>
                <w:rFonts w:ascii="Arial" w:cs="Arial" w:eastAsia="Arial" w:hAnsi="Arial"/>
                <w:sz w:val="13"/>
                <w:szCs w:val="13"/>
                <w:b w:val="1"/>
                <w:bCs w:val="1"/>
                <w:color w:val="auto"/>
              </w:rPr>
              <w:t>Amortization</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5"/>
          </w:tcPr>
          <w:p>
            <w:pPr>
              <w:jc w:val="right"/>
              <w:ind w:right="20"/>
              <w:spacing w:after="0"/>
              <w:rPr>
                <w:sz w:val="20"/>
                <w:szCs w:val="20"/>
                <w:color w:val="auto"/>
              </w:rPr>
            </w:pPr>
            <w:r>
              <w:rPr>
                <w:rFonts w:ascii="Arial" w:cs="Arial" w:eastAsia="Arial" w:hAnsi="Arial"/>
                <w:sz w:val="13"/>
                <w:szCs w:val="13"/>
                <w:b w:val="1"/>
                <w:bCs w:val="1"/>
                <w:color w:val="auto"/>
                <w:w w:val="95"/>
              </w:rPr>
              <w:t>Interest and Other, net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As reported</w:t>
            </w:r>
          </w:p>
        </w:tc>
        <w:tc>
          <w:tcPr>
            <w:tcW w:w="580" w:type="dxa"/>
            <w:vAlign w:val="bottom"/>
            <w:gridSpan w:val="5"/>
            <w:shd w:val="clear" w:color="auto" w:fill="CCEEFF"/>
          </w:tcPr>
          <w:p>
            <w:pPr>
              <w:jc w:val="right"/>
              <w:ind w:right="46"/>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40" w:type="dxa"/>
            <w:vAlign w:val="bottom"/>
            <w:gridSpan w:val="5"/>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52,939</w:t>
            </w:r>
          </w:p>
        </w:tc>
        <w:tc>
          <w:tcPr>
            <w:tcW w:w="1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5"/>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37,589</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ind w:right="704"/>
              <w:spacing w:after="0" w:line="135" w:lineRule="exact"/>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7,460</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gridSpan w:val="4"/>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4"/>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(3,715)</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Stock-based 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6"/>
          </w:tcPr>
          <w:p>
            <w:pPr>
              <w:jc w:val="right"/>
              <w:ind w:right="46"/>
              <w:spacing w:after="0" w:line="135" w:lineRule="exact"/>
              <w:rPr>
                <w:sz w:val="20"/>
                <w:szCs w:val="20"/>
                <w:color w:val="auto"/>
              </w:rPr>
            </w:pPr>
            <w:r>
              <w:rPr>
                <w:rFonts w:ascii="Arial" w:cs="Arial" w:eastAsia="Arial" w:hAnsi="Arial"/>
                <w:sz w:val="13"/>
                <w:szCs w:val="13"/>
                <w:color w:val="auto"/>
              </w:rPr>
              <w:t>(10,382)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5"/>
          </w:tcPr>
          <w:p>
            <w:pPr>
              <w:jc w:val="right"/>
              <w:ind w:right="40"/>
              <w:spacing w:after="0" w:line="135" w:lineRule="exact"/>
              <w:rPr>
                <w:sz w:val="20"/>
                <w:szCs w:val="20"/>
                <w:color w:val="auto"/>
              </w:rPr>
            </w:pPr>
            <w:r>
              <w:rPr>
                <w:rFonts w:ascii="Arial" w:cs="Arial" w:eastAsia="Arial" w:hAnsi="Arial"/>
                <w:sz w:val="13"/>
                <w:szCs w:val="13"/>
                <w:color w:val="auto"/>
              </w:rPr>
              <w:t>(3,243)</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4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w w:val="90"/>
              </w:rPr>
              <w:t>Non-cash amortization of discount on Convertible</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Notes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4,922</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8"/>
          </w:tcPr>
          <w:p>
            <w:pPr>
              <w:jc w:val="center"/>
              <w:ind w:right="540"/>
              <w:spacing w:after="0"/>
              <w:rPr>
                <w:sz w:val="20"/>
                <w:szCs w:val="20"/>
                <w:color w:val="auto"/>
              </w:rPr>
            </w:pPr>
            <w:r>
              <w:rPr>
                <w:rFonts w:ascii="Arial" w:cs="Arial" w:eastAsia="Arial" w:hAnsi="Arial"/>
                <w:sz w:val="11"/>
                <w:szCs w:val="11"/>
                <w:b w:val="1"/>
                <w:bCs w:val="1"/>
                <w:color w:val="auto"/>
                <w:w w:val="86"/>
              </w:rPr>
              <w:t>Cost of Goods Sold-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6"/>
              </w:rPr>
              <w:t>Software</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7"/>
          </w:tcPr>
          <w:p>
            <w:pPr>
              <w:jc w:val="right"/>
              <w:ind w:right="160"/>
              <w:spacing w:after="0" w:line="122" w:lineRule="exact"/>
              <w:rPr>
                <w:sz w:val="20"/>
                <w:szCs w:val="20"/>
                <w:color w:val="auto"/>
              </w:rPr>
            </w:pPr>
            <w:r>
              <w:rPr>
                <w:rFonts w:ascii="Arial" w:cs="Arial" w:eastAsia="Arial" w:hAnsi="Arial"/>
                <w:sz w:val="11"/>
                <w:szCs w:val="11"/>
                <w:b w:val="1"/>
                <w:bCs w:val="1"/>
                <w:color w:val="auto"/>
                <w:w w:val="95"/>
              </w:rPr>
              <w:t>Cost of Goods Sold-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8"/>
          </w:tcPr>
          <w:p>
            <w:pPr>
              <w:jc w:val="center"/>
              <w:ind w:right="540"/>
              <w:spacing w:after="0" w:line="122" w:lineRule="exact"/>
              <w:rPr>
                <w:sz w:val="20"/>
                <w:szCs w:val="20"/>
                <w:color w:val="auto"/>
              </w:rPr>
            </w:pPr>
            <w:r>
              <w:rPr>
                <w:rFonts w:ascii="Arial" w:cs="Arial" w:eastAsia="Arial" w:hAnsi="Arial"/>
                <w:sz w:val="11"/>
                <w:szCs w:val="11"/>
                <w:b w:val="1"/>
                <w:bCs w:val="1"/>
                <w:color w:val="auto"/>
                <w:w w:val="85"/>
              </w:rPr>
              <w:t>Development Costs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7"/>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Cost of Goods Sold-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6"/>
              </w:rPr>
              <w:t>Cost of Goods Sold-</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ind w:left="200"/>
              <w:spacing w:after="0" w:line="122" w:lineRule="exact"/>
              <w:rPr>
                <w:sz w:val="20"/>
                <w:szCs w:val="20"/>
                <w:color w:val="auto"/>
              </w:rPr>
            </w:pPr>
            <w:r>
              <w:rPr>
                <w:rFonts w:ascii="Arial" w:cs="Arial" w:eastAsia="Arial" w:hAnsi="Arial"/>
                <w:sz w:val="11"/>
                <w:szCs w:val="11"/>
                <w:b w:val="1"/>
                <w:bCs w:val="1"/>
                <w:color w:val="auto"/>
              </w:rPr>
              <w:t>Selling and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gridSpan w:val="4"/>
          </w:tcPr>
          <w:p>
            <w:pPr>
              <w:spacing w:after="0"/>
              <w:rPr>
                <w:sz w:val="20"/>
                <w:szCs w:val="20"/>
                <w:color w:val="auto"/>
              </w:rPr>
            </w:pPr>
            <w:r>
              <w:rPr>
                <w:rFonts w:ascii="Arial" w:cs="Arial" w:eastAsia="Arial" w:hAnsi="Arial"/>
                <w:sz w:val="11"/>
                <w:szCs w:val="11"/>
                <w:b w:val="1"/>
                <w:bCs w:val="1"/>
                <w:color w:val="auto"/>
              </w:rPr>
              <w:t>Nine Months Ended December 31, 2017</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7"/>
          </w:tcPr>
          <w:p>
            <w:pPr>
              <w:jc w:val="center"/>
              <w:ind w:right="280"/>
              <w:spacing w:after="0"/>
              <w:rPr>
                <w:sz w:val="20"/>
                <w:szCs w:val="20"/>
                <w:color w:val="auto"/>
              </w:rPr>
            </w:pPr>
            <w:r>
              <w:rPr>
                <w:rFonts w:ascii="Arial" w:cs="Arial" w:eastAsia="Arial" w:hAnsi="Arial"/>
                <w:sz w:val="11"/>
                <w:szCs w:val="11"/>
                <w:b w:val="1"/>
                <w:bCs w:val="1"/>
                <w:color w:val="auto"/>
                <w:w w:val="85"/>
              </w:rPr>
              <w:t>Net Revenues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7"/>
          </w:tcPr>
          <w:p>
            <w:pPr>
              <w:jc w:val="right"/>
              <w:ind w:right="180"/>
              <w:spacing w:after="0"/>
              <w:rPr>
                <w:sz w:val="20"/>
                <w:szCs w:val="20"/>
                <w:color w:val="auto"/>
              </w:rPr>
            </w:pPr>
            <w:r>
              <w:rPr>
                <w:rFonts w:ascii="Arial" w:cs="Arial" w:eastAsia="Arial" w:hAnsi="Arial"/>
                <w:sz w:val="11"/>
                <w:szCs w:val="11"/>
                <w:b w:val="1"/>
                <w:bCs w:val="1"/>
                <w:color w:val="auto"/>
              </w:rPr>
              <w:t>Internal Royalties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3"/>
          </w:tcPr>
          <w:p>
            <w:pPr>
              <w:jc w:val="center"/>
              <w:spacing w:after="0"/>
              <w:rPr>
                <w:sz w:val="20"/>
                <w:szCs w:val="20"/>
                <w:color w:val="auto"/>
              </w:rPr>
            </w:pPr>
            <w:r>
              <w:rPr>
                <w:rFonts w:ascii="Arial" w:cs="Arial" w:eastAsia="Arial" w:hAnsi="Arial"/>
                <w:sz w:val="11"/>
                <w:szCs w:val="11"/>
                <w:b w:val="1"/>
                <w:bCs w:val="1"/>
                <w:color w:val="auto"/>
                <w:w w:val="89"/>
              </w:rPr>
              <w:t>and Royalties</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7"/>
          </w:tcPr>
          <w:p>
            <w:pPr>
              <w:jc w:val="center"/>
              <w:ind w:right="160"/>
              <w:spacing w:after="0"/>
              <w:rPr>
                <w:sz w:val="20"/>
                <w:szCs w:val="20"/>
                <w:color w:val="auto"/>
              </w:rPr>
            </w:pPr>
            <w:r>
              <w:rPr>
                <w:rFonts w:ascii="Arial" w:cs="Arial" w:eastAsia="Arial" w:hAnsi="Arial"/>
                <w:sz w:val="11"/>
                <w:szCs w:val="11"/>
                <w:b w:val="1"/>
                <w:bCs w:val="1"/>
                <w:color w:val="auto"/>
                <w:w w:val="85"/>
              </w:rPr>
              <w:t>Product Costs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center"/>
              <w:ind w:right="6"/>
              <w:spacing w:after="0"/>
              <w:rPr>
                <w:sz w:val="20"/>
                <w:szCs w:val="20"/>
                <w:color w:val="auto"/>
              </w:rPr>
            </w:pPr>
            <w:r>
              <w:rPr>
                <w:rFonts w:ascii="Arial" w:cs="Arial" w:eastAsia="Arial" w:hAnsi="Arial"/>
                <w:sz w:val="11"/>
                <w:szCs w:val="11"/>
                <w:b w:val="1"/>
                <w:bCs w:val="1"/>
                <w:color w:val="auto"/>
                <w:w w:val="80"/>
              </w:rPr>
              <w:t>Licenses</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ind w:left="220"/>
              <w:spacing w:after="0"/>
              <w:rPr>
                <w:sz w:val="20"/>
                <w:szCs w:val="20"/>
                <w:color w:val="auto"/>
              </w:rPr>
            </w:pPr>
            <w:r>
              <w:rPr>
                <w:rFonts w:ascii="Arial" w:cs="Arial" w:eastAsia="Arial" w:hAnsi="Arial"/>
                <w:sz w:val="11"/>
                <w:szCs w:val="11"/>
                <w:b w:val="1"/>
                <w:bCs w:val="1"/>
                <w:color w:val="auto"/>
              </w:rPr>
              <w:t>Marketing</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420" w:type="dxa"/>
            <w:vAlign w:val="bottom"/>
            <w:tcBorders>
              <w:top w:val="single" w:sz="8" w:color="auto"/>
            </w:tcBorders>
            <w:gridSpan w:val="2"/>
          </w:tcPr>
          <w:p>
            <w:pPr>
              <w:spacing w:after="0"/>
              <w:rPr>
                <w:sz w:val="10"/>
                <w:szCs w:val="10"/>
                <w:color w:val="auto"/>
              </w:rPr>
            </w:pPr>
          </w:p>
        </w:tc>
        <w:tc>
          <w:tcPr>
            <w:tcW w:w="220" w:type="dxa"/>
            <w:vAlign w:val="bottom"/>
            <w:gridSpan w:val="2"/>
          </w:tcPr>
          <w:p>
            <w:pPr>
              <w:spacing w:after="0"/>
              <w:rPr>
                <w:sz w:val="10"/>
                <w:szCs w:val="10"/>
                <w:color w:val="auto"/>
              </w:rPr>
            </w:pPr>
          </w:p>
        </w:tc>
        <w:tc>
          <w:tcPr>
            <w:tcW w:w="1140" w:type="dxa"/>
            <w:vAlign w:val="bottom"/>
            <w:tcBorders>
              <w:top w:val="single" w:sz="8" w:color="auto"/>
            </w:tcBorders>
            <w:gridSpan w:val="7"/>
          </w:tcPr>
          <w:p>
            <w:pPr>
              <w:spacing w:after="0"/>
              <w:rPr>
                <w:sz w:val="10"/>
                <w:szCs w:val="10"/>
                <w:color w:val="auto"/>
              </w:rPr>
            </w:pPr>
          </w:p>
        </w:tc>
        <w:tc>
          <w:tcPr>
            <w:tcW w:w="220" w:type="dxa"/>
            <w:vAlign w:val="bottom"/>
            <w:gridSpan w:val="3"/>
          </w:tcPr>
          <w:p>
            <w:pPr>
              <w:spacing w:after="0"/>
              <w:rPr>
                <w:sz w:val="10"/>
                <w:szCs w:val="10"/>
                <w:color w:val="auto"/>
              </w:rPr>
            </w:pPr>
          </w:p>
        </w:tc>
        <w:tc>
          <w:tcPr>
            <w:tcW w:w="1360" w:type="dxa"/>
            <w:vAlign w:val="bottom"/>
            <w:tcBorders>
              <w:top w:val="single" w:sz="8" w:color="auto"/>
            </w:tcBorders>
            <w:gridSpan w:val="9"/>
          </w:tcPr>
          <w:p>
            <w:pPr>
              <w:spacing w:after="0"/>
              <w:rPr>
                <w:sz w:val="10"/>
                <w:szCs w:val="10"/>
                <w:color w:val="auto"/>
              </w:rPr>
            </w:pPr>
          </w:p>
        </w:tc>
        <w:tc>
          <w:tcPr>
            <w:tcW w:w="220" w:type="dxa"/>
            <w:vAlign w:val="bottom"/>
            <w:gridSpan w:val="3"/>
          </w:tcPr>
          <w:p>
            <w:pPr>
              <w:spacing w:after="0"/>
              <w:rPr>
                <w:sz w:val="10"/>
                <w:szCs w:val="10"/>
                <w:color w:val="auto"/>
              </w:rPr>
            </w:pPr>
          </w:p>
        </w:tc>
        <w:tc>
          <w:tcPr>
            <w:tcW w:w="1600" w:type="dxa"/>
            <w:vAlign w:val="bottom"/>
            <w:tcBorders>
              <w:top w:val="single" w:sz="8" w:color="auto"/>
            </w:tcBorders>
            <w:gridSpan w:val="10"/>
          </w:tcPr>
          <w:p>
            <w:pPr>
              <w:spacing w:after="0"/>
              <w:rPr>
                <w:sz w:val="10"/>
                <w:szCs w:val="10"/>
                <w:color w:val="auto"/>
              </w:rPr>
            </w:pPr>
          </w:p>
        </w:tc>
        <w:tc>
          <w:tcPr>
            <w:tcW w:w="220" w:type="dxa"/>
            <w:vAlign w:val="bottom"/>
            <w:gridSpan w:val="2"/>
          </w:tcPr>
          <w:p>
            <w:pPr>
              <w:spacing w:after="0"/>
              <w:rPr>
                <w:sz w:val="10"/>
                <w:szCs w:val="10"/>
                <w:color w:val="auto"/>
              </w:rPr>
            </w:pPr>
          </w:p>
        </w:tc>
        <w:tc>
          <w:tcPr>
            <w:tcW w:w="1160" w:type="dxa"/>
            <w:vAlign w:val="bottom"/>
            <w:tcBorders>
              <w:top w:val="single" w:sz="8" w:color="auto"/>
            </w:tcBorders>
            <w:gridSpan w:val="7"/>
          </w:tcPr>
          <w:p>
            <w:pPr>
              <w:spacing w:after="0"/>
              <w:rPr>
                <w:sz w:val="10"/>
                <w:szCs w:val="10"/>
                <w:color w:val="auto"/>
              </w:rPr>
            </w:pPr>
          </w:p>
        </w:tc>
        <w:tc>
          <w:tcPr>
            <w:tcW w:w="200" w:type="dxa"/>
            <w:vAlign w:val="bottom"/>
            <w:gridSpan w:val="2"/>
          </w:tcPr>
          <w:p>
            <w:pPr>
              <w:spacing w:after="0"/>
              <w:rPr>
                <w:sz w:val="10"/>
                <w:szCs w:val="10"/>
                <w:color w:val="auto"/>
              </w:rPr>
            </w:pPr>
          </w:p>
        </w:tc>
        <w:tc>
          <w:tcPr>
            <w:tcW w:w="1160" w:type="dxa"/>
            <w:vAlign w:val="bottom"/>
            <w:tcBorders>
              <w:top w:val="single" w:sz="8" w:color="auto"/>
            </w:tcBorders>
            <w:gridSpan w:val="2"/>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Borders>
              <w:top w:val="single" w:sz="8" w:color="auto"/>
            </w:tcBorders>
            <w:gridSpan w:val="4"/>
          </w:tcPr>
          <w:p>
            <w:pPr>
              <w:spacing w:after="0"/>
              <w:rPr>
                <w:sz w:val="10"/>
                <w:szCs w:val="10"/>
                <w:color w:val="auto"/>
              </w:rPr>
            </w:pPr>
          </w:p>
        </w:tc>
        <w:tc>
          <w:tcPr>
            <w:tcW w:w="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6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As reported</w:t>
            </w:r>
          </w:p>
        </w:tc>
        <w:tc>
          <w:tcPr>
            <w:tcW w:w="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0"/>
                <w:szCs w:val="10"/>
                <w:color w:val="auto"/>
              </w:rPr>
            </w:pPr>
          </w:p>
        </w:tc>
        <w:tc>
          <w:tcPr>
            <w:tcW w:w="960" w:type="dxa"/>
            <w:vAlign w:val="bottom"/>
            <w:gridSpan w:val="5"/>
            <w:shd w:val="clear" w:color="auto" w:fill="CCEEFF"/>
          </w:tcPr>
          <w:p>
            <w:pPr>
              <w:jc w:val="right"/>
              <w:spacing w:after="0" w:line="122" w:lineRule="exact"/>
              <w:rPr>
                <w:sz w:val="20"/>
                <w:szCs w:val="20"/>
                <w:color w:val="auto"/>
              </w:rPr>
            </w:pPr>
            <w:r>
              <w:rPr>
                <w:rFonts w:ascii="Arial" w:cs="Arial" w:eastAsia="Arial" w:hAnsi="Arial"/>
                <w:sz w:val="11"/>
                <w:szCs w:val="11"/>
                <w:color w:val="auto"/>
              </w:rPr>
              <w:t>1,342,618</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5"/>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294,749</w:t>
            </w:r>
          </w:p>
        </w:tc>
        <w:tc>
          <w:tcPr>
            <w:tcW w:w="300" w:type="dxa"/>
            <w:vAlign w:val="bottom"/>
            <w:gridSpan w:val="3"/>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4"/>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164,419</w:t>
            </w:r>
          </w:p>
        </w:tc>
        <w:tc>
          <w:tcPr>
            <w:tcW w:w="10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gridSpan w:val="5"/>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156,124</w:t>
            </w:r>
          </w:p>
        </w:tc>
        <w:tc>
          <w:tcPr>
            <w:tcW w:w="20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93,808</w:t>
            </w:r>
          </w:p>
        </w:tc>
        <w:tc>
          <w:tcPr>
            <w:tcW w:w="340" w:type="dxa"/>
            <w:vAlign w:val="bottom"/>
            <w:gridSpan w:val="3"/>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3"/>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208,641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620" w:type="dxa"/>
            <w:vAlign w:val="bottom"/>
            <w:gridSpan w:val="3"/>
          </w:tcPr>
          <w:p>
            <w:pPr>
              <w:ind w:left="160"/>
              <w:spacing w:after="0" w:line="112" w:lineRule="exact"/>
              <w:rPr>
                <w:sz w:val="20"/>
                <w:szCs w:val="20"/>
                <w:color w:val="auto"/>
              </w:rPr>
            </w:pPr>
            <w:r>
              <w:rPr>
                <w:rFonts w:ascii="Arial" w:cs="Arial" w:eastAsia="Arial" w:hAnsi="Arial"/>
                <w:sz w:val="11"/>
                <w:szCs w:val="11"/>
                <w:color w:val="auto"/>
              </w:rPr>
              <w:t>Net effect from deferral and related cost of goods</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20" w:type="dxa"/>
            <w:vAlign w:val="bottom"/>
            <w:gridSpan w:val="3"/>
          </w:tcPr>
          <w:p>
            <w:pPr>
              <w:ind w:left="340"/>
              <w:spacing w:after="0"/>
              <w:rPr>
                <w:sz w:val="20"/>
                <w:szCs w:val="20"/>
                <w:color w:val="auto"/>
              </w:rPr>
            </w:pPr>
            <w:r>
              <w:rPr>
                <w:rFonts w:ascii="Arial" w:cs="Arial" w:eastAsia="Arial" w:hAnsi="Arial"/>
                <w:sz w:val="11"/>
                <w:szCs w:val="11"/>
                <w:color w:val="auto"/>
              </w:rPr>
              <w:t>sold</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5"/>
          </w:tcPr>
          <w:p>
            <w:pPr>
              <w:jc w:val="right"/>
              <w:spacing w:after="0"/>
              <w:rPr>
                <w:sz w:val="20"/>
                <w:szCs w:val="20"/>
                <w:color w:val="auto"/>
              </w:rPr>
            </w:pPr>
            <w:r>
              <w:rPr>
                <w:rFonts w:ascii="Arial" w:cs="Arial" w:eastAsia="Arial" w:hAnsi="Arial"/>
                <w:sz w:val="11"/>
                <w:szCs w:val="11"/>
                <w:color w:val="auto"/>
              </w:rPr>
              <w:t>236,616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4"/>
          </w:tcPr>
          <w:p>
            <w:pPr>
              <w:jc w:val="right"/>
              <w:ind w:right="160"/>
              <w:spacing w:after="0"/>
              <w:rPr>
                <w:sz w:val="20"/>
                <w:szCs w:val="20"/>
                <w:color w:val="auto"/>
              </w:rPr>
            </w:pPr>
            <w:r>
              <w:rPr>
                <w:rFonts w:ascii="Arial" w:cs="Arial" w:eastAsia="Arial" w:hAnsi="Arial"/>
                <w:sz w:val="11"/>
                <w:szCs w:val="11"/>
                <w:color w:val="auto"/>
              </w:rPr>
              <w:t>(2,944)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5"/>
          </w:tcPr>
          <w:p>
            <w:pPr>
              <w:jc w:val="right"/>
              <w:ind w:right="80"/>
              <w:spacing w:after="0"/>
              <w:rPr>
                <w:sz w:val="20"/>
                <w:szCs w:val="20"/>
                <w:color w:val="auto"/>
              </w:rPr>
            </w:pPr>
            <w:r>
              <w:rPr>
                <w:rFonts w:ascii="Arial" w:cs="Arial" w:eastAsia="Arial" w:hAnsi="Arial"/>
                <w:sz w:val="11"/>
                <w:szCs w:val="11"/>
                <w:color w:val="auto"/>
              </w:rPr>
              <w:t>19,308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14,920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2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Stock-based compensation</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4"/>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(23,284)</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(8,787)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620" w:type="dxa"/>
            <w:vAlign w:val="bottom"/>
            <w:gridSpan w:val="3"/>
          </w:tcPr>
          <w:p>
            <w:pPr>
              <w:ind w:left="160"/>
              <w:spacing w:after="0" w:line="112" w:lineRule="exact"/>
              <w:rPr>
                <w:sz w:val="20"/>
                <w:szCs w:val="20"/>
                <w:color w:val="auto"/>
              </w:rPr>
            </w:pPr>
            <w:r>
              <w:rPr>
                <w:rFonts w:ascii="Arial" w:cs="Arial" w:eastAsia="Arial" w:hAnsi="Arial"/>
                <w:sz w:val="11"/>
                <w:szCs w:val="11"/>
                <w:color w:val="auto"/>
              </w:rPr>
              <w:t>Amortization and impairment of acquired</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620" w:type="dxa"/>
            <w:vAlign w:val="bottom"/>
            <w:gridSpan w:val="3"/>
          </w:tcPr>
          <w:p>
            <w:pPr>
              <w:ind w:left="340"/>
              <w:spacing w:after="0"/>
              <w:rPr>
                <w:sz w:val="20"/>
                <w:szCs w:val="20"/>
                <w:color w:val="auto"/>
              </w:rPr>
            </w:pPr>
            <w:r>
              <w:rPr>
                <w:rFonts w:ascii="Arial" w:cs="Arial" w:eastAsia="Arial" w:hAnsi="Arial"/>
                <w:sz w:val="11"/>
                <w:szCs w:val="11"/>
                <w:color w:val="auto"/>
              </w:rPr>
              <w:t>intangibles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4"/>
          </w:tcPr>
          <w:p>
            <w:pPr>
              <w:jc w:val="right"/>
              <w:ind w:right="160"/>
              <w:spacing w:after="0"/>
              <w:rPr>
                <w:sz w:val="20"/>
                <w:szCs w:val="20"/>
                <w:color w:val="auto"/>
              </w:rPr>
            </w:pPr>
            <w:r>
              <w:rPr>
                <w:rFonts w:ascii="Arial" w:cs="Arial" w:eastAsia="Arial" w:hAnsi="Arial"/>
                <w:sz w:val="11"/>
                <w:szCs w:val="11"/>
                <w:color w:val="auto"/>
              </w:rPr>
              <w:t>(14,052)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1"/>
                <w:szCs w:val="11"/>
                <w:color w:val="auto"/>
              </w:rPr>
              <w:t>(7,255)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7"/>
          </w:tcPr>
          <w:p>
            <w:pPr>
              <w:jc w:val="right"/>
              <w:ind w:right="340"/>
              <w:spacing w:after="0"/>
              <w:rPr>
                <w:sz w:val="20"/>
                <w:szCs w:val="20"/>
                <w:color w:val="auto"/>
              </w:rPr>
            </w:pPr>
            <w:r>
              <w:rPr>
                <w:rFonts w:ascii="Arial" w:cs="Arial" w:eastAsia="Arial" w:hAnsi="Arial"/>
                <w:sz w:val="11"/>
                <w:szCs w:val="11"/>
                <w:b w:val="1"/>
                <w:bCs w:val="1"/>
                <w:color w:val="auto"/>
              </w:rPr>
              <w:t>General and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6"/>
          </w:tcPr>
          <w:p>
            <w:pPr>
              <w:jc w:val="right"/>
              <w:ind w:right="320"/>
              <w:spacing w:after="0"/>
              <w:rPr>
                <w:sz w:val="20"/>
                <w:szCs w:val="20"/>
                <w:color w:val="auto"/>
              </w:rPr>
            </w:pPr>
            <w:r>
              <w:rPr>
                <w:rFonts w:ascii="Arial" w:cs="Arial" w:eastAsia="Arial" w:hAnsi="Arial"/>
                <w:sz w:val="11"/>
                <w:szCs w:val="11"/>
                <w:b w:val="1"/>
                <w:bCs w:val="1"/>
                <w:color w:val="auto"/>
                <w:w w:val="85"/>
              </w:rPr>
              <w:t>Research and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7"/>
          </w:tcPr>
          <w:p>
            <w:pPr>
              <w:jc w:val="right"/>
              <w:ind w:right="220"/>
              <w:spacing w:after="0"/>
              <w:rPr>
                <w:sz w:val="20"/>
                <w:szCs w:val="20"/>
                <w:color w:val="auto"/>
              </w:rPr>
            </w:pPr>
            <w:r>
              <w:rPr>
                <w:rFonts w:ascii="Arial" w:cs="Arial" w:eastAsia="Arial" w:hAnsi="Arial"/>
                <w:sz w:val="11"/>
                <w:szCs w:val="11"/>
                <w:b w:val="1"/>
                <w:bCs w:val="1"/>
                <w:color w:val="auto"/>
                <w:w w:val="98"/>
              </w:rPr>
              <w:t>Depreciation and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1"/>
                <w:szCs w:val="11"/>
                <w:b w:val="1"/>
                <w:bCs w:val="1"/>
                <w:color w:val="auto"/>
              </w:rPr>
              <w:t>Interest and Other,</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40" w:type="dxa"/>
            <w:vAlign w:val="bottom"/>
            <w:gridSpan w:val="4"/>
          </w:tcPr>
          <w:p>
            <w:pPr>
              <w:spacing w:after="0"/>
              <w:rPr>
                <w:sz w:val="20"/>
                <w:szCs w:val="20"/>
                <w:color w:val="auto"/>
              </w:rPr>
            </w:pPr>
            <w:r>
              <w:rPr>
                <w:rFonts w:ascii="Arial" w:cs="Arial" w:eastAsia="Arial" w:hAnsi="Arial"/>
                <w:sz w:val="11"/>
                <w:szCs w:val="11"/>
                <w:b w:val="1"/>
                <w:bCs w:val="1"/>
                <w:color w:val="auto"/>
              </w:rPr>
              <w:t>Nine Months Ended December 31, 2017</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7"/>
          </w:tcPr>
          <w:p>
            <w:pPr>
              <w:jc w:val="right"/>
              <w:ind w:right="280"/>
              <w:spacing w:after="0"/>
              <w:rPr>
                <w:sz w:val="20"/>
                <w:szCs w:val="20"/>
                <w:color w:val="auto"/>
              </w:rPr>
            </w:pPr>
            <w:r>
              <w:rPr>
                <w:rFonts w:ascii="Arial" w:cs="Arial" w:eastAsia="Arial" w:hAnsi="Arial"/>
                <w:sz w:val="11"/>
                <w:szCs w:val="11"/>
                <w:b w:val="1"/>
                <w:bCs w:val="1"/>
                <w:color w:val="auto"/>
                <w:w w:val="99"/>
              </w:rPr>
              <w:t>Administrative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6"/>
          </w:tcPr>
          <w:p>
            <w:pPr>
              <w:jc w:val="right"/>
              <w:ind w:right="340"/>
              <w:spacing w:after="0"/>
              <w:rPr>
                <w:sz w:val="20"/>
                <w:szCs w:val="20"/>
                <w:color w:val="auto"/>
              </w:rPr>
            </w:pPr>
            <w:r>
              <w:rPr>
                <w:rFonts w:ascii="Arial" w:cs="Arial" w:eastAsia="Arial" w:hAnsi="Arial"/>
                <w:sz w:val="11"/>
                <w:szCs w:val="11"/>
                <w:b w:val="1"/>
                <w:bCs w:val="1"/>
                <w:color w:val="auto"/>
                <w:w w:val="86"/>
              </w:rPr>
              <w:t>Development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5"/>
          </w:tcPr>
          <w:p>
            <w:pPr>
              <w:jc w:val="right"/>
              <w:ind w:right="320"/>
              <w:spacing w:after="0"/>
              <w:rPr>
                <w:sz w:val="20"/>
                <w:szCs w:val="20"/>
                <w:color w:val="auto"/>
              </w:rPr>
            </w:pPr>
            <w:r>
              <w:rPr>
                <w:rFonts w:ascii="Arial" w:cs="Arial" w:eastAsia="Arial" w:hAnsi="Arial"/>
                <w:sz w:val="11"/>
                <w:szCs w:val="11"/>
                <w:b w:val="1"/>
                <w:bCs w:val="1"/>
                <w:color w:val="auto"/>
                <w:w w:val="92"/>
              </w:rPr>
              <w:t>Amortization</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gridSpan w:val="11"/>
          </w:tcPr>
          <w:p>
            <w:pPr>
              <w:ind w:left="220"/>
              <w:spacing w:after="0"/>
              <w:rPr>
                <w:sz w:val="20"/>
                <w:szCs w:val="20"/>
                <w:color w:val="auto"/>
              </w:rPr>
            </w:pPr>
            <w:r>
              <w:rPr>
                <w:rFonts w:ascii="Arial" w:cs="Arial" w:eastAsia="Arial" w:hAnsi="Arial"/>
                <w:sz w:val="11"/>
                <w:szCs w:val="11"/>
                <w:b w:val="1"/>
                <w:bCs w:val="1"/>
                <w:color w:val="auto"/>
              </w:rPr>
              <w:t>Business Reorganization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right"/>
              <w:ind w:right="346"/>
              <w:spacing w:after="0"/>
              <w:rPr>
                <w:sz w:val="20"/>
                <w:szCs w:val="20"/>
                <w:color w:val="auto"/>
              </w:rPr>
            </w:pPr>
            <w:r>
              <w:rPr>
                <w:rFonts w:ascii="Arial" w:cs="Arial" w:eastAsia="Arial" w:hAnsi="Arial"/>
                <w:sz w:val="11"/>
                <w:szCs w:val="11"/>
                <w:b w:val="1"/>
                <w:bCs w:val="1"/>
                <w:color w:val="auto"/>
              </w:rPr>
              <w:t>net</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400" w:type="dxa"/>
            <w:vAlign w:val="bottom"/>
            <w:tcBorders>
              <w:top w:val="single" w:sz="8" w:color="auto"/>
            </w:tcBorders>
          </w:tcPr>
          <w:p>
            <w:pPr>
              <w:spacing w:after="0"/>
              <w:rPr>
                <w:sz w:val="10"/>
                <w:szCs w:val="10"/>
                <w:color w:val="auto"/>
              </w:rPr>
            </w:pPr>
          </w:p>
        </w:tc>
        <w:tc>
          <w:tcPr>
            <w:tcW w:w="280" w:type="dxa"/>
            <w:vAlign w:val="bottom"/>
            <w:gridSpan w:val="4"/>
          </w:tcPr>
          <w:p>
            <w:pPr>
              <w:spacing w:after="0"/>
              <w:rPr>
                <w:sz w:val="10"/>
                <w:szCs w:val="10"/>
                <w:color w:val="auto"/>
              </w:rPr>
            </w:pPr>
          </w:p>
        </w:tc>
        <w:tc>
          <w:tcPr>
            <w:tcW w:w="1140" w:type="dxa"/>
            <w:vAlign w:val="bottom"/>
            <w:tcBorders>
              <w:top w:val="single" w:sz="8" w:color="auto"/>
            </w:tcBorders>
            <w:gridSpan w:val="7"/>
          </w:tcPr>
          <w:p>
            <w:pPr>
              <w:spacing w:after="0"/>
              <w:rPr>
                <w:sz w:val="10"/>
                <w:szCs w:val="10"/>
                <w:color w:val="auto"/>
              </w:rPr>
            </w:pPr>
          </w:p>
        </w:tc>
        <w:tc>
          <w:tcPr>
            <w:tcW w:w="280" w:type="dxa"/>
            <w:vAlign w:val="bottom"/>
            <w:gridSpan w:val="3"/>
          </w:tcPr>
          <w:p>
            <w:pPr>
              <w:spacing w:after="0"/>
              <w:rPr>
                <w:sz w:val="10"/>
                <w:szCs w:val="10"/>
                <w:color w:val="auto"/>
              </w:rPr>
            </w:pPr>
          </w:p>
        </w:tc>
        <w:tc>
          <w:tcPr>
            <w:tcW w:w="1120" w:type="dxa"/>
            <w:vAlign w:val="bottom"/>
            <w:tcBorders>
              <w:top w:val="single" w:sz="8" w:color="auto"/>
            </w:tcBorders>
            <w:gridSpan w:val="6"/>
          </w:tcPr>
          <w:p>
            <w:pPr>
              <w:spacing w:after="0"/>
              <w:rPr>
                <w:sz w:val="10"/>
                <w:szCs w:val="10"/>
                <w:color w:val="auto"/>
              </w:rPr>
            </w:pPr>
          </w:p>
        </w:tc>
        <w:tc>
          <w:tcPr>
            <w:tcW w:w="300" w:type="dxa"/>
            <w:vAlign w:val="bottom"/>
            <w:gridSpan w:val="4"/>
          </w:tcPr>
          <w:p>
            <w:pPr>
              <w:spacing w:after="0"/>
              <w:rPr>
                <w:sz w:val="10"/>
                <w:szCs w:val="10"/>
                <w:color w:val="auto"/>
              </w:rPr>
            </w:pPr>
          </w:p>
        </w:tc>
        <w:tc>
          <w:tcPr>
            <w:tcW w:w="1120" w:type="dxa"/>
            <w:vAlign w:val="bottom"/>
            <w:tcBorders>
              <w:top w:val="single" w:sz="8" w:color="auto"/>
            </w:tcBorders>
            <w:gridSpan w:val="7"/>
          </w:tcPr>
          <w:p>
            <w:pPr>
              <w:spacing w:after="0"/>
              <w:rPr>
                <w:sz w:val="10"/>
                <w:szCs w:val="10"/>
                <w:color w:val="auto"/>
              </w:rPr>
            </w:pPr>
          </w:p>
        </w:tc>
        <w:tc>
          <w:tcPr>
            <w:tcW w:w="280" w:type="dxa"/>
            <w:vAlign w:val="bottom"/>
            <w:gridSpan w:val="3"/>
          </w:tcPr>
          <w:p>
            <w:pPr>
              <w:spacing w:after="0"/>
              <w:rPr>
                <w:sz w:val="10"/>
                <w:szCs w:val="10"/>
                <w:color w:val="auto"/>
              </w:rPr>
            </w:pPr>
          </w:p>
        </w:tc>
        <w:tc>
          <w:tcPr>
            <w:tcW w:w="1560" w:type="dxa"/>
            <w:vAlign w:val="bottom"/>
            <w:tcBorders>
              <w:top w:val="single" w:sz="8" w:color="auto"/>
            </w:tcBorders>
            <w:gridSpan w:val="8"/>
          </w:tcPr>
          <w:p>
            <w:pPr>
              <w:spacing w:after="0"/>
              <w:rPr>
                <w:sz w:val="10"/>
                <w:szCs w:val="10"/>
                <w:color w:val="auto"/>
              </w:rPr>
            </w:pPr>
          </w:p>
        </w:tc>
        <w:tc>
          <w:tcPr>
            <w:tcW w:w="280" w:type="dxa"/>
            <w:vAlign w:val="bottom"/>
            <w:gridSpan w:val="4"/>
          </w:tcPr>
          <w:p>
            <w:pPr>
              <w:spacing w:after="0"/>
              <w:rPr>
                <w:sz w:val="10"/>
                <w:szCs w:val="10"/>
                <w:color w:val="auto"/>
              </w:rPr>
            </w:pPr>
          </w:p>
        </w:tc>
        <w:tc>
          <w:tcPr>
            <w:tcW w:w="1400" w:type="dxa"/>
            <w:vAlign w:val="bottom"/>
            <w:tcBorders>
              <w:top w:val="single" w:sz="8" w:color="auto"/>
            </w:tcBorders>
            <w:gridSpan w:val="4"/>
          </w:tcPr>
          <w:p>
            <w:pPr>
              <w:spacing w:after="0"/>
              <w:rPr>
                <w:sz w:val="10"/>
                <w:szCs w:val="10"/>
                <w:color w:val="auto"/>
              </w:rPr>
            </w:pPr>
          </w:p>
        </w:tc>
        <w:tc>
          <w:tcPr>
            <w:tcW w:w="128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6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As reported</w:t>
            </w:r>
          </w:p>
        </w:tc>
        <w:tc>
          <w:tcPr>
            <w:tcW w:w="20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6"/>
            <w:shd w:val="clear" w:color="auto" w:fill="CCEEFF"/>
          </w:tcPr>
          <w:p>
            <w:pPr>
              <w:jc w:val="right"/>
              <w:spacing w:after="0" w:line="122" w:lineRule="exact"/>
              <w:rPr>
                <w:sz w:val="20"/>
                <w:szCs w:val="20"/>
                <w:color w:val="auto"/>
              </w:rPr>
            </w:pPr>
            <w:r>
              <w:rPr>
                <w:rFonts w:ascii="Arial" w:cs="Arial" w:eastAsia="Arial" w:hAnsi="Arial"/>
                <w:sz w:val="11"/>
                <w:szCs w:val="11"/>
                <w:color w:val="auto"/>
              </w:rPr>
              <w:t>187,378</w:t>
            </w:r>
          </w:p>
        </w:tc>
        <w:tc>
          <w:tcPr>
            <w:tcW w:w="60" w:type="dxa"/>
            <w:vAlign w:val="bottom"/>
            <w:shd w:val="clear" w:color="auto" w:fill="CCEEFF"/>
          </w:tcPr>
          <w:p>
            <w:pPr>
              <w:spacing w:after="0"/>
              <w:rPr>
                <w:sz w:val="10"/>
                <w:szCs w:val="10"/>
                <w:color w:val="auto"/>
              </w:rPr>
            </w:pPr>
          </w:p>
        </w:tc>
        <w:tc>
          <w:tcPr>
            <w:tcW w:w="460" w:type="dxa"/>
            <w:vAlign w:val="bottom"/>
            <w:gridSpan w:val="3"/>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w w:val="90"/>
              </w:rPr>
              <w:t>142,245</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gridSpan w:val="3"/>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34,490</w:t>
            </w:r>
          </w:p>
        </w:tc>
        <w:tc>
          <w:tcPr>
            <w:tcW w:w="480" w:type="dxa"/>
            <w:vAlign w:val="bottom"/>
            <w:gridSpan w:val="3"/>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13,012</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420" w:type="dxa"/>
            <w:vAlign w:val="bottom"/>
            <w:gridSpan w:val="4"/>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(2,403)</w:t>
            </w: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2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Stock-based compensation</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7"/>
          </w:tcPr>
          <w:p>
            <w:pPr>
              <w:jc w:val="right"/>
              <w:ind w:right="40"/>
              <w:spacing w:after="0" w:line="122" w:lineRule="exact"/>
              <w:rPr>
                <w:sz w:val="20"/>
                <w:szCs w:val="20"/>
                <w:color w:val="auto"/>
              </w:rPr>
            </w:pPr>
            <w:r>
              <w:rPr>
                <w:rFonts w:ascii="Arial" w:cs="Arial" w:eastAsia="Arial" w:hAnsi="Arial"/>
                <w:sz w:val="11"/>
                <w:szCs w:val="11"/>
                <w:color w:val="auto"/>
              </w:rPr>
              <w:t>(48,629)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w w:val="97"/>
              </w:rPr>
              <w:t>(12,990)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(2,421)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2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Non-cash amounts related to Convertible Notes</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10,569</w:t>
            </w:r>
          </w:p>
        </w:tc>
        <w:tc>
          <w:tcPr>
            <w:tcW w:w="100" w:type="dxa"/>
            <w:vAlign w:val="bottom"/>
            <w:shd w:val="clear" w:color="auto" w:fill="CCEEFF"/>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620" w:type="dxa"/>
            <w:vAlign w:val="bottom"/>
            <w:gridSpan w:val="3"/>
          </w:tcPr>
          <w:p>
            <w:pPr>
              <w:ind w:left="160"/>
              <w:spacing w:after="0" w:line="112" w:lineRule="exact"/>
              <w:rPr>
                <w:sz w:val="20"/>
                <w:szCs w:val="20"/>
                <w:color w:val="auto"/>
              </w:rPr>
            </w:pPr>
            <w:r>
              <w:rPr>
                <w:rFonts w:ascii="Arial" w:cs="Arial" w:eastAsia="Arial" w:hAnsi="Arial"/>
                <w:sz w:val="11"/>
                <w:szCs w:val="11"/>
                <w:color w:val="auto"/>
                <w:w w:val="99"/>
              </w:rPr>
              <w:t>Non-cash (gain) loss on redemption of Convertible</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20" w:type="dxa"/>
            <w:vAlign w:val="bottom"/>
            <w:gridSpan w:val="3"/>
          </w:tcPr>
          <w:p>
            <w:pPr>
              <w:ind w:left="340"/>
              <w:spacing w:after="0"/>
              <w:rPr>
                <w:sz w:val="20"/>
                <w:szCs w:val="20"/>
                <w:color w:val="auto"/>
              </w:rPr>
            </w:pPr>
            <w:r>
              <w:rPr>
                <w:rFonts w:ascii="Arial" w:cs="Arial" w:eastAsia="Arial" w:hAnsi="Arial"/>
                <w:sz w:val="11"/>
                <w:szCs w:val="11"/>
                <w:color w:val="auto"/>
              </w:rPr>
              <w:t>Notes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2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Acquisition related expenses</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6"/>
            <w:shd w:val="clear" w:color="auto" w:fill="CCEEFF"/>
          </w:tcPr>
          <w:p>
            <w:pPr>
              <w:jc w:val="right"/>
              <w:spacing w:after="0" w:line="122" w:lineRule="exact"/>
              <w:rPr>
                <w:sz w:val="20"/>
                <w:szCs w:val="20"/>
                <w:color w:val="auto"/>
              </w:rPr>
            </w:pPr>
            <w:r>
              <w:rPr>
                <w:rFonts w:ascii="Arial" w:cs="Arial" w:eastAsia="Arial" w:hAnsi="Arial"/>
                <w:sz w:val="11"/>
                <w:szCs w:val="11"/>
                <w:color w:val="auto"/>
              </w:rPr>
              <w:t>6,939</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620" w:type="dxa"/>
            <w:vAlign w:val="bottom"/>
            <w:gridSpan w:val="3"/>
          </w:tcPr>
          <w:p>
            <w:pPr>
              <w:ind w:left="160"/>
              <w:spacing w:after="0" w:line="112" w:lineRule="exact"/>
              <w:rPr>
                <w:sz w:val="20"/>
                <w:szCs w:val="20"/>
                <w:color w:val="auto"/>
              </w:rPr>
            </w:pPr>
            <w:r>
              <w:rPr>
                <w:rFonts w:ascii="Arial" w:cs="Arial" w:eastAsia="Arial" w:hAnsi="Arial"/>
                <w:sz w:val="11"/>
                <w:szCs w:val="11"/>
                <w:color w:val="auto"/>
              </w:rPr>
              <w:t>Amortization and impairment of acquired</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20" w:type="dxa"/>
            <w:vAlign w:val="bottom"/>
            <w:gridSpan w:val="3"/>
          </w:tcPr>
          <w:p>
            <w:pPr>
              <w:ind w:left="340"/>
              <w:spacing w:after="0"/>
              <w:rPr>
                <w:sz w:val="20"/>
                <w:szCs w:val="20"/>
                <w:color w:val="auto"/>
              </w:rPr>
            </w:pPr>
            <w:r>
              <w:rPr>
                <w:rFonts w:ascii="Arial" w:cs="Arial" w:eastAsia="Arial" w:hAnsi="Arial"/>
                <w:sz w:val="11"/>
                <w:szCs w:val="11"/>
                <w:color w:val="auto"/>
              </w:rPr>
              <w:t>intangibles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1"/>
                <w:szCs w:val="11"/>
                <w:color w:val="auto"/>
              </w:rPr>
              <w:t>(4,788)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1"/>
                <w:szCs w:val="11"/>
                <w:color w:val="auto"/>
              </w:rPr>
              <w:t>(11,633)</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2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Impact of business reorganization</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w w:val="97"/>
              </w:rPr>
              <w:t>(10,591)</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620" w:type="dxa"/>
            <w:vAlign w:val="bottom"/>
            <w:gridSpan w:val="3"/>
          </w:tcPr>
          <w:p>
            <w:pPr>
              <w:ind w:left="160"/>
              <w:spacing w:after="0"/>
              <w:rPr>
                <w:sz w:val="20"/>
                <w:szCs w:val="20"/>
                <w:color w:val="auto"/>
              </w:rPr>
            </w:pPr>
            <w:r>
              <w:rPr>
                <w:rFonts w:ascii="Arial" w:cs="Arial" w:eastAsia="Arial" w:hAnsi="Arial"/>
                <w:sz w:val="11"/>
                <w:szCs w:val="11"/>
                <w:color w:val="auto"/>
              </w:rPr>
              <w:t>Other, net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1"/>
                <w:szCs w:val="11"/>
                <w:color w:val="auto"/>
              </w:rPr>
              <w:t>(93)</w:t>
            </w: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7"/>
          </w:tcPr>
          <w:p>
            <w:pPr>
              <w:jc w:val="center"/>
              <w:ind w:right="360"/>
              <w:spacing w:after="0"/>
              <w:rPr>
                <w:sz w:val="20"/>
                <w:szCs w:val="20"/>
                <w:color w:val="auto"/>
              </w:rPr>
            </w:pPr>
            <w:r>
              <w:rPr>
                <w:rFonts w:ascii="Arial" w:cs="Arial" w:eastAsia="Arial" w:hAnsi="Arial"/>
                <w:sz w:val="11"/>
                <w:szCs w:val="11"/>
                <w:b w:val="1"/>
                <w:bCs w:val="1"/>
                <w:color w:val="auto"/>
                <w:w w:val="86"/>
              </w:rPr>
              <w:t>Cost of Goods Sold-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7"/>
          </w:tcPr>
          <w:p>
            <w:pPr>
              <w:jc w:val="center"/>
              <w:ind w:right="340"/>
              <w:spacing w:after="0" w:line="122" w:lineRule="exact"/>
              <w:rPr>
                <w:sz w:val="20"/>
                <w:szCs w:val="20"/>
                <w:color w:val="auto"/>
              </w:rPr>
            </w:pPr>
            <w:r>
              <w:rPr>
                <w:rFonts w:ascii="Arial" w:cs="Arial" w:eastAsia="Arial" w:hAnsi="Arial"/>
                <w:sz w:val="11"/>
                <w:szCs w:val="11"/>
                <w:b w:val="1"/>
                <w:bCs w:val="1"/>
                <w:color w:val="auto"/>
                <w:w w:val="90"/>
              </w:rPr>
              <w:t>Software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11"/>
          </w:tcPr>
          <w:p>
            <w:pPr>
              <w:jc w:val="center"/>
              <w:ind w:right="60"/>
              <w:spacing w:after="0" w:line="122" w:lineRule="exact"/>
              <w:rPr>
                <w:sz w:val="20"/>
                <w:szCs w:val="20"/>
                <w:color w:val="auto"/>
              </w:rPr>
            </w:pPr>
            <w:r>
              <w:rPr>
                <w:rFonts w:ascii="Arial" w:cs="Arial" w:eastAsia="Arial" w:hAnsi="Arial"/>
                <w:sz w:val="11"/>
                <w:szCs w:val="11"/>
                <w:b w:val="1"/>
                <w:bCs w:val="1"/>
                <w:color w:val="auto"/>
                <w:w w:val="86"/>
              </w:rPr>
              <w:t>Cost of Goods Sold-</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7"/>
          </w:tcPr>
          <w:p>
            <w:pPr>
              <w:jc w:val="center"/>
              <w:ind w:right="360"/>
              <w:spacing w:after="0" w:line="122" w:lineRule="exact"/>
              <w:rPr>
                <w:sz w:val="20"/>
                <w:szCs w:val="20"/>
                <w:color w:val="auto"/>
              </w:rPr>
            </w:pPr>
            <w:r>
              <w:rPr>
                <w:rFonts w:ascii="Arial" w:cs="Arial" w:eastAsia="Arial" w:hAnsi="Arial"/>
                <w:sz w:val="11"/>
                <w:szCs w:val="11"/>
                <w:b w:val="1"/>
                <w:bCs w:val="1"/>
                <w:color w:val="auto"/>
                <w:w w:val="85"/>
              </w:rPr>
              <w:t>Development Costs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7"/>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Cost of Goods Sold-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6"/>
              </w:rPr>
              <w:t>Cost of Goods Sold-</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ind w:left="180"/>
              <w:spacing w:after="0" w:line="122" w:lineRule="exact"/>
              <w:rPr>
                <w:sz w:val="20"/>
                <w:szCs w:val="20"/>
                <w:color w:val="auto"/>
              </w:rPr>
            </w:pPr>
            <w:r>
              <w:rPr>
                <w:rFonts w:ascii="Arial" w:cs="Arial" w:eastAsia="Arial" w:hAnsi="Arial"/>
                <w:sz w:val="11"/>
                <w:szCs w:val="11"/>
                <w:b w:val="1"/>
                <w:bCs w:val="1"/>
                <w:color w:val="auto"/>
              </w:rPr>
              <w:t>Selling and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gridSpan w:val="4"/>
          </w:tcPr>
          <w:p>
            <w:pPr>
              <w:spacing w:after="0"/>
              <w:rPr>
                <w:sz w:val="20"/>
                <w:szCs w:val="20"/>
                <w:color w:val="auto"/>
              </w:rPr>
            </w:pPr>
            <w:r>
              <w:rPr>
                <w:rFonts w:ascii="Arial" w:cs="Arial" w:eastAsia="Arial" w:hAnsi="Arial"/>
                <w:sz w:val="11"/>
                <w:szCs w:val="11"/>
                <w:b w:val="1"/>
                <w:bCs w:val="1"/>
                <w:color w:val="auto"/>
              </w:rPr>
              <w:t>Nine Months Ended December 31, 2016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6"/>
          </w:tcPr>
          <w:p>
            <w:pPr>
              <w:jc w:val="right"/>
              <w:ind w:right="206"/>
              <w:spacing w:after="0"/>
              <w:rPr>
                <w:sz w:val="20"/>
                <w:szCs w:val="20"/>
                <w:color w:val="auto"/>
              </w:rPr>
            </w:pPr>
            <w:r>
              <w:rPr>
                <w:rFonts w:ascii="Arial" w:cs="Arial" w:eastAsia="Arial" w:hAnsi="Arial"/>
                <w:sz w:val="11"/>
                <w:szCs w:val="11"/>
                <w:b w:val="1"/>
                <w:bCs w:val="1"/>
                <w:color w:val="auto"/>
                <w:w w:val="93"/>
              </w:rPr>
              <w:t>Net Revenues</w:t>
            </w:r>
          </w:p>
        </w:tc>
        <w:tc>
          <w:tcPr>
            <w:tcW w:w="220" w:type="dxa"/>
            <w:vAlign w:val="bottom"/>
          </w:tcPr>
          <w:p>
            <w:pPr>
              <w:spacing w:after="0"/>
              <w:rPr>
                <w:sz w:val="11"/>
                <w:szCs w:val="11"/>
                <w:color w:val="auto"/>
              </w:rPr>
            </w:pPr>
          </w:p>
        </w:tc>
        <w:tc>
          <w:tcPr>
            <w:tcW w:w="1180" w:type="dxa"/>
            <w:vAlign w:val="bottom"/>
            <w:gridSpan w:val="11"/>
          </w:tcPr>
          <w:p>
            <w:pPr>
              <w:jc w:val="center"/>
              <w:ind w:right="40"/>
              <w:spacing w:after="0"/>
              <w:rPr>
                <w:sz w:val="20"/>
                <w:szCs w:val="20"/>
                <w:color w:val="auto"/>
              </w:rPr>
            </w:pPr>
            <w:r>
              <w:rPr>
                <w:rFonts w:ascii="Arial" w:cs="Arial" w:eastAsia="Arial" w:hAnsi="Arial"/>
                <w:sz w:val="11"/>
                <w:szCs w:val="11"/>
                <w:b w:val="1"/>
                <w:bCs w:val="1"/>
                <w:color w:val="auto"/>
                <w:w w:val="89"/>
              </w:rPr>
              <w:t>Internal Royalties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7"/>
          </w:tcPr>
          <w:p>
            <w:pPr>
              <w:jc w:val="center"/>
              <w:ind w:right="340"/>
              <w:spacing w:after="0"/>
              <w:rPr>
                <w:sz w:val="20"/>
                <w:szCs w:val="20"/>
                <w:color w:val="auto"/>
              </w:rPr>
            </w:pPr>
            <w:r>
              <w:rPr>
                <w:rFonts w:ascii="Arial" w:cs="Arial" w:eastAsia="Arial" w:hAnsi="Arial"/>
                <w:sz w:val="11"/>
                <w:szCs w:val="11"/>
                <w:b w:val="1"/>
                <w:bCs w:val="1"/>
                <w:color w:val="auto"/>
                <w:w w:val="86"/>
              </w:rPr>
              <w:t>and Royalties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7"/>
          </w:tcPr>
          <w:p>
            <w:pPr>
              <w:jc w:val="center"/>
              <w:ind w:right="200"/>
              <w:spacing w:after="0"/>
              <w:rPr>
                <w:sz w:val="20"/>
                <w:szCs w:val="20"/>
                <w:color w:val="auto"/>
              </w:rPr>
            </w:pPr>
            <w:r>
              <w:rPr>
                <w:rFonts w:ascii="Arial" w:cs="Arial" w:eastAsia="Arial" w:hAnsi="Arial"/>
                <w:sz w:val="11"/>
                <w:szCs w:val="11"/>
                <w:b w:val="1"/>
                <w:bCs w:val="1"/>
                <w:color w:val="auto"/>
                <w:w w:val="85"/>
              </w:rPr>
              <w:t>Product Costs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center"/>
              <w:ind w:right="46"/>
              <w:spacing w:after="0"/>
              <w:rPr>
                <w:sz w:val="20"/>
                <w:szCs w:val="20"/>
                <w:color w:val="auto"/>
              </w:rPr>
            </w:pPr>
            <w:r>
              <w:rPr>
                <w:rFonts w:ascii="Arial" w:cs="Arial" w:eastAsia="Arial" w:hAnsi="Arial"/>
                <w:sz w:val="11"/>
                <w:szCs w:val="11"/>
                <w:b w:val="1"/>
                <w:bCs w:val="1"/>
                <w:color w:val="auto"/>
                <w:w w:val="80"/>
              </w:rPr>
              <w:t>Licenses</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ind w:left="200"/>
              <w:spacing w:after="0"/>
              <w:rPr>
                <w:sz w:val="20"/>
                <w:szCs w:val="20"/>
                <w:color w:val="auto"/>
              </w:rPr>
            </w:pPr>
            <w:r>
              <w:rPr>
                <w:rFonts w:ascii="Arial" w:cs="Arial" w:eastAsia="Arial" w:hAnsi="Arial"/>
                <w:sz w:val="11"/>
                <w:szCs w:val="11"/>
                <w:b w:val="1"/>
                <w:bCs w:val="1"/>
                <w:color w:val="auto"/>
              </w:rPr>
              <w:t>Marketing</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980" w:type="dxa"/>
            <w:vAlign w:val="bottom"/>
            <w:tcBorders>
              <w:top w:val="single" w:sz="8" w:color="auto"/>
            </w:tcBorders>
            <w:gridSpan w:val="7"/>
          </w:tcPr>
          <w:p>
            <w:pPr>
              <w:spacing w:after="0"/>
              <w:rPr>
                <w:sz w:val="10"/>
                <w:szCs w:val="10"/>
                <w:color w:val="auto"/>
              </w:rPr>
            </w:pPr>
          </w:p>
        </w:tc>
        <w:tc>
          <w:tcPr>
            <w:tcW w:w="200" w:type="dxa"/>
            <w:vAlign w:val="bottom"/>
            <w:gridSpan w:val="2"/>
          </w:tcPr>
          <w:p>
            <w:pPr>
              <w:spacing w:after="0"/>
              <w:rPr>
                <w:sz w:val="10"/>
                <w:szCs w:val="10"/>
                <w:color w:val="auto"/>
              </w:rPr>
            </w:pPr>
          </w:p>
        </w:tc>
        <w:tc>
          <w:tcPr>
            <w:tcW w:w="1160" w:type="dxa"/>
            <w:vAlign w:val="bottom"/>
            <w:tcBorders>
              <w:top w:val="single" w:sz="8" w:color="auto"/>
            </w:tcBorders>
            <w:gridSpan w:val="7"/>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Borders>
              <w:top w:val="single" w:sz="8" w:color="auto"/>
            </w:tcBorders>
            <w:gridSpan w:val="10"/>
          </w:tcPr>
          <w:p>
            <w:pPr>
              <w:spacing w:after="0"/>
              <w:rPr>
                <w:sz w:val="10"/>
                <w:szCs w:val="10"/>
                <w:color w:val="auto"/>
              </w:rPr>
            </w:pPr>
          </w:p>
        </w:tc>
        <w:tc>
          <w:tcPr>
            <w:tcW w:w="220" w:type="dxa"/>
            <w:vAlign w:val="bottom"/>
            <w:gridSpan w:val="2"/>
          </w:tcPr>
          <w:p>
            <w:pPr>
              <w:spacing w:after="0"/>
              <w:rPr>
                <w:sz w:val="10"/>
                <w:szCs w:val="10"/>
                <w:color w:val="auto"/>
              </w:rPr>
            </w:pPr>
          </w:p>
        </w:tc>
        <w:tc>
          <w:tcPr>
            <w:tcW w:w="1260" w:type="dxa"/>
            <w:vAlign w:val="bottom"/>
            <w:tcBorders>
              <w:top w:val="single" w:sz="8" w:color="auto"/>
            </w:tcBorders>
            <w:gridSpan w:val="7"/>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Borders>
              <w:top w:val="single" w:sz="8" w:color="auto"/>
            </w:tcBorders>
            <w:gridSpan w:val="7"/>
          </w:tcPr>
          <w:p>
            <w:pPr>
              <w:spacing w:after="0"/>
              <w:rPr>
                <w:sz w:val="10"/>
                <w:szCs w:val="10"/>
                <w:color w:val="auto"/>
              </w:rPr>
            </w:pPr>
          </w:p>
        </w:tc>
        <w:tc>
          <w:tcPr>
            <w:tcW w:w="220" w:type="dxa"/>
            <w:vAlign w:val="bottom"/>
            <w:gridSpan w:val="3"/>
          </w:tcPr>
          <w:p>
            <w:pPr>
              <w:spacing w:after="0"/>
              <w:rPr>
                <w:sz w:val="10"/>
                <w:szCs w:val="10"/>
                <w:color w:val="auto"/>
              </w:rPr>
            </w:pPr>
          </w:p>
        </w:tc>
        <w:tc>
          <w:tcPr>
            <w:tcW w:w="1160" w:type="dxa"/>
            <w:vAlign w:val="bottom"/>
            <w:tcBorders>
              <w:top w:val="single" w:sz="8" w:color="auto"/>
            </w:tcBorders>
            <w:gridSpan w:val="2"/>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Borders>
              <w:top w:val="single" w:sz="8" w:color="auto"/>
            </w:tcBorders>
            <w:gridSpan w:val="3"/>
          </w:tcPr>
          <w:p>
            <w:pPr>
              <w:spacing w:after="0"/>
              <w:rPr>
                <w:sz w:val="10"/>
                <w:szCs w:val="10"/>
                <w:color w:val="auto"/>
              </w:rPr>
            </w:pPr>
          </w:p>
        </w:tc>
        <w:tc>
          <w:tcPr>
            <w:tcW w:w="1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6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As reported</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gridSpan w:val="4"/>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w w:val="89"/>
              </w:rPr>
              <w:t>1,208,192</w:t>
            </w:r>
          </w:p>
        </w:tc>
        <w:tc>
          <w:tcPr>
            <w:tcW w:w="420" w:type="dxa"/>
            <w:vAlign w:val="bottom"/>
            <w:gridSpan w:val="2"/>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gridSpan w:val="6"/>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w w:val="95"/>
              </w:rPr>
              <w:t>240,711</w:t>
            </w:r>
          </w:p>
        </w:tc>
        <w:tc>
          <w:tcPr>
            <w:tcW w:w="320" w:type="dxa"/>
            <w:vAlign w:val="bottom"/>
            <w:gridSpan w:val="2"/>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218,753</w:t>
            </w:r>
          </w:p>
        </w:tc>
        <w:tc>
          <w:tcPr>
            <w:tcW w:w="200" w:type="dxa"/>
            <w:vAlign w:val="bottom"/>
            <w:shd w:val="clear" w:color="auto" w:fill="CCEEFF"/>
          </w:tcPr>
          <w:p>
            <w:pPr>
              <w:spacing w:after="0"/>
              <w:rPr>
                <w:sz w:val="10"/>
                <w:szCs w:val="10"/>
                <w:color w:val="auto"/>
              </w:rPr>
            </w:pP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170,127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78,468</w:t>
            </w:r>
          </w:p>
        </w:tc>
        <w:tc>
          <w:tcPr>
            <w:tcW w:w="34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247,141</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20" w:type="dxa"/>
            <w:vAlign w:val="bottom"/>
            <w:gridSpan w:val="3"/>
          </w:tcPr>
          <w:p>
            <w:pPr>
              <w:ind w:left="160"/>
              <w:spacing w:after="0" w:line="122" w:lineRule="exact"/>
              <w:rPr>
                <w:sz w:val="20"/>
                <w:szCs w:val="20"/>
                <w:color w:val="auto"/>
              </w:rPr>
            </w:pPr>
            <w:r>
              <w:rPr>
                <w:rFonts w:ascii="Arial" w:cs="Arial" w:eastAsia="Arial" w:hAnsi="Arial"/>
                <w:sz w:val="11"/>
                <w:szCs w:val="11"/>
                <w:color w:val="auto"/>
                <w:w w:val="93"/>
              </w:rPr>
              <w:t>Net effect from deferral and related cost of goods sold</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288,627</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60,971</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50,071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Arial" w:cs="Arial" w:eastAsia="Arial" w:hAnsi="Arial"/>
                <w:sz w:val="11"/>
                <w:szCs w:val="11"/>
                <w:color w:val="auto"/>
              </w:rPr>
              <w:t>11,239</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(7,269)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2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Stock-based compensation</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4"/>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(15,974)</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9"/>
          </w:tcPr>
          <w:p>
            <w:pPr>
              <w:jc w:val="right"/>
              <w:ind w:right="480"/>
              <w:spacing w:after="0"/>
              <w:rPr>
                <w:sz w:val="20"/>
                <w:szCs w:val="20"/>
                <w:color w:val="auto"/>
              </w:rPr>
            </w:pPr>
            <w:r>
              <w:rPr>
                <w:rFonts w:ascii="Arial" w:cs="Arial" w:eastAsia="Arial" w:hAnsi="Arial"/>
                <w:sz w:val="11"/>
                <w:szCs w:val="11"/>
                <w:b w:val="1"/>
                <w:bCs w:val="1"/>
                <w:color w:val="auto"/>
              </w:rPr>
              <w:t>General and</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6"/>
          </w:tcPr>
          <w:p>
            <w:pPr>
              <w:ind w:left="20"/>
              <w:spacing w:after="0"/>
              <w:rPr>
                <w:sz w:val="20"/>
                <w:szCs w:val="20"/>
                <w:color w:val="auto"/>
              </w:rPr>
            </w:pPr>
            <w:r>
              <w:rPr>
                <w:rFonts w:ascii="Arial" w:cs="Arial" w:eastAsia="Arial" w:hAnsi="Arial"/>
                <w:sz w:val="11"/>
                <w:szCs w:val="11"/>
                <w:b w:val="1"/>
                <w:bCs w:val="1"/>
                <w:color w:val="auto"/>
                <w:w w:val="85"/>
              </w:rPr>
              <w:t>Research and</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6"/>
          </w:tcPr>
          <w:p>
            <w:pPr>
              <w:jc w:val="center"/>
              <w:ind w:right="240"/>
              <w:spacing w:after="0"/>
              <w:rPr>
                <w:sz w:val="20"/>
                <w:szCs w:val="20"/>
                <w:color w:val="auto"/>
              </w:rPr>
            </w:pPr>
            <w:r>
              <w:rPr>
                <w:rFonts w:ascii="Arial" w:cs="Arial" w:eastAsia="Arial" w:hAnsi="Arial"/>
                <w:sz w:val="11"/>
                <w:szCs w:val="11"/>
                <w:b w:val="1"/>
                <w:bCs w:val="1"/>
                <w:color w:val="auto"/>
                <w:w w:val="87"/>
              </w:rPr>
              <w:t>Depreciation and</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40" w:type="dxa"/>
            <w:vAlign w:val="bottom"/>
            <w:gridSpan w:val="4"/>
          </w:tcPr>
          <w:p>
            <w:pPr>
              <w:spacing w:after="0"/>
              <w:rPr>
                <w:sz w:val="20"/>
                <w:szCs w:val="20"/>
                <w:color w:val="auto"/>
              </w:rPr>
            </w:pPr>
            <w:r>
              <w:rPr>
                <w:rFonts w:ascii="Arial" w:cs="Arial" w:eastAsia="Arial" w:hAnsi="Arial"/>
                <w:sz w:val="11"/>
                <w:szCs w:val="11"/>
                <w:b w:val="1"/>
                <w:bCs w:val="1"/>
                <w:color w:val="auto"/>
              </w:rPr>
              <w:t>Nine Months Ended December 31, 2016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9"/>
          </w:tcPr>
          <w:p>
            <w:pPr>
              <w:jc w:val="right"/>
              <w:ind w:right="420"/>
              <w:spacing w:after="0"/>
              <w:rPr>
                <w:sz w:val="20"/>
                <w:szCs w:val="20"/>
                <w:color w:val="auto"/>
              </w:rPr>
            </w:pPr>
            <w:r>
              <w:rPr>
                <w:rFonts w:ascii="Arial" w:cs="Arial" w:eastAsia="Arial" w:hAnsi="Arial"/>
                <w:sz w:val="11"/>
                <w:szCs w:val="11"/>
                <w:b w:val="1"/>
                <w:bCs w:val="1"/>
                <w:color w:val="auto"/>
              </w:rPr>
              <w:t>Administrative</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6"/>
          </w:tcPr>
          <w:p>
            <w:pPr>
              <w:ind w:left="40"/>
              <w:spacing w:after="0"/>
              <w:rPr>
                <w:sz w:val="20"/>
                <w:szCs w:val="20"/>
                <w:color w:val="auto"/>
              </w:rPr>
            </w:pPr>
            <w:r>
              <w:rPr>
                <w:rFonts w:ascii="Arial" w:cs="Arial" w:eastAsia="Arial" w:hAnsi="Arial"/>
                <w:sz w:val="11"/>
                <w:szCs w:val="11"/>
                <w:b w:val="1"/>
                <w:bCs w:val="1"/>
                <w:color w:val="auto"/>
                <w:w w:val="86"/>
              </w:rPr>
              <w:t>Development</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6"/>
          </w:tcPr>
          <w:p>
            <w:pPr>
              <w:jc w:val="center"/>
              <w:ind w:right="240"/>
              <w:spacing w:after="0"/>
              <w:rPr>
                <w:sz w:val="20"/>
                <w:szCs w:val="20"/>
                <w:color w:val="auto"/>
              </w:rPr>
            </w:pPr>
            <w:r>
              <w:rPr>
                <w:rFonts w:ascii="Arial" w:cs="Arial" w:eastAsia="Arial" w:hAnsi="Arial"/>
                <w:sz w:val="11"/>
                <w:szCs w:val="11"/>
                <w:b w:val="1"/>
                <w:bCs w:val="1"/>
                <w:color w:val="auto"/>
                <w:w w:val="92"/>
              </w:rPr>
              <w:t>Amortization</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jc w:val="right"/>
              <w:ind w:right="86"/>
              <w:spacing w:after="0"/>
              <w:rPr>
                <w:sz w:val="20"/>
                <w:szCs w:val="20"/>
                <w:color w:val="auto"/>
              </w:rPr>
            </w:pPr>
            <w:r>
              <w:rPr>
                <w:rFonts w:ascii="Arial" w:cs="Arial" w:eastAsia="Arial" w:hAnsi="Arial"/>
                <w:sz w:val="11"/>
                <w:szCs w:val="11"/>
                <w:b w:val="1"/>
                <w:bCs w:val="1"/>
                <w:color w:val="auto"/>
                <w:w w:val="95"/>
              </w:rPr>
              <w:t>Interest and Other, net</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080" w:type="dxa"/>
            <w:vAlign w:val="bottom"/>
            <w:tcBorders>
              <w:top w:val="single" w:sz="8" w:color="auto"/>
            </w:tcBorders>
            <w:gridSpan w:val="8"/>
          </w:tcPr>
          <w:p>
            <w:pPr>
              <w:spacing w:after="0"/>
              <w:rPr>
                <w:sz w:val="10"/>
                <w:szCs w:val="10"/>
                <w:color w:val="auto"/>
              </w:rPr>
            </w:pPr>
          </w:p>
        </w:tc>
        <w:tc>
          <w:tcPr>
            <w:tcW w:w="300" w:type="dxa"/>
            <w:vAlign w:val="bottom"/>
            <w:gridSpan w:val="2"/>
          </w:tcPr>
          <w:p>
            <w:pPr>
              <w:spacing w:after="0"/>
              <w:rPr>
                <w:sz w:val="10"/>
                <w:szCs w:val="10"/>
                <w:color w:val="auto"/>
              </w:rPr>
            </w:pPr>
          </w:p>
        </w:tc>
        <w:tc>
          <w:tcPr>
            <w:tcW w:w="1380" w:type="dxa"/>
            <w:vAlign w:val="bottom"/>
            <w:tcBorders>
              <w:top w:val="single" w:sz="8" w:color="auto"/>
            </w:tcBorders>
            <w:gridSpan w:val="8"/>
          </w:tcPr>
          <w:p>
            <w:pPr>
              <w:spacing w:after="0"/>
              <w:rPr>
                <w:sz w:val="10"/>
                <w:szCs w:val="10"/>
                <w:color w:val="auto"/>
              </w:rPr>
            </w:pPr>
          </w:p>
        </w:tc>
        <w:tc>
          <w:tcPr>
            <w:tcW w:w="300" w:type="dxa"/>
            <w:vAlign w:val="bottom"/>
            <w:gridSpan w:val="2"/>
          </w:tcPr>
          <w:p>
            <w:pPr>
              <w:spacing w:after="0"/>
              <w:rPr>
                <w:sz w:val="10"/>
                <w:szCs w:val="10"/>
                <w:color w:val="auto"/>
              </w:rPr>
            </w:pPr>
          </w:p>
        </w:tc>
        <w:tc>
          <w:tcPr>
            <w:tcW w:w="1380" w:type="dxa"/>
            <w:vAlign w:val="bottom"/>
            <w:tcBorders>
              <w:top w:val="single" w:sz="8" w:color="auto"/>
            </w:tcBorders>
            <w:gridSpan w:val="11"/>
          </w:tcPr>
          <w:p>
            <w:pPr>
              <w:spacing w:after="0"/>
              <w:rPr>
                <w:sz w:val="10"/>
                <w:szCs w:val="10"/>
                <w:color w:val="auto"/>
              </w:rPr>
            </w:pPr>
          </w:p>
        </w:tc>
        <w:tc>
          <w:tcPr>
            <w:tcW w:w="280" w:type="dxa"/>
            <w:vAlign w:val="bottom"/>
            <w:gridSpan w:val="3"/>
          </w:tcPr>
          <w:p>
            <w:pPr>
              <w:spacing w:after="0"/>
              <w:rPr>
                <w:sz w:val="10"/>
                <w:szCs w:val="10"/>
                <w:color w:val="auto"/>
              </w:rPr>
            </w:pPr>
          </w:p>
        </w:tc>
        <w:tc>
          <w:tcPr>
            <w:tcW w:w="1340" w:type="dxa"/>
            <w:vAlign w:val="bottom"/>
            <w:tcBorders>
              <w:top w:val="single" w:sz="8" w:color="auto"/>
            </w:tcBorders>
            <w:gridSpan w:val="6"/>
          </w:tcPr>
          <w:p>
            <w:pPr>
              <w:spacing w:after="0"/>
              <w:rPr>
                <w:sz w:val="10"/>
                <w:szCs w:val="10"/>
                <w:color w:val="auto"/>
              </w:rPr>
            </w:pPr>
          </w:p>
        </w:tc>
        <w:tc>
          <w:tcPr>
            <w:tcW w:w="280" w:type="dxa"/>
            <w:vAlign w:val="bottom"/>
            <w:gridSpan w:val="2"/>
          </w:tcPr>
          <w:p>
            <w:pPr>
              <w:spacing w:after="0"/>
              <w:rPr>
                <w:sz w:val="10"/>
                <w:szCs w:val="10"/>
                <w:color w:val="auto"/>
              </w:rPr>
            </w:pPr>
          </w:p>
        </w:tc>
        <w:tc>
          <w:tcPr>
            <w:tcW w:w="1820" w:type="dxa"/>
            <w:vAlign w:val="bottom"/>
            <w:tcBorders>
              <w:top w:val="single" w:sz="8" w:color="auto"/>
            </w:tcBorders>
            <w:gridSpan w:val="9"/>
          </w:tcPr>
          <w:p>
            <w:pPr>
              <w:spacing w:after="0"/>
              <w:rPr>
                <w:sz w:val="10"/>
                <w:szCs w:val="10"/>
                <w:color w:val="auto"/>
              </w:rPr>
            </w:pPr>
          </w:p>
        </w:tc>
        <w:tc>
          <w:tcPr>
            <w:tcW w:w="128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6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As reported</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gridSpan w:val="5"/>
            <w:shd w:val="clear" w:color="auto" w:fill="CCEEFF"/>
          </w:tcPr>
          <w:p>
            <w:pPr>
              <w:jc w:val="right"/>
              <w:ind w:right="286"/>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149,367</w:t>
            </w:r>
          </w:p>
        </w:tc>
        <w:tc>
          <w:tcPr>
            <w:tcW w:w="3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0"/>
              </w:rPr>
              <w:t>101,494</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22,329</w:t>
            </w:r>
          </w:p>
        </w:tc>
        <w:tc>
          <w:tcPr>
            <w:tcW w:w="3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gridSpan w:val="4"/>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(15,298)</w:t>
            </w: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2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Stock-based compensation</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(26,851)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(5,317)</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2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w w:val="89"/>
              </w:rPr>
              <w:t>Non-cash amortization of discount on Convertible Notes</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17,903</w:t>
            </w:r>
          </w:p>
        </w:tc>
        <w:tc>
          <w:tcPr>
            <w:tcW w:w="100" w:type="dxa"/>
            <w:vAlign w:val="bottom"/>
            <w:shd w:val="clear" w:color="auto" w:fill="CCEEFF"/>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620" w:type="dxa"/>
            <w:vAlign w:val="bottom"/>
            <w:gridSpan w:val="3"/>
          </w:tcPr>
          <w:p>
            <w:pPr>
              <w:ind w:left="160"/>
              <w:spacing w:after="0"/>
              <w:rPr>
                <w:sz w:val="20"/>
                <w:szCs w:val="20"/>
                <w:color w:val="auto"/>
              </w:rPr>
            </w:pPr>
            <w:r>
              <w:rPr>
                <w:rFonts w:ascii="Arial" w:cs="Arial" w:eastAsia="Arial" w:hAnsi="Arial"/>
                <w:sz w:val="11"/>
                <w:szCs w:val="11"/>
                <w:color w:val="auto"/>
              </w:rPr>
              <w:t>Acquisition related expenses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1"/>
                <w:szCs w:val="11"/>
                <w:color w:val="auto"/>
              </w:rPr>
              <w:t>(317)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3"/>
        </w:trPr>
        <w:tc>
          <w:tcPr>
            <w:tcW w:w="11460" w:type="dxa"/>
            <w:vAlign w:val="bottom"/>
            <w:tcBorders>
              <w:bottom w:val="single" w:sz="8" w:color="808080"/>
            </w:tcBorders>
            <w:gridSpan w:val="57"/>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87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2019-12-29T01:50:08Z</dcterms:created>
  <dcterms:modified xsi:type="dcterms:W3CDTF">2019-12-29T01:50:08Z</dcterms:modified>
</cp:coreProperties>
</file>