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November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TAKE-TWO INTERACTIVE SOFTWARE,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51-0350842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10036</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536-2842</w:t>
      </w:r>
    </w:p>
    <w:p>
      <w:pPr>
        <w:spacing w:after="0" w:line="200" w:lineRule="exact"/>
        <w:rPr>
          <w:sz w:val="24"/>
          <w:szCs w:val="24"/>
          <w:color w:val="auto"/>
        </w:rPr>
      </w:pPr>
    </w:p>
    <w:p>
      <w:pPr>
        <w:spacing w:after="0" w:line="237"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TTWO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right="160" w:firstLine="440"/>
        <w:spacing w:after="0" w:line="301" w:lineRule="auto"/>
        <w:rPr>
          <w:sz w:val="20"/>
          <w:szCs w:val="20"/>
          <w:color w:val="auto"/>
        </w:rPr>
      </w:pPr>
      <w:r>
        <w:rPr>
          <w:rFonts w:ascii="Arial" w:cs="Arial" w:eastAsia="Arial" w:hAnsi="Arial"/>
          <w:sz w:val="16"/>
          <w:szCs w:val="16"/>
          <w:color w:val="auto"/>
        </w:rPr>
        <w:t>On November 6, 2020, Take-Two Interactive Software, Inc. (the “Company”) issued press releases in the United States and the United Kingdom announcing that it was in discussions to acquire all of the issued and to be issued ordinary shares of Codemasters Group Holdings plc, a public limited company registered in England and Wales (“Codemasters”), in a cash and stock transaction (the “Proposed Acquisition”). Copies of the press releases are attached as Exhibits 99.1 and 99.2, respectively, to this Current Report on Form 8-K and are incorporated by reference herein.</w:t>
      </w:r>
    </w:p>
    <w:p>
      <w:pPr>
        <w:spacing w:after="0" w:line="15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The information included in this Current Report on Form 8-K, including Exhibits 99.1 and 99.2 hereto, that is furnished pursuant to this Item 7.01 shall not be deemed to be “filed” for the purposes of Section 18 of the Securities Exchange Act of 1934, as amended (the “Exchange Act”), or otherwise subject to the liabilities of that section or Sections 11 and 12(a)(2) of the Securities Act of 1933, as amended (the “Securities Act”). In addition, the information included in this Current Report on Form 8-K, including Exhibits 99.1 and 99.2 hereto, that is furnished pursuant to this Item 7.01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6, 2020.</w:t>
        </w:r>
      </w:hyperlink>
    </w:p>
    <w:p>
      <w:pPr>
        <w:spacing w:after="0" w:line="117"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6">
        <w:r>
          <w:rPr>
            <w:rFonts w:ascii="Arial" w:cs="Arial" w:eastAsia="Arial" w:hAnsi="Arial"/>
            <w:sz w:val="15"/>
            <w:szCs w:val="15"/>
            <w:u w:val="single" w:color="auto"/>
            <w:color w:val="0000EE"/>
          </w:rPr>
          <w:t>Press Release, dated November 6, 2020.</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Forward-Looking Information</w:t>
      </w:r>
    </w:p>
    <w:p>
      <w:pPr>
        <w:spacing w:after="0" w:line="11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The statements contained in this Current Report on Form 8-K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effect of the announcement of the Proposed Acquisition on our business relationships, operating results and business generally; the occurrence of any event or other circumstances that could give rise to the termination of the Proposed Acquisition, or the failure to satisfy conditions to completion of the Proposed Acquisition, including the receipt of all required regulatory approvals; our ability to successfully integrate Codemasters’ operations and employees;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other risks included herein; as well as, but not limited to, the risks and uncertainties discussed under the heading “Risk Factors” included in Part I, Item 1A of our Annual Report on Form 10-K for the fiscal year ended March 31, 2020; and our other periodic filings with the SEC.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Breitman</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 Americas &amp;</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97"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22960" cy="788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29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CONTACT:</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FOR IMMEDIATE RELEASE</w:t>
            </w:r>
          </w:p>
        </w:tc>
        <w:tc>
          <w:tcPr>
            <w:tcW w:w="0" w:type="dxa"/>
            <w:vAlign w:val="bottom"/>
          </w:tcPr>
          <w:p>
            <w:pPr>
              <w:spacing w:after="0"/>
              <w:rPr>
                <w:sz w:val="1"/>
                <w:szCs w:val="1"/>
                <w:color w:val="auto"/>
              </w:rPr>
            </w:pPr>
          </w:p>
        </w:tc>
      </w:tr>
      <w:tr>
        <w:trPr>
          <w:trHeight w:val="135"/>
        </w:trPr>
        <w:tc>
          <w:tcPr>
            <w:tcW w:w="464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(Corporate Press)</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Henry A. Diamond</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Alan Lewis</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2"/>
        </w:trPr>
        <w:tc>
          <w:tcPr>
            <w:tcW w:w="4640" w:type="dxa"/>
            <w:vAlign w:val="bottom"/>
            <w:gridSpan w:val="2"/>
          </w:tcPr>
          <w:p>
            <w:pPr>
              <w:spacing w:after="0"/>
              <w:rPr>
                <w:sz w:val="20"/>
                <w:szCs w:val="20"/>
                <w:color w:val="auto"/>
              </w:rPr>
            </w:pPr>
            <w:r>
              <w:rPr>
                <w:rFonts w:ascii="Arial" w:cs="Arial" w:eastAsia="Arial" w:hAnsi="Arial"/>
                <w:sz w:val="18"/>
                <w:szCs w:val="18"/>
                <w:color w:val="auto"/>
              </w:rPr>
              <w:t>Investor Relations &amp; Corporate Communications</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w w:val="92"/>
              </w:rPr>
              <w:t>Corporate Communications &amp; Public Affairs</w:t>
            </w:r>
          </w:p>
        </w:tc>
        <w:tc>
          <w:tcPr>
            <w:tcW w:w="0" w:type="dxa"/>
            <w:vAlign w:val="bottom"/>
          </w:tcPr>
          <w:p>
            <w:pPr>
              <w:spacing w:after="0"/>
              <w:rPr>
                <w:sz w:val="1"/>
                <w:szCs w:val="1"/>
                <w:color w:val="auto"/>
              </w:rPr>
            </w:pPr>
          </w:p>
        </w:tc>
      </w:tr>
      <w:tr>
        <w:trPr>
          <w:trHeight w:val="22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4320" w:type="dxa"/>
            <w:vAlign w:val="bottom"/>
            <w:gridSpan w:val="3"/>
          </w:tcPr>
          <w:p>
            <w:pPr>
              <w:ind w:left="1100"/>
              <w:spacing w:after="0"/>
              <w:rPr>
                <w:sz w:val="20"/>
                <w:szCs w:val="20"/>
                <w:color w:val="auto"/>
              </w:rPr>
            </w:pPr>
            <w:r>
              <w:rPr>
                <w:rFonts w:ascii="Arial" w:cs="Arial" w:eastAsia="Arial" w:hAnsi="Arial"/>
                <w:sz w:val="18"/>
                <w:szCs w:val="18"/>
                <w:b w:val="1"/>
                <w:bCs w:val="1"/>
                <w:color w:val="auto"/>
              </w:rPr>
              <w:t>Take-Two Interactive Software, Inc.</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(646) 536-3005</w:t>
            </w:r>
          </w:p>
        </w:tc>
        <w:tc>
          <w:tcPr>
            <w:tcW w:w="2120" w:type="dxa"/>
            <w:vAlign w:val="bottom"/>
          </w:tcPr>
          <w:p>
            <w:pPr>
              <w:spacing w:after="0"/>
              <w:rPr>
                <w:sz w:val="18"/>
                <w:szCs w:val="18"/>
                <w:color w:val="auto"/>
              </w:rPr>
            </w:pPr>
          </w:p>
        </w:tc>
        <w:tc>
          <w:tcPr>
            <w:tcW w:w="3300" w:type="dxa"/>
            <w:vAlign w:val="bottom"/>
            <w:gridSpan w:val="2"/>
          </w:tcPr>
          <w:p>
            <w:pPr>
              <w:ind w:left="1100"/>
              <w:spacing w:after="0"/>
              <w:rPr>
                <w:sz w:val="20"/>
                <w:szCs w:val="20"/>
                <w:color w:val="auto"/>
              </w:rPr>
            </w:pPr>
            <w:r>
              <w:rPr>
                <w:rFonts w:ascii="Arial" w:cs="Arial" w:eastAsia="Arial" w:hAnsi="Arial"/>
                <w:sz w:val="18"/>
                <w:szCs w:val="18"/>
                <w:color w:val="auto"/>
              </w:rPr>
              <w:t>(646) 536-2983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line="190" w:lineRule="exact"/>
              <w:rPr>
                <w:sz w:val="20"/>
                <w:szCs w:val="20"/>
                <w:color w:val="auto"/>
              </w:rPr>
            </w:pPr>
            <w:r>
              <w:rPr>
                <w:rFonts w:ascii="Arial" w:cs="Arial" w:eastAsia="Arial" w:hAnsi="Arial"/>
                <w:sz w:val="18"/>
                <w:szCs w:val="18"/>
                <w:color w:val="auto"/>
                <w:w w:val="89"/>
              </w:rPr>
              <w:t>Henry.Diamond@take2games.com</w:t>
            </w:r>
          </w:p>
        </w:tc>
        <w:tc>
          <w:tcPr>
            <w:tcW w:w="2120" w:type="dxa"/>
            <w:vAlign w:val="bottom"/>
          </w:tcPr>
          <w:p>
            <w:pPr>
              <w:spacing w:after="0"/>
              <w:rPr>
                <w:sz w:val="16"/>
                <w:szCs w:val="16"/>
                <w:color w:val="auto"/>
              </w:rPr>
            </w:pPr>
          </w:p>
        </w:tc>
        <w:tc>
          <w:tcPr>
            <w:tcW w:w="4320" w:type="dxa"/>
            <w:vAlign w:val="bottom"/>
            <w:gridSpan w:val="3"/>
          </w:tcPr>
          <w:p>
            <w:pPr>
              <w:ind w:left="1100"/>
              <w:spacing w:after="0" w:line="190" w:lineRule="exact"/>
              <w:rPr>
                <w:sz w:val="20"/>
                <w:szCs w:val="20"/>
                <w:color w:val="auto"/>
              </w:rPr>
            </w:pPr>
            <w:r>
              <w:rPr>
                <w:rFonts w:ascii="Arial" w:cs="Arial" w:eastAsia="Arial" w:hAnsi="Arial"/>
                <w:sz w:val="18"/>
                <w:szCs w:val="18"/>
                <w:color w:val="auto"/>
              </w:rPr>
              <w:t>Alan.Lewis@take2games.com</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Confirms Offer to Possibly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Acquire Codemasters Group Holdings PLC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UK-based publisher and game developer renowned for titles in the racing genre</w:t>
      </w:r>
    </w:p>
    <w:p>
      <w:pPr>
        <w:spacing w:after="0" w:line="22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u w:val="single" w:color="auto"/>
          <w:color w:val="auto"/>
        </w:rPr>
        <w:t>New York, NY – November 6, 2020</w:t>
      </w:r>
      <w:r>
        <w:rPr>
          <w:rFonts w:ascii="Arial" w:cs="Arial" w:eastAsia="Arial" w:hAnsi="Arial"/>
          <w:sz w:val="18"/>
          <w:szCs w:val="18"/>
          <w:b w:val="1"/>
          <w:bCs w:val="1"/>
          <w:color w:val="auto"/>
        </w:rPr>
        <w:t xml:space="preserve"> </w:t>
      </w:r>
      <w:r>
        <w:rPr>
          <w:rFonts w:ascii="Arial" w:cs="Arial" w:eastAsia="Arial" w:hAnsi="Arial"/>
          <w:sz w:val="18"/>
          <w:szCs w:val="18"/>
          <w:color w:val="auto"/>
        </w:rPr>
        <w:t>– Take-Two Interactive Software, Inc. (NASDAQ:TTWO) today confirmed an announcement made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Codemasters that the Company has made a proposal to acquire the entire issued share capital of UK-based game publisher and developer, Codemasters, at a price of 485 pence (*approximately $6.40) per share (the “Possible Offer”), comprising 120 pence (*approximately $1.58) per share in cash and 365 pence (*approximately $4.82) per share payable in Take-Two stock. The Possible Offer remains conditional on, among other things, the completion of confirmatory due diligence and the recommendation of the Board of Codemasters. Take-Two reserves the right to waive any of these requirements.</w:t>
      </w:r>
    </w:p>
    <w:p>
      <w:pPr>
        <w:spacing w:after="0" w:line="19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Board of Codemasters confirmed that on October 14, 2020 to Take-Two and has confirmed today that, in the event that Take-Two announces a firm intention to make an offer pursuant to Rule 2.7 of the UK City Code on Takeovers and Mergers (the “Code”) on the terms set out above, it is the current intention of the Board of Codemasters to recommend unanimously that Codemasters’ shareholders accept the Possible Offer.</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Take-Two believes that the combination of Take-Two and Codemasters would bring together two world-class interactive entertainment portfolios, with a highly complementary fit between Take-Two’s 2K publishing label and Codemasters in the racing genre. In addition, Take-Two believes that it can bring benefits to Codemasters’ performance by leveraging Take-Two’s global distribution network and 2K’s core operating expertise in publishing, including live operations, analytics, product development, and brand and performance marketing.</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Rule 2.6(a) of the Code, Take-Two is required, by not later than 12:00 p.m. ET on December 4, 2020, either to announce a firm intention to make an offer for Codemasters in accordance with Rule 2.7 of the Code or announce that it does not intend to make an offer, in which case the announcement will be treated as a statement to which Rule 2.8 of the Code applies. This deadline can be extended with the consent of the Panel in accordance with Rule 2.6(c)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certainty that any offer will be made.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While discussions are ongoing, there can be no certainty that a firm offer will be made for Codemasters by Take-Two. For the purposes of Rule 2.5 of the Code, Take-Two reserves the right to:</w:t>
      </w:r>
    </w:p>
    <w:p>
      <w:pPr>
        <w:spacing w:after="0" w:line="76" w:lineRule="exact"/>
        <w:rPr>
          <w:sz w:val="20"/>
          <w:szCs w:val="20"/>
          <w:color w:val="auto"/>
        </w:rPr>
      </w:pPr>
    </w:p>
    <w:p>
      <w:pPr>
        <w:ind w:left="420" w:right="72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 the offer consideration by the amount of any dividend or other distribution or return of capital that is paid or becomes payable by Codemasters after the date of this announcement;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20" w:right="340" w:hanging="316"/>
        <w:spacing w:after="0" w:line="277" w:lineRule="auto"/>
        <w:tabs>
          <w:tab w:leader="none" w:pos="420" w:val="left"/>
        </w:tabs>
        <w:numPr>
          <w:ilvl w:val="1"/>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Vary the form of consideration as set out above and/or introduce other forms of consideration, such as cash in substitution for all or part of the share consideration; and/or</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1"/>
          <w:numId w:val="3"/>
        </w:numPr>
        <w:rPr>
          <w:rFonts w:ascii="Arial" w:cs="Arial" w:eastAsia="Arial" w:hAnsi="Arial"/>
          <w:sz w:val="16"/>
          <w:szCs w:val="16"/>
          <w:color w:val="auto"/>
        </w:rPr>
      </w:pPr>
      <w:r>
        <w:rPr>
          <w:rFonts w:ascii="Arial" w:cs="Arial" w:eastAsia="Arial" w:hAnsi="Arial"/>
          <w:sz w:val="16"/>
          <w:szCs w:val="16"/>
          <w:color w:val="auto"/>
        </w:rPr>
        <w:t>Make an offer at any time for less than 485 pence per Codemasters share: (i) with the agreement or recommendation of the Board of Codemasters;</w:t>
      </w:r>
    </w:p>
    <w:p>
      <w:pPr>
        <w:spacing w:after="0" w:line="46" w:lineRule="exact"/>
        <w:rPr>
          <w:rFonts w:ascii="Arial" w:cs="Arial" w:eastAsia="Arial" w:hAnsi="Arial"/>
          <w:sz w:val="16"/>
          <w:szCs w:val="16"/>
          <w:color w:val="auto"/>
        </w:rPr>
      </w:pPr>
    </w:p>
    <w:p>
      <w:pPr>
        <w:jc w:val="both"/>
        <w:ind w:left="420" w:right="100" w:firstLine="8"/>
        <w:spacing w:after="0" w:line="255" w:lineRule="auto"/>
        <w:tabs>
          <w:tab w:leader="none" w:pos="685" w:val="left"/>
        </w:tabs>
        <w:numPr>
          <w:ilvl w:val="2"/>
          <w:numId w:val="3"/>
        </w:numPr>
        <w:rPr>
          <w:rFonts w:ascii="Arial" w:cs="Arial" w:eastAsia="Arial" w:hAnsi="Arial"/>
          <w:sz w:val="18"/>
          <w:szCs w:val="18"/>
          <w:color w:val="auto"/>
        </w:rPr>
      </w:pPr>
      <w:r>
        <w:rPr>
          <w:rFonts w:ascii="Arial" w:cs="Arial" w:eastAsia="Arial" w:hAnsi="Arial"/>
          <w:sz w:val="18"/>
          <w:szCs w:val="18"/>
          <w:color w:val="auto"/>
        </w:rPr>
        <w:t>if a third party announces a firm intention to make an offer for Codemasters pursuant to Rule 2.7 of the Code, which at that date is valued at a price lower than 485 pence for each Codemasters share; or (iii) following the announcement by Codemasters of a whitewash transaction pursuant to the Code; and</w:t>
      </w:r>
    </w:p>
    <w:p>
      <w:pPr>
        <w:spacing w:after="0" w:line="95" w:lineRule="exact"/>
        <w:rPr>
          <w:rFonts w:ascii="Arial" w:cs="Arial" w:eastAsia="Arial" w:hAnsi="Arial"/>
          <w:sz w:val="18"/>
          <w:szCs w:val="18"/>
          <w:color w:val="auto"/>
        </w:rPr>
      </w:pPr>
    </w:p>
    <w:p>
      <w:pPr>
        <w:ind w:right="660" w:firstLine="104"/>
        <w:spacing w:after="0" w:line="559" w:lineRule="auto"/>
        <w:tabs>
          <w:tab w:leader="none" w:pos="432" w:val="left"/>
        </w:tabs>
        <w:numPr>
          <w:ilvl w:val="1"/>
          <w:numId w:val="3"/>
        </w:numPr>
        <w:rPr>
          <w:rFonts w:ascii="Arial" w:cs="Arial" w:eastAsia="Arial" w:hAnsi="Arial"/>
          <w:sz w:val="18"/>
          <w:szCs w:val="18"/>
          <w:color w:val="auto"/>
        </w:rPr>
      </w:pPr>
      <w:r>
        <w:rPr>
          <w:rFonts w:ascii="Arial" w:cs="Arial" w:eastAsia="Arial" w:hAnsi="Arial"/>
          <w:sz w:val="18"/>
          <w:szCs w:val="18"/>
          <w:color w:val="auto"/>
        </w:rPr>
        <w:t>Implement the transaction through or together with a subsidiary of Take-Two or a company which will become a subsidiary of Take-Two. * US$ equivalent values are stated at an exchange rate £1:$1.32.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Arial" w:cs="Arial" w:eastAsia="Arial" w:hAnsi="Arial"/>
          <w:sz w:val="17"/>
          <w:szCs w:val="17"/>
          <w:u w:val="single" w:color="auto"/>
          <w:color w:val="auto"/>
        </w:rPr>
        <w:t>http://www.take2games.com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7"/>
          <w:szCs w:val="17"/>
          <w:i w:val="1"/>
          <w:iCs w:val="1"/>
          <w:color w:val="auto"/>
        </w:rPr>
        <w:t xml:space="preserve">Grand Theft Auto </w:t>
      </w:r>
      <w:r>
        <w:rPr>
          <w:rFonts w:ascii="Arial" w:cs="Arial" w:eastAsia="Arial" w:hAnsi="Arial"/>
          <w:sz w:val="17"/>
          <w:szCs w:val="17"/>
          <w:color w:val="auto"/>
        </w:rPr>
        <w:t>and</w:t>
      </w:r>
      <w:r>
        <w:rPr>
          <w:rFonts w:ascii="Arial" w:cs="Arial" w:eastAsia="Arial" w:hAnsi="Arial"/>
          <w:sz w:val="17"/>
          <w:szCs w:val="17"/>
          <w:i w:val="1"/>
          <w:iCs w:val="1"/>
          <w:color w:val="auto"/>
        </w:rPr>
        <w:t xml:space="preserve"> NBA 2K </w:t>
      </w:r>
      <w:r>
        <w:rPr>
          <w:rFonts w:ascii="Arial" w:cs="Arial" w:eastAsia="Arial" w:hAnsi="Arial"/>
          <w:sz w:val="17"/>
          <w:szCs w:val="17"/>
          <w:color w:val="auto"/>
        </w:rPr>
        <w:t>products and our ability to develop other hit titles; our ability to leverage opportunities on PlayStation 5 and Xbox Series</w:t>
      </w:r>
      <w:r>
        <w:rPr>
          <w:rFonts w:ascii="Arial" w:cs="Arial" w:eastAsia="Arial" w:hAnsi="Arial"/>
          <w:sz w:val="17"/>
          <w:szCs w:val="17"/>
          <w:i w:val="1"/>
          <w:iCs w:val="1"/>
          <w:color w:val="auto"/>
        </w:rPr>
        <w:t xml:space="preserve"> </w:t>
      </w:r>
      <w:r>
        <w:rPr>
          <w:rFonts w:ascii="Arial" w:cs="Arial" w:eastAsia="Arial" w:hAnsi="Arial"/>
          <w:sz w:val="17"/>
          <w:szCs w:val="17"/>
          <w:color w:val="auto"/>
        </w:rPr>
        <w:t>X; the timely release and significant market acceptance of our games; the ability to maintain acceptable pricing levels on our games; and risks associated with international operations.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 November 2020</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NOT FOR RELEASE, PUBLICATION OR DISTRIBUTION, DIRECTLY OR INDIRECTLY (IN WHOLE OR IN PART) IN, INTO OR FROM ANY JURISDICTION WHERE TO DO SO WOULD CONSTITUTE A VIOLATION OF THE RELEVANT LAWS OF SUCH JURISDICTION</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THIS ANNOUNCEMENT IS NOT AN ANNOUNCEMENT OF A FIRM INTENTION TO MAKE AN OFFER UNDER RULE 2.7 OF THE CITY CODE ON TAKEOVERS AND MERGERS (THE “CODE”) AND THERE CAN BE NO CERTAINTY THAT AN OFFER WILL BE MADE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CONTAINS INSIDE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Possible Offer for Codemasters Group Holdings plc (“Codemasters”)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NEW YORK – Take-Two Interactive Software, Inc. (NASDAQ: TTWO) (“Take-Two” or the “Company”) notes the announcement by the Board of Codemasters and confirms that it made a proposal to acquire the entire issued share capital of Codemasters at a price of 485 pence per share (the “Possible Offer”), comprising 120 pence per share in cash and 365 pence per share payable in Take-Two shares. The Possible Offer remains conditional on, amongst other things, the completion of confirmatory due diligence and the recommendation of the Board of Codemasters. Take-Two reserves the right to waive any of these requirements.</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Board of Codemasters confirmed on 14 October 2020 to Take-Two and has confirmed today that, in the event that Take-Two announces a firm intention to make an offer pursuant to Rule 2.7 of the UK City Code on Takeovers and Mergers (the “Code”) on the terms set out above, it is the current intention of the Board of Codemasters to recommend unanimously that Codemasters’ shareholders accept the Possible Offer.</w:t>
      </w:r>
    </w:p>
    <w:p>
      <w:pPr>
        <w:spacing w:after="0" w:line="1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Take-Two believes that the combination of Take-Two and Codemasters would bring together two world-class interactive entertainment portfolios, with a highly complementary fit between 2K and Codemasters in the racing genre. Take-Two believes that it can bring benefits to Codemasters performance by leveraging Take-Two global distribution and 2K’s core operating expertise in publishing, including, live operations, analytics, product development, and brand and performance marketing.</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accordance with Rule 2.6(a) of the Code, Take-Two is required, by not later than 5.00 p.m. on 4 December 2020, either to announce a firm intention to make an offer for Codemasters in accordance with Rule 2.7 of the Code or announce that it does not intend to make an offer, in which case the announcement will be treated as a statement to which Rule 2.8 of the Code applies. This deadline can be extended with the consent of the Panel in accordance with Rule 2.6(c)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certainty that any offer will be made.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Whilst discussions are ongoing, there can be no certainty that a firm offer will be made for Codemasters by Take-Two. For the purposes of Rule 2.5 of the Code, Take-Two reserves the right to:</w:t>
      </w:r>
    </w:p>
    <w:p>
      <w:pPr>
        <w:spacing w:after="0" w:line="76" w:lineRule="exact"/>
        <w:rPr>
          <w:sz w:val="20"/>
          <w:szCs w:val="20"/>
          <w:color w:val="auto"/>
        </w:rPr>
      </w:pPr>
    </w:p>
    <w:p>
      <w:pPr>
        <w:ind w:left="420" w:right="62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the offer consideration by the amount of any dividend or other distribution or return of capital which is paid or becomes payable by Codemasters after the date of this announcement;</w:t>
      </w:r>
    </w:p>
    <w:p>
      <w:pPr>
        <w:spacing w:after="0" w:line="75" w:lineRule="exact"/>
        <w:rPr>
          <w:rFonts w:ascii="Arial" w:cs="Arial" w:eastAsia="Arial" w:hAnsi="Arial"/>
          <w:sz w:val="18"/>
          <w:szCs w:val="18"/>
          <w:color w:val="auto"/>
        </w:rPr>
      </w:pPr>
    </w:p>
    <w:p>
      <w:pPr>
        <w:ind w:left="42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vary the form of consideration as set out above and/or introduce other forms of consideration such as cash in substitution for all or part of the share consideration; and/or</w:t>
      </w:r>
    </w:p>
    <w:p>
      <w:pPr>
        <w:sectPr>
          <w:pgSz w:w="11900" w:h="16838" w:orient="portrait"/>
          <w:cols w:equalWidth="0" w:num="1">
            <w:col w:w="11020"/>
          </w:cols>
          <w:pgMar w:left="440" w:top="121" w:right="439" w:bottom="1440" w:gutter="0" w:footer="0" w:header="0"/>
        </w:sectPr>
      </w:pPr>
    </w:p>
    <w:bookmarkStart w:id="6" w:name="page7"/>
    <w:bookmarkEnd w:id="6"/>
    <w:p>
      <w:pPr>
        <w:ind w:left="420" w:hanging="316"/>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an offer at any time for less than 485 pence per Codemasters share: (i) with the agreement or recommendation of the Board of Codemasters;</w:t>
      </w:r>
    </w:p>
    <w:p>
      <w:pPr>
        <w:spacing w:after="0" w:line="46" w:lineRule="exact"/>
        <w:rPr>
          <w:rFonts w:ascii="Arial" w:cs="Arial" w:eastAsia="Arial" w:hAnsi="Arial"/>
          <w:sz w:val="16"/>
          <w:szCs w:val="16"/>
          <w:color w:val="auto"/>
        </w:rPr>
      </w:pPr>
    </w:p>
    <w:p>
      <w:pPr>
        <w:jc w:val="both"/>
        <w:ind w:left="420" w:right="100" w:firstLine="8"/>
        <w:spacing w:after="0" w:line="255" w:lineRule="auto"/>
        <w:tabs>
          <w:tab w:leader="none" w:pos="685"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a third party announces a firm intention to make an offer for Codemasters pursuant to Rule 2.7 of the Code, which at that date is valued at a price lower than 485 pence for each Codemasters share; or (iii) following the announcement by Codemasters of a whitewash transaction pursuant to the Code; and</w:t>
      </w:r>
    </w:p>
    <w:p>
      <w:pPr>
        <w:spacing w:after="0" w:line="95" w:lineRule="exact"/>
        <w:rPr>
          <w:rFonts w:ascii="Arial" w:cs="Arial" w:eastAsia="Arial" w:hAnsi="Arial"/>
          <w:sz w:val="18"/>
          <w:szCs w:val="18"/>
          <w:color w:val="auto"/>
        </w:rPr>
      </w:pPr>
    </w:p>
    <w:p>
      <w:pPr>
        <w:ind w:left="420" w:hanging="316"/>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implement the transaction through or together with a subsidiary of Take-Two or a company which will become a subsidiary of Take-Two.</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person responsible for arranging for the release of this announcement on behalf of Take-Two is Daniel P. Emerson, Chief Legal Officer.</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5"/>
          </w:tcPr>
          <w:p>
            <w:pPr>
              <w:spacing w:after="0"/>
              <w:rPr>
                <w:sz w:val="20"/>
                <w:szCs w:val="20"/>
                <w:color w:val="auto"/>
              </w:rPr>
            </w:pPr>
            <w:r>
              <w:rPr>
                <w:rFonts w:ascii="Arial" w:cs="Arial" w:eastAsia="Arial" w:hAnsi="Arial"/>
                <w:sz w:val="18"/>
                <w:szCs w:val="18"/>
                <w:b w:val="1"/>
                <w:bCs w:val="1"/>
                <w:color w:val="auto"/>
              </w:rPr>
              <w:t>Enquiries</w:t>
            </w:r>
          </w:p>
        </w:tc>
        <w:tc>
          <w:tcPr>
            <w:tcW w:w="2400" w:type="dxa"/>
            <w:vAlign w:val="bottom"/>
          </w:tcPr>
          <w:p>
            <w:pPr>
              <w:spacing w:after="0"/>
              <w:rPr>
                <w:sz w:val="20"/>
                <w:szCs w:val="20"/>
                <w:color w:val="auto"/>
              </w:rPr>
            </w:pPr>
          </w:p>
        </w:tc>
      </w:tr>
      <w:tr>
        <w:trPr>
          <w:trHeight w:val="319"/>
        </w:trPr>
        <w:tc>
          <w:tcPr>
            <w:tcW w:w="4900" w:type="dxa"/>
            <w:vAlign w:val="bottom"/>
            <w:gridSpan w:val="5"/>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2400" w:type="dxa"/>
            <w:vAlign w:val="bottom"/>
          </w:tcPr>
          <w:p>
            <w:pPr>
              <w:spacing w:after="0"/>
              <w:rPr>
                <w:sz w:val="24"/>
                <w:szCs w:val="24"/>
                <w:color w:val="auto"/>
              </w:rPr>
            </w:pPr>
          </w:p>
        </w:tc>
      </w:tr>
      <w:tr>
        <w:trPr>
          <w:trHeight w:val="220"/>
        </w:trPr>
        <w:tc>
          <w:tcPr>
            <w:tcW w:w="490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w:t>
            </w:r>
          </w:p>
        </w:tc>
        <w:tc>
          <w:tcPr>
            <w:tcW w:w="2400" w:type="dxa"/>
            <w:vAlign w:val="bottom"/>
          </w:tcPr>
          <w:p>
            <w:pPr>
              <w:ind w:left="840"/>
              <w:spacing w:after="0"/>
              <w:rPr>
                <w:sz w:val="20"/>
                <w:szCs w:val="20"/>
                <w:color w:val="auto"/>
              </w:rPr>
            </w:pPr>
            <w:r>
              <w:rPr>
                <w:rFonts w:ascii="Arial" w:cs="Arial" w:eastAsia="Arial" w:hAnsi="Arial"/>
                <w:sz w:val="18"/>
                <w:szCs w:val="18"/>
                <w:color w:val="auto"/>
              </w:rPr>
              <w:t>+1 646 536 3005</w:t>
            </w:r>
          </w:p>
        </w:tc>
      </w:tr>
      <w:tr>
        <w:trPr>
          <w:trHeight w:val="190"/>
        </w:trPr>
        <w:tc>
          <w:tcPr>
            <w:tcW w:w="4900" w:type="dxa"/>
            <w:vAlign w:val="bottom"/>
            <w:gridSpan w:val="5"/>
          </w:tcPr>
          <w:p>
            <w:pPr>
              <w:spacing w:after="0" w:line="190" w:lineRule="exact"/>
              <w:rPr>
                <w:sz w:val="20"/>
                <w:szCs w:val="20"/>
                <w:color w:val="auto"/>
              </w:rPr>
            </w:pPr>
            <w:r>
              <w:rPr>
                <w:rFonts w:ascii="Arial" w:cs="Arial" w:eastAsia="Arial" w:hAnsi="Arial"/>
                <w:sz w:val="18"/>
                <w:szCs w:val="18"/>
                <w:color w:val="auto"/>
              </w:rPr>
              <w:t>Henry A. Diamond (Henry.Diamond@take2games.com)</w:t>
            </w:r>
          </w:p>
        </w:tc>
        <w:tc>
          <w:tcPr>
            <w:tcW w:w="2400" w:type="dxa"/>
            <w:vAlign w:val="bottom"/>
          </w:tcPr>
          <w:p>
            <w:pPr>
              <w:spacing w:after="0"/>
              <w:rPr>
                <w:sz w:val="16"/>
                <w:szCs w:val="16"/>
                <w:color w:val="auto"/>
              </w:rPr>
            </w:pPr>
          </w:p>
        </w:tc>
      </w:tr>
      <w:tr>
        <w:trPr>
          <w:trHeight w:val="222"/>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Corporate Press</w:t>
            </w:r>
          </w:p>
        </w:tc>
        <w:tc>
          <w:tcPr>
            <w:tcW w:w="2520" w:type="dxa"/>
            <w:vAlign w:val="bottom"/>
            <w:tcBorders>
              <w:top w:val="single" w:sz="8" w:color="auto"/>
            </w:tcBorders>
            <w:gridSpan w:val="2"/>
          </w:tcPr>
          <w:p>
            <w:pPr>
              <w:spacing w:after="0"/>
              <w:rPr>
                <w:sz w:val="19"/>
                <w:szCs w:val="19"/>
                <w:color w:val="auto"/>
              </w:rPr>
            </w:pPr>
          </w:p>
        </w:tc>
        <w:tc>
          <w:tcPr>
            <w:tcW w:w="900" w:type="dxa"/>
            <w:vAlign w:val="bottom"/>
          </w:tcPr>
          <w:p>
            <w:pPr>
              <w:spacing w:after="0"/>
              <w:rPr>
                <w:sz w:val="19"/>
                <w:szCs w:val="19"/>
                <w:color w:val="auto"/>
              </w:rPr>
            </w:pPr>
          </w:p>
        </w:tc>
        <w:tc>
          <w:tcPr>
            <w:tcW w:w="2400" w:type="dxa"/>
            <w:vAlign w:val="bottom"/>
          </w:tcPr>
          <w:p>
            <w:pPr>
              <w:ind w:left="840"/>
              <w:spacing w:after="0"/>
              <w:rPr>
                <w:sz w:val="20"/>
                <w:szCs w:val="20"/>
                <w:color w:val="auto"/>
              </w:rPr>
            </w:pPr>
            <w:r>
              <w:rPr>
                <w:rFonts w:ascii="Arial" w:cs="Arial" w:eastAsia="Arial" w:hAnsi="Arial"/>
                <w:sz w:val="18"/>
                <w:szCs w:val="18"/>
                <w:color w:val="auto"/>
              </w:rPr>
              <w:t>+1 646 536 2983</w:t>
            </w:r>
          </w:p>
        </w:tc>
      </w:tr>
      <w:tr>
        <w:trPr>
          <w:trHeight w:val="190"/>
        </w:trPr>
        <w:tc>
          <w:tcPr>
            <w:tcW w:w="4900" w:type="dxa"/>
            <w:vAlign w:val="bottom"/>
            <w:gridSpan w:val="5"/>
          </w:tcPr>
          <w:p>
            <w:pPr>
              <w:spacing w:after="0" w:line="190" w:lineRule="exact"/>
              <w:rPr>
                <w:sz w:val="20"/>
                <w:szCs w:val="20"/>
                <w:color w:val="auto"/>
              </w:rPr>
            </w:pPr>
            <w:r>
              <w:rPr>
                <w:rFonts w:ascii="Arial" w:cs="Arial" w:eastAsia="Arial" w:hAnsi="Arial"/>
                <w:sz w:val="18"/>
                <w:szCs w:val="18"/>
                <w:color w:val="auto"/>
              </w:rPr>
              <w:t>Alan Lewis (Alan.Lewis@take2games.com)</w:t>
            </w:r>
          </w:p>
        </w:tc>
        <w:tc>
          <w:tcPr>
            <w:tcW w:w="24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79"/>
        </w:trPr>
        <w:tc>
          <w:tcPr>
            <w:tcW w:w="4900" w:type="dxa"/>
            <w:vAlign w:val="bottom"/>
            <w:gridSpan w:val="5"/>
          </w:tcPr>
          <w:p>
            <w:pPr>
              <w:spacing w:after="0"/>
              <w:rPr>
                <w:sz w:val="20"/>
                <w:szCs w:val="20"/>
                <w:color w:val="auto"/>
              </w:rPr>
            </w:pPr>
            <w:r>
              <w:rPr>
                <w:rFonts w:ascii="Arial" w:cs="Arial" w:eastAsia="Arial" w:hAnsi="Arial"/>
                <w:sz w:val="18"/>
                <w:szCs w:val="18"/>
                <w:b w:val="1"/>
                <w:bCs w:val="1"/>
                <w:color w:val="auto"/>
              </w:rPr>
              <w:t>Goldman Sachs International</w:t>
            </w:r>
          </w:p>
        </w:tc>
        <w:tc>
          <w:tcPr>
            <w:tcW w:w="2400" w:type="dxa"/>
            <w:vAlign w:val="bottom"/>
          </w:tcPr>
          <w:p>
            <w:pPr>
              <w:spacing w:after="0"/>
              <w:rPr>
                <w:sz w:val="24"/>
                <w:szCs w:val="24"/>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Nick Harper</w:t>
            </w:r>
          </w:p>
        </w:tc>
        <w:tc>
          <w:tcPr>
            <w:tcW w:w="2400" w:type="dxa"/>
            <w:vAlign w:val="bottom"/>
          </w:tcPr>
          <w:p>
            <w:pPr>
              <w:ind w:left="840"/>
              <w:spacing w:after="0"/>
              <w:rPr>
                <w:sz w:val="20"/>
                <w:szCs w:val="20"/>
                <w:color w:val="auto"/>
              </w:rPr>
            </w:pPr>
            <w:r>
              <w:rPr>
                <w:rFonts w:ascii="Arial" w:cs="Arial" w:eastAsia="Arial" w:hAnsi="Arial"/>
                <w:sz w:val="18"/>
                <w:szCs w:val="18"/>
                <w:color w:val="auto"/>
                <w:w w:val="89"/>
              </w:rPr>
              <w:t>+44 (0) 20 7774 1000</w:t>
            </w:r>
          </w:p>
        </w:tc>
      </w:tr>
      <w:tr>
        <w:trPr>
          <w:trHeight w:val="230"/>
        </w:trPr>
        <w:tc>
          <w:tcPr>
            <w:tcW w:w="4900" w:type="dxa"/>
            <w:vAlign w:val="bottom"/>
            <w:gridSpan w:val="5"/>
          </w:tcPr>
          <w:p>
            <w:pPr>
              <w:spacing w:after="0"/>
              <w:rPr>
                <w:sz w:val="20"/>
                <w:szCs w:val="20"/>
                <w:color w:val="auto"/>
              </w:rPr>
            </w:pPr>
            <w:r>
              <w:rPr>
                <w:rFonts w:ascii="Arial" w:cs="Arial" w:eastAsia="Arial" w:hAnsi="Arial"/>
                <w:sz w:val="18"/>
                <w:szCs w:val="18"/>
                <w:color w:val="auto"/>
              </w:rPr>
              <w:t>Aaron Siegel</w:t>
            </w:r>
          </w:p>
        </w:tc>
        <w:tc>
          <w:tcPr>
            <w:tcW w:w="2400" w:type="dxa"/>
            <w:vAlign w:val="bottom"/>
          </w:tcPr>
          <w:p>
            <w:pPr>
              <w:ind w:left="840"/>
              <w:spacing w:after="0"/>
              <w:rPr>
                <w:sz w:val="20"/>
                <w:szCs w:val="20"/>
                <w:color w:val="auto"/>
              </w:rPr>
            </w:pPr>
            <w:r>
              <w:rPr>
                <w:rFonts w:ascii="Arial" w:cs="Arial" w:eastAsia="Arial" w:hAnsi="Arial"/>
                <w:sz w:val="18"/>
                <w:szCs w:val="18"/>
                <w:color w:val="auto"/>
              </w:rPr>
              <w:t>+1 212 902 1000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Take-Two Interactive Software</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http://www.take2games.com.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a website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accordance with Rule 26.1 of the Code, a copy of this announcement will be available at Take-Two’s website (</w:t>
      </w:r>
      <w:r>
        <w:rPr>
          <w:rFonts w:ascii="Arial" w:cs="Arial" w:eastAsia="Arial" w:hAnsi="Arial"/>
          <w:sz w:val="18"/>
          <w:szCs w:val="18"/>
          <w:u w:val="single" w:color="auto"/>
          <w:color w:val="auto"/>
        </w:rPr>
        <w:t>www.take2games.com</w:t>
      </w:r>
      <w:r>
        <w:rPr>
          <w:rFonts w:ascii="Arial" w:cs="Arial" w:eastAsia="Arial" w:hAnsi="Arial"/>
          <w:sz w:val="18"/>
          <w:szCs w:val="18"/>
          <w:color w:val="auto"/>
        </w:rPr>
        <w:t>) by no later than 12 noon (London time) on 9 November 2020. The content of the website referred to in this announcement is not incorporated into and does not form part of this announcement.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2.9</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accordance with Rule 2.9 of the Code, Take-Two confirms that as at the date of this announcement, it has in issue 137,441,820 shares of common stock, of which 22,420,273 are held in treasury, and 115,021,547 are outstanding. The International Securities Identification Number (ISIN) of the shares is US8740541094.</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Goldman Sachs International, which is authorised by the Prudential Regulation Authority and regulated by the Financial Conduct Authority and the Prudential Regulation Authority in the United Kingdom, is acting exclusively for Take-Two and no one else in connection with the matters referred to in this announcement and will not be responsible to anyone other than Take-Two for providing the protections afforded to clients of Goldman Sachs International, or for providing advice in connection with the matters referred to in this announcement.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Disclosure Requirements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w:t>
      </w:r>
    </w:p>
    <w:p>
      <w:pPr>
        <w:sectPr>
          <w:pgSz w:w="11900" w:h="16838" w:orient="portrait"/>
          <w:cols w:equalWidth="0" w:num="1">
            <w:col w:w="11000"/>
          </w:cols>
          <w:pgMar w:left="440" w:top="274" w:right="459" w:bottom="1440" w:gutter="0" w:footer="0" w:header="0"/>
        </w:sectPr>
      </w:pPr>
    </w:p>
    <w:bookmarkStart w:id="7" w:name="page8"/>
    <w:bookmarkEnd w:id="7"/>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Details of the offeree and offeror companies in respect of whose relevant securities Opening Position Disclosures and Dealing Disclosures must be made can be found in the Disclosure Table on the Takeover Panel’s website at www.thetakeoverpanel.org.uk,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2020-11-06T16:26:40Z</dcterms:created>
  <dcterms:modified xsi:type="dcterms:W3CDTF">2020-11-06T16:26:40Z</dcterms:modified>
</cp:coreProperties>
</file>