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15,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TAKE-TWO INTERACTIVE SOFTWARE,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085" w:type="dxa"/>
        <w:jc w:val="left"/>
        <w:tblInd w:w="0" w:type="dxa"/>
        <w:tblLayout w:type="fixed"/>
        <w:tblCellMar>
          <w:top w:w="28" w:type="dxa"/>
          <w:left w:w="28" w:type="dxa"/>
          <w:bottom w:w="28" w:type="dxa"/>
          <w:right w:w="28" w:type="dxa"/>
        </w:tblCellMar>
      </w:tblPr>
      <w:tblGrid>
        <w:gridCol w:w="812"/>
        <w:gridCol w:w="713"/>
        <w:gridCol w:w="724"/>
        <w:gridCol w:w="394"/>
        <w:gridCol w:w="394"/>
        <w:gridCol w:w="398"/>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001-34003</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51-0350842</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917" w:type="dxa"/>
        <w:jc w:val="center"/>
        <w:tblInd w:w="0" w:type="dxa"/>
        <w:tblLayout w:type="fixed"/>
        <w:tblCellMar>
          <w:top w:w="28" w:type="dxa"/>
          <w:left w:w="28" w:type="dxa"/>
          <w:bottom w:w="28" w:type="dxa"/>
          <w:right w:w="28" w:type="dxa"/>
        </w:tblCellMar>
      </w:tblPr>
      <w:tblGrid>
        <w:gridCol w:w="689"/>
        <w:gridCol w:w="606"/>
        <w:gridCol w:w="609"/>
        <w:gridCol w:w="344"/>
        <w:gridCol w:w="344"/>
        <w:gridCol w:w="346"/>
        <w:gridCol w:w="314"/>
        <w:gridCol w:w="314"/>
        <w:gridCol w:w="316"/>
        <w:gridCol w:w="303"/>
        <w:gridCol w:w="303"/>
        <w:gridCol w:w="429"/>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110 West 44th Street,</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New York, </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New York</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10036</w:t>
            </w:r>
          </w:p>
        </w:tc>
      </w:tr>
      <w:tr>
        <w:trPr/>
        <w:tc>
          <w:tcPr>
            <w:tcW w:w="38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(646) 536-2842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709"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21"/>
        <w:gridCol w:w="1121"/>
        <w:gridCol w:w="1584"/>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TTWO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07" w:type="dxa"/>
        <w:jc w:val="left"/>
        <w:tblInd w:w="0" w:type="dxa"/>
        <w:tblLayout w:type="fixed"/>
        <w:tblCellMar>
          <w:top w:w="28" w:type="dxa"/>
          <w:left w:w="28" w:type="dxa"/>
          <w:bottom w:w="28" w:type="dxa"/>
          <w:right w:w="28" w:type="dxa"/>
        </w:tblCellMar>
      </w:tblPr>
      <w:tblGrid>
        <w:gridCol w:w="337"/>
        <w:gridCol w:w="295"/>
        <w:gridCol w:w="298"/>
        <w:gridCol w:w="1334"/>
        <w:gridCol w:w="1334"/>
        <w:gridCol w:w="1337"/>
        <w:gridCol w:w="109"/>
        <w:gridCol w:w="109"/>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2.02</w:t>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15, 2025, Take-Two Interactive Software, Inc. (the “Company”) issued a press release announcing the financial results of the Company for its fourth fiscal quarter and fiscal year ended March 31, 2025.  A copy of the press release is attached to this Current Report as Exhibit 99.1 and is incorporated by reference herein.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 </w:t>
      </w:r>
    </w:p>
    <w:p>
      <w:pPr>
        <w:pStyle w:val="TextBody"/>
        <w:bidi w:val="0"/>
        <w:spacing w:before="1" w:after="1"/>
        <w:jc w:val="left"/>
        <w:rPr/>
      </w:pPr>
      <w:r>
        <w:rPr/>
      </w:r>
    </w:p>
    <w:tbl>
      <w:tblPr>
        <w:tblW w:w="3960" w:type="dxa"/>
        <w:jc w:val="left"/>
        <w:tblInd w:w="0" w:type="dxa"/>
        <w:tblLayout w:type="fixed"/>
        <w:tblCellMar>
          <w:top w:w="28" w:type="dxa"/>
          <w:left w:w="28" w:type="dxa"/>
          <w:bottom w:w="28" w:type="dxa"/>
          <w:right w:w="28" w:type="dxa"/>
        </w:tblCellMar>
      </w:tblPr>
      <w:tblGrid>
        <w:gridCol w:w="337"/>
        <w:gridCol w:w="295"/>
        <w:gridCol w:w="298"/>
        <w:gridCol w:w="887"/>
        <w:gridCol w:w="887"/>
        <w:gridCol w:w="1256"/>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9.01</w:t>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2740"/>
        <w:gridCol w:w="2740"/>
        <w:gridCol w:w="3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99.1</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ttwo4q25earningsrelease.htm">
              <w:r>
                <w:rPr>
                  <w:rStyle w:val="InternetLink"/>
                  <w:rFonts w:ascii="Times New Roman;sans-serif" w:hAnsi="Times New Roman;sans-serif"/>
                  <w:b w:val="false"/>
                  <w:color w:val="000080"/>
                  <w:sz w:val="20"/>
                  <w:u w:val="single"/>
                </w:rPr>
                <w:t>Press Release dated May 1</w:t>
              </w:r>
            </w:hyperlink>
            <w:hyperlink w:anchor="ttwo4q25earningsrelease.htm">
              <w:r>
                <w:rPr>
                  <w:rStyle w:val="InternetLink"/>
                  <w:rFonts w:ascii="Times New Roman;sans-serif" w:hAnsi="Times New Roman;sans-serif"/>
                  <w:b w:val="false"/>
                  <w:color w:val="000080"/>
                  <w:sz w:val="20"/>
                  <w:u w:val="single"/>
                </w:rPr>
                <w:t>5</w:t>
              </w:r>
            </w:hyperlink>
            <w:hyperlink w:anchor="ttwo4q25earningsrelease.htm">
              <w:r>
                <w:rPr>
                  <w:rStyle w:val="InternetLink"/>
                  <w:rFonts w:ascii="Times New Roman;sans-serif" w:hAnsi="Times New Roman;sans-serif"/>
                  <w:b w:val="false"/>
                  <w:color w:val="000080"/>
                  <w:sz w:val="20"/>
                  <w:u w:val="single"/>
                </w:rPr>
                <w:t>, 202</w:t>
              </w:r>
            </w:hyperlink>
            <w:hyperlink w:anchor="ttwo4q25earningsrelease.htm">
              <w:r>
                <w:rPr>
                  <w:rStyle w:val="InternetLink"/>
                  <w:rFonts w:ascii="Times New Roman;sans-serif" w:hAnsi="Times New Roman;sans-serif"/>
                  <w:b w:val="false"/>
                  <w:color w:val="000080"/>
                  <w:sz w:val="20"/>
                  <w:u w:val="single"/>
                </w:rPr>
                <w:t>5</w:t>
              </w:r>
            </w:hyperlink>
            <w:hyperlink w:anchor="ttwo4q25earningsrelease.htm">
              <w:r>
                <w:rPr>
                  <w:rStyle w:val="InternetLink"/>
                  <w:rFonts w:ascii="Times New Roman;sans-serif" w:hAnsi="Times New Roman;sans-serif"/>
                  <w:b w:val="false"/>
                  <w:color w:val="000080"/>
                  <w:sz w:val="20"/>
                  <w:u w:val="single"/>
                </w:rPr>
                <w:t xml:space="preserve"> relating to Take-Two Interactive Software, Inc.’s financial results for its fourth fiscal quarter and fiscal year ended March 31, 202</w:t>
              </w:r>
            </w:hyperlink>
            <w:r>
              <w:rPr>
                <w:rFonts w:ascii="Times New Roman;sans-serif" w:hAnsi="Times New Roman;sans-serif"/>
                <w:b w:val="false"/>
                <w:color w:val="0000FF"/>
                <w:sz w:val="20"/>
                <w:u w:val="single"/>
              </w:rPr>
              <w:t>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120"/>
        <w:jc w:val="left"/>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7740" w:type="dxa"/>
        <w:jc w:val="left"/>
        <w:tblInd w:w="0" w:type="dxa"/>
        <w:tblLayout w:type="fixed"/>
        <w:tblCellMar>
          <w:top w:w="28" w:type="dxa"/>
          <w:left w:w="28" w:type="dxa"/>
          <w:bottom w:w="28" w:type="dxa"/>
          <w:right w:w="28" w:type="dxa"/>
        </w:tblCellMar>
      </w:tblPr>
      <w:tblGrid>
        <w:gridCol w:w="629"/>
        <w:gridCol w:w="554"/>
        <w:gridCol w:w="557"/>
        <w:gridCol w:w="625"/>
        <w:gridCol w:w="625"/>
        <w:gridCol w:w="625"/>
        <w:gridCol w:w="1204"/>
        <w:gridCol w:w="1204"/>
        <w:gridCol w:w="171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TAKE-TWO INTERACTIVE SOFTWARE, INC.</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Breitman</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Breitman</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Americas</w:t>
              <w:br/>
              <w:t>&amp; Corporate Secretary</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00"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99.1</w:t>
      </w:r>
    </w:p>
    <w:p>
      <w:pPr>
        <w:pStyle w:val="TextBody"/>
        <w:bidi w:val="0"/>
        <w:spacing w:before="0" w:after="0"/>
        <w:jc w:val="right"/>
        <w:rPr/>
      </w:pPr>
      <w:r>
        <w:rPr/>
      </w:r>
    </w:p>
    <w:tbl>
      <w:tblPr>
        <w:tblW w:w="5348" w:type="dxa"/>
        <w:jc w:val="left"/>
        <w:tblInd w:w="0" w:type="dxa"/>
        <w:tblLayout w:type="fixed"/>
        <w:tblCellMar>
          <w:top w:w="28" w:type="dxa"/>
          <w:left w:w="28" w:type="dxa"/>
          <w:bottom w:w="28" w:type="dxa"/>
          <w:right w:w="28" w:type="dxa"/>
        </w:tblCellMar>
      </w:tblPr>
      <w:tblGrid>
        <w:gridCol w:w="841"/>
        <w:gridCol w:w="739"/>
        <w:gridCol w:w="741"/>
        <w:gridCol w:w="109"/>
        <w:gridCol w:w="109"/>
        <w:gridCol w:w="109"/>
        <w:gridCol w:w="790"/>
        <w:gridCol w:w="790"/>
        <w:gridCol w:w="1120"/>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09700" cy="1409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09700" cy="1409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 IMMEDIATE RELEASE</w:t>
            </w:r>
          </w:p>
        </w:tc>
      </w:tr>
    </w:tbl>
    <w:p>
      <w:pPr>
        <w:pStyle w:val="TextBody"/>
        <w:bidi w:val="0"/>
        <w:spacing w:before="0" w:after="0"/>
        <w:jc w:val="left"/>
        <w:rPr/>
      </w:pPr>
      <w:r>
        <w:rPr/>
      </w:r>
    </w:p>
    <w:tbl>
      <w:tblPr>
        <w:tblW w:w="8402" w:type="dxa"/>
        <w:jc w:val="left"/>
        <w:tblInd w:w="0" w:type="dxa"/>
        <w:tblLayout w:type="fixed"/>
        <w:tblCellMar>
          <w:top w:w="28" w:type="dxa"/>
          <w:left w:w="28" w:type="dxa"/>
          <w:bottom w:w="28" w:type="dxa"/>
          <w:right w:w="28" w:type="dxa"/>
        </w:tblCellMar>
      </w:tblPr>
      <w:tblGrid>
        <w:gridCol w:w="1583"/>
        <w:gridCol w:w="1387"/>
        <w:gridCol w:w="1394"/>
        <w:gridCol w:w="109"/>
        <w:gridCol w:w="1148"/>
        <w:gridCol w:w="1148"/>
        <w:gridCol w:w="1633"/>
      </w:tblGrid>
      <w:tr>
        <w:trPr/>
        <w:tc>
          <w:tcPr>
            <w:tcW w:w="15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CONTACT: </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Press)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Nicole Shevins</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Alan Lewis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Vice President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Investor Relations &amp; Corporate Communications </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Communications &amp; Public Affairs</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Take-Two Interactive Software, Inc.</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Take-Two Interactive Software, Inc.</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(646) 536-3005</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(646) 536-2983</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Nicole.Shevins@take2games.com </w:t>
            </w:r>
          </w:p>
        </w:tc>
        <w:tc>
          <w:tcPr>
            <w:tcW w:w="109" w:type="dxa"/>
            <w:tcBorders/>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Alan.Lewis@take2games.com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Take-Two Interactive Software, Inc. Reports Results for Fourth Quarter and Fiscal Year 2025</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$1.58 billion fourth quarter Net Bookings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xml:space="preserve">$5.65 billion fiscal year 2025 Net Bookings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Initial outlook for fiscal 2026 includes Net Bookings of $5.9 to $6.0 billion</w:t>
      </w:r>
    </w:p>
    <w:p>
      <w:pPr>
        <w:pStyle w:val="TextBody"/>
        <w:bidi w:val="0"/>
        <w:spacing w:before="0" w:after="0"/>
        <w:jc w:val="center"/>
        <w:rPr/>
      </w:pPr>
      <w:r>
        <w:rPr/>
      </w:r>
    </w:p>
    <w:p>
      <w:pPr>
        <w:pStyle w:val="TextBody"/>
        <w:bidi w:val="0"/>
        <w:spacing w:lineRule="auto" w:line="268" w:before="0" w:after="0"/>
        <w:jc w:val="left"/>
        <w:rPr/>
      </w:pPr>
      <w:r>
        <w:rPr>
          <w:rFonts w:ascii="Arial;sans-serif" w:hAnsi="Arial;sans-serif"/>
          <w:b/>
          <w:color w:val="000000"/>
          <w:sz w:val="20"/>
          <w:u w:val="single"/>
        </w:rPr>
        <w:t>New York, NY – May 15, 2025</w:t>
      </w:r>
      <w:r>
        <w:rPr>
          <w:color w:val="000000"/>
        </w:rPr>
        <w:t xml:space="preserve"> – </w:t>
      </w:r>
      <w:r>
        <w:rPr>
          <w:rFonts w:ascii="Arial;sans-serif" w:hAnsi="Arial;sans-serif"/>
          <w:b w:val="false"/>
          <w:color w:val="000000"/>
          <w:sz w:val="20"/>
        </w:rPr>
        <w:t xml:space="preserve">Take-Two Interactive Software, Inc. (NASDAQ:TTWO) today reported results for the fourth quarter and fiscal year 2025, ended March 31, 2025. For further information, please see the fourth quarter and fiscal 2025 results slide deck posted to the Company’s investor relations website at </w:t>
      </w:r>
      <w:r>
        <w:rPr>
          <w:rFonts w:ascii="Arial;sans-serif" w:hAnsi="Arial;sans-serif"/>
          <w:b w:val="false"/>
          <w:color w:val="0000FF"/>
          <w:sz w:val="20"/>
          <w:u w:val="single"/>
        </w:rPr>
        <w:t>take2games.com/ir</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CEO Comments</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val="false"/>
          <w:color w:val="000000"/>
          <w:sz w:val="20"/>
        </w:rPr>
        <w:t xml:space="preserve">We achieved outstanding results in our 2025 Fiscal Year, with each of our labels contributing meaningfully to our performance. Our Fiscal 2026 outlook reflects continuing positive momentum, with Net Bookings guidance of $5.9 to $6.0 billion. As we bring our exciting lineup to market, including </w:t>
      </w:r>
      <w:r>
        <w:rPr>
          <w:rFonts w:ascii="Arial;sans-serif" w:hAnsi="Arial;sans-serif"/>
          <w:b w:val="false"/>
          <w:i/>
          <w:color w:val="000000"/>
          <w:sz w:val="20"/>
        </w:rPr>
        <w:t xml:space="preserve">Grand Theft Auto VI </w:t>
      </w:r>
      <w:r>
        <w:rPr>
          <w:rFonts w:ascii="Arial;sans-serif" w:hAnsi="Arial;sans-serif"/>
          <w:b w:val="false"/>
          <w:color w:val="000000"/>
          <w:sz w:val="20"/>
        </w:rPr>
        <w:t>in Fiscal 2027, we expect to achieve record levels of Net Bookings that will establish a new baseline for our business and set us on a path of enhanced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Fourth Quarter Fiscal 2025 Financial and Operational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Total Net Bookings* grew 17% to $1.58 billion, as compared to $1.35 billion during last year’s fiscal fourth quarter.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Bookings from recurrent consumer spending** increased 14% and accounted for 77% of total Net Bookings.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Net Bookings were </w:t>
      </w:r>
      <w:r>
        <w:rPr>
          <w:rFonts w:ascii="Arial;sans-serif" w:hAnsi="Arial;sans-serif"/>
          <w:b w:val="false"/>
          <w:i/>
          <w:color w:val="000000"/>
          <w:sz w:val="20"/>
        </w:rPr>
        <w:t>NBA® 2K25,</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Grand Theft Auto V, Civilization® VII, Toon Blast™</w:t>
      </w:r>
      <w:r>
        <w:rPr>
          <w:rFonts w:ascii="Arial;sans-serif" w:hAnsi="Arial;sans-serif"/>
          <w:b w:val="false"/>
          <w:color w:val="000000"/>
          <w:sz w:val="20"/>
        </w:rPr>
        <w:t xml:space="preserve">, our hyper-casual mobile portfolio, </w:t>
      </w:r>
      <w:r>
        <w:rPr>
          <w:rFonts w:ascii="Arial;sans-serif" w:hAnsi="Arial;sans-serif"/>
          <w:b w:val="false"/>
          <w:i/>
          <w:color w:val="000000"/>
          <w:sz w:val="20"/>
        </w:rPr>
        <w:t>Match Factory!™, Empires &amp; Puzzles™, Red Dead Redemption® 2</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Red Dead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WWE® 2K25.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GAAP net revenue increased 13% to $1.58 billion, as compared to $1.40 billion in last year’s fiscal fourth</w:t>
      </w:r>
      <w:r>
        <w:rPr>
          <w:color w:val="000000"/>
        </w:rPr>
        <w:t xml:space="preserve"> </w:t>
      </w:r>
      <w:r>
        <w:rPr>
          <w:rFonts w:ascii="Arial;sans-serif" w:hAnsi="Arial;sans-serif"/>
          <w:b w:val="false"/>
          <w:color w:val="000000"/>
          <w:sz w:val="20"/>
        </w:rPr>
        <w:t xml:space="preserve">quarter. </w:t>
      </w:r>
    </w:p>
    <w:p>
      <w:pPr>
        <w:pStyle w:val="TextBody"/>
        <w:bidi w:val="0"/>
        <w:spacing w:lineRule="auto" w:line="288"/>
        <w:ind w:left="0" w:right="0" w:hanging="360"/>
        <w:jc w:val="left"/>
        <w:rPr/>
      </w:pPr>
      <w:r>
        <w:rPr>
          <w:color w:val="000000"/>
        </w:rPr>
        <w:t>◦</w:t>
      </w:r>
      <w:r>
        <w:rPr>
          <w:rFonts w:ascii="Arial;sans-serif" w:hAnsi="Arial;sans-serif"/>
          <w:b w:val="false"/>
          <w:color w:val="000000"/>
          <w:sz w:val="20"/>
        </w:rPr>
        <w:t xml:space="preserve">Recurrent consumer spending** increased 9% and accounted for 76% of total GAAP net revenue.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GAAP net revenue were </w:t>
      </w:r>
      <w:r>
        <w:rPr>
          <w:rFonts w:ascii="Arial;sans-serif" w:hAnsi="Arial;sans-serif"/>
          <w:b w:val="false"/>
          <w:i/>
          <w:color w:val="000000"/>
          <w:sz w:val="20"/>
        </w:rPr>
        <w:t xml:space="preserve">NBA 2K25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NBA 2K24,</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Grand Theft Auto V, Civilization VII</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 xml:space="preserve">Toon Blast, </w:t>
      </w:r>
      <w:r>
        <w:rPr>
          <w:rFonts w:ascii="Arial;sans-serif" w:hAnsi="Arial;sans-serif"/>
          <w:b w:val="false"/>
          <w:color w:val="000000"/>
          <w:sz w:val="20"/>
        </w:rPr>
        <w:t xml:space="preserve">our hyper-casual mobile portfolio, </w:t>
      </w:r>
      <w:r>
        <w:rPr>
          <w:rFonts w:ascii="Arial;sans-serif" w:hAnsi="Arial;sans-serif"/>
          <w:b w:val="false"/>
          <w:i/>
          <w:color w:val="000000"/>
          <w:sz w:val="20"/>
        </w:rPr>
        <w:t>Match Factory!,</w:t>
      </w:r>
      <w:r>
        <w:rPr>
          <w:color w:val="000000"/>
        </w:rPr>
        <w:t xml:space="preserve"> </w:t>
      </w:r>
      <w:r>
        <w:rPr>
          <w:rFonts w:ascii="Arial;sans-serif" w:hAnsi="Arial;sans-serif"/>
          <w:b w:val="false"/>
          <w:i/>
          <w:color w:val="000000"/>
          <w:sz w:val="20"/>
        </w:rPr>
        <w:t xml:space="preserve">Empires &amp; Puzzles, Red Dead Redemption 2 </w:t>
      </w:r>
      <w:r>
        <w:rPr>
          <w:rFonts w:ascii="Arial;sans-serif" w:hAnsi="Arial;sans-serif"/>
          <w:b w:val="false"/>
          <w:color w:val="000000"/>
          <w:sz w:val="20"/>
        </w:rPr>
        <w:t xml:space="preserve">and </w:t>
      </w:r>
      <w:r>
        <w:rPr>
          <w:rFonts w:ascii="Arial;sans-serif" w:hAnsi="Arial;sans-serif"/>
          <w:b w:val="false"/>
          <w:i/>
          <w:color w:val="000000"/>
          <w:sz w:val="20"/>
        </w:rPr>
        <w:t xml:space="preserve">Red Dead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WWE 2K25</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GAAP net loss was $3.73 billion, or $21.08 per share, as compared to $2.90 billion, or $17.02</w:t>
      </w:r>
      <w:r>
        <w:rPr>
          <w:color w:val="000000"/>
        </w:rPr>
        <w:t xml:space="preserve"> </w:t>
      </w:r>
      <w:r>
        <w:rPr>
          <w:rFonts w:ascii="Arial;sans-serif" w:hAnsi="Arial;sans-serif"/>
          <w:b w:val="false"/>
          <w:color w:val="000000"/>
          <w:sz w:val="20"/>
        </w:rPr>
        <w:t xml:space="preserve">per share, for the comparable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GAAP results include impairment charges of (i) $3.55 billion related to goodwill and (ii) $176.3 million for acquisition-related intangible assets.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Fourth Quarter Fiscal Year 2025 Financial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following data is used internally by the Company’s management and Board of Directors to adjust the Company’s GAAP and Non-GAAP financial results in order to facilitate comparison of its operating performance between periods and to better understand its core business and future outlook: </w:t>
      </w:r>
    </w:p>
    <w:p>
      <w:pPr>
        <w:pStyle w:val="TextBody"/>
        <w:bidi w:val="0"/>
        <w:spacing w:before="0" w:after="0"/>
        <w:jc w:val="left"/>
        <w:rPr/>
      </w:pPr>
      <w:r>
        <w:rPr/>
      </w:r>
    </w:p>
    <w:tbl>
      <w:tblPr>
        <w:tblW w:w="10397" w:type="dxa"/>
        <w:jc w:val="left"/>
        <w:tblInd w:w="0" w:type="dxa"/>
        <w:tblLayout w:type="fixed"/>
        <w:tblCellMar>
          <w:top w:w="28" w:type="dxa"/>
          <w:left w:w="28" w:type="dxa"/>
          <w:bottom w:w="28" w:type="dxa"/>
          <w:right w:w="28" w:type="dxa"/>
        </w:tblCellMar>
      </w:tblPr>
      <w:tblGrid>
        <w:gridCol w:w="572"/>
        <w:gridCol w:w="239"/>
        <w:gridCol w:w="240"/>
        <w:gridCol w:w="109"/>
        <w:gridCol w:w="109"/>
        <w:gridCol w:w="109"/>
        <w:gridCol w:w="330"/>
        <w:gridCol w:w="330"/>
        <w:gridCol w:w="331"/>
        <w:gridCol w:w="109"/>
        <w:gridCol w:w="109"/>
        <w:gridCol w:w="109"/>
        <w:gridCol w:w="255"/>
        <w:gridCol w:w="255"/>
        <w:gridCol w:w="256"/>
        <w:gridCol w:w="109"/>
        <w:gridCol w:w="109"/>
        <w:gridCol w:w="109"/>
        <w:gridCol w:w="415"/>
        <w:gridCol w:w="415"/>
        <w:gridCol w:w="416"/>
        <w:gridCol w:w="109"/>
        <w:gridCol w:w="109"/>
        <w:gridCol w:w="109"/>
        <w:gridCol w:w="440"/>
        <w:gridCol w:w="440"/>
        <w:gridCol w:w="441"/>
        <w:gridCol w:w="109"/>
        <w:gridCol w:w="109"/>
        <w:gridCol w:w="109"/>
        <w:gridCol w:w="380"/>
        <w:gridCol w:w="380"/>
        <w:gridCol w:w="381"/>
        <w:gridCol w:w="109"/>
        <w:gridCol w:w="109"/>
        <w:gridCol w:w="109"/>
        <w:gridCol w:w="330"/>
        <w:gridCol w:w="330"/>
        <w:gridCol w:w="331"/>
        <w:gridCol w:w="109"/>
        <w:gridCol w:w="109"/>
        <w:gridCol w:w="109"/>
        <w:gridCol w:w="176"/>
        <w:gridCol w:w="176"/>
        <w:gridCol w:w="249"/>
      </w:tblGrid>
      <w:tr>
        <w:trPr/>
        <w:tc>
          <w:tcPr>
            <w:tcW w:w="5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Stock-based compensation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Business Reorganization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and impairment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Business acquisition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(a)</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(3,776.9)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3,574.9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0.6</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gain on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(3,801.9)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3,578.5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1.8</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1.8</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above table utilizes a management tax rate of 18%</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Fully diluted share count in order to calculate management diluted net income per share 179.0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Other includes adjustments for (i) the revaluation of the Turkish Lira against the U.S. Dollar and (ii) fair value adjustments related to certain equity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Fiscal Year 2025 Financial and Operational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Total Net Bookings* grew 6% to $5.65 billion, as compared to $5.33 billion during last fiscal 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Bookings from recurrent consumer spending** increased 7% and accounted for 80% of total Net Bookings.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Net Bookings were </w:t>
      </w:r>
      <w:r>
        <w:rPr>
          <w:rFonts w:ascii="Arial;sans-serif" w:hAnsi="Arial;sans-serif"/>
          <w:b w:val="false"/>
          <w:i/>
          <w:color w:val="000000"/>
          <w:sz w:val="20"/>
        </w:rPr>
        <w:t>NBA 2K25</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NBA 2K24,</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Grand Theft Auto V, Toon Blast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our hyper-casual mobile portfolio, </w:t>
      </w:r>
      <w:r>
        <w:rPr>
          <w:rFonts w:ascii="Arial;sans-serif" w:hAnsi="Arial;sans-serif"/>
          <w:b w:val="false"/>
          <w:i/>
          <w:color w:val="000000"/>
          <w:sz w:val="20"/>
        </w:rPr>
        <w:t>Match Factory!</w:t>
      </w:r>
      <w:r>
        <w:rPr>
          <w:rFonts w:ascii="Arial;sans-serif" w:hAnsi="Arial;sans-serif"/>
          <w:b w:val="false"/>
          <w:color w:val="000000"/>
          <w:sz w:val="20"/>
        </w:rPr>
        <w:t xml:space="preserve">, </w:t>
      </w:r>
      <w:r>
        <w:rPr>
          <w:rFonts w:ascii="Arial;sans-serif" w:hAnsi="Arial;sans-serif"/>
          <w:b w:val="false"/>
          <w:i/>
          <w:color w:val="000000"/>
          <w:sz w:val="20"/>
        </w:rPr>
        <w:t>Empires &amp; Puzzles,</w:t>
      </w:r>
      <w:r>
        <w:rPr>
          <w:color w:val="000000"/>
        </w:rPr>
        <w:t xml:space="preserve"> </w:t>
      </w:r>
      <w:r>
        <w:rPr>
          <w:rFonts w:ascii="Arial;sans-serif" w:hAnsi="Arial;sans-serif"/>
          <w:b w:val="false"/>
          <w:i/>
          <w:color w:val="000000"/>
          <w:sz w:val="20"/>
        </w:rPr>
        <w:t>Red Dead Redemption 2</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Red Dead Online,</w:t>
      </w:r>
      <w:r>
        <w:rPr>
          <w:color w:val="000000"/>
        </w:rPr>
        <w:t xml:space="preserve"> </w:t>
      </w:r>
      <w:r>
        <w:rPr>
          <w:rFonts w:ascii="Arial;sans-serif" w:hAnsi="Arial;sans-serif"/>
          <w:b w:val="false"/>
          <w:i/>
          <w:color w:val="000000"/>
          <w:sz w:val="20"/>
        </w:rPr>
        <w:t>Words With Friends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Toy Blast.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GAAP net revenue increased</w:t>
      </w:r>
      <w:r>
        <w:rPr>
          <w:color w:val="000000"/>
        </w:rPr>
        <w:t xml:space="preserve"> </w:t>
      </w:r>
      <w:r>
        <w:rPr>
          <w:rFonts w:ascii="Arial;sans-serif" w:hAnsi="Arial;sans-serif"/>
          <w:b w:val="false"/>
          <w:color w:val="000000"/>
          <w:sz w:val="20"/>
        </w:rPr>
        <w:t>5%</w:t>
      </w:r>
      <w:r>
        <w:rPr>
          <w:color w:val="000000"/>
        </w:rPr>
        <w:t xml:space="preserve"> </w:t>
      </w:r>
      <w:r>
        <w:rPr>
          <w:rFonts w:ascii="Arial;sans-serif" w:hAnsi="Arial;sans-serif"/>
          <w:b w:val="false"/>
          <w:color w:val="000000"/>
          <w:sz w:val="20"/>
        </w:rPr>
        <w:t>to $5.63 billion, as compared to $5.35 billion</w:t>
      </w:r>
      <w:r>
        <w:rPr>
          <w:color w:val="000000"/>
        </w:rPr>
        <w:t xml:space="preserve"> </w:t>
      </w:r>
      <w:r>
        <w:rPr>
          <w:rFonts w:ascii="Arial;sans-serif" w:hAnsi="Arial;sans-serif"/>
          <w:b w:val="false"/>
          <w:color w:val="000000"/>
          <w:sz w:val="20"/>
        </w:rPr>
        <w:t xml:space="preserve">during last fiscal 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Recurrent consumer spending** increased 5% and accounted for 79% of total GAAP net revenue.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largest contributors to GAAP net revenue were </w:t>
      </w:r>
      <w:r>
        <w:rPr>
          <w:rFonts w:ascii="Arial;sans-serif" w:hAnsi="Arial;sans-serif"/>
          <w:b w:val="false"/>
          <w:i/>
          <w:color w:val="000000"/>
          <w:sz w:val="20"/>
        </w:rPr>
        <w:t xml:space="preserve">NBA 2K24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NBA 2K25,</w:t>
      </w:r>
      <w:r>
        <w:rPr>
          <w:color w:val="000000"/>
        </w:rPr>
        <w:t xml:space="preserve"> </w:t>
      </w:r>
      <w:r>
        <w:rPr>
          <w:rFonts w:ascii="Arial;sans-serif" w:hAnsi="Arial;sans-serif"/>
          <w:b w:val="false"/>
          <w:i/>
          <w:color w:val="000000"/>
          <w:sz w:val="20"/>
        </w:rPr>
        <w:t xml:space="preserve">Grand Theft Auto Online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Grand Theft Auto V, Toon Blast, </w:t>
      </w:r>
      <w:r>
        <w:rPr>
          <w:rFonts w:ascii="Arial;sans-serif" w:hAnsi="Arial;sans-serif"/>
          <w:b w:val="false"/>
          <w:color w:val="000000"/>
          <w:sz w:val="20"/>
        </w:rPr>
        <w:t xml:space="preserve">our hyper-casual mobile portfolio, </w:t>
      </w:r>
      <w:r>
        <w:rPr>
          <w:rFonts w:ascii="Arial;sans-serif" w:hAnsi="Arial;sans-serif"/>
          <w:b w:val="false"/>
          <w:i/>
          <w:color w:val="000000"/>
          <w:sz w:val="20"/>
        </w:rPr>
        <w:t>Match Factory!</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 xml:space="preserve">Empires &amp; Puzzles, Red Dead Redemption 2 </w:t>
      </w:r>
      <w:r>
        <w:rPr>
          <w:rFonts w:ascii="Arial;sans-serif" w:hAnsi="Arial;sans-serif"/>
          <w:b w:val="false"/>
          <w:color w:val="000000"/>
          <w:sz w:val="20"/>
        </w:rPr>
        <w:t xml:space="preserve">and </w:t>
      </w:r>
      <w:r>
        <w:rPr>
          <w:rFonts w:ascii="Arial;sans-serif" w:hAnsi="Arial;sans-serif"/>
          <w:b w:val="false"/>
          <w:i/>
          <w:color w:val="000000"/>
          <w:sz w:val="20"/>
        </w:rPr>
        <w:t xml:space="preserve">Red Dead Online, Civilization VII,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Words With Friends.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GAAP net loss was $4.48 billion, or $25.58 per share, as compared to $3.74 billion, or $22.01 per share, for the comparable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GAAP results include impairment charges of (i) $3.55 billion related to goodwill and (ii) $176.3 million for acquisition-related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Net Bookings is our operational metric and defined as the net amount of products and services sold digitally or sold-in physically during the period, and includes licensing fees, merchandise, in-game advertising, strategy guides and publisher incentives.</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Recurrent consumer spending is generated from ongoing consumer engagement and includes virtual currency, add-on content, in-game purchases and in-game advertising.</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Fiscal Year 2025 Financial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following data is used internally by the Company’s management and Board of Directors to adjust the Company’s GAAP and Non-GAAP financial results in order to facilitate comparison of its operating performance between periods and to better understand its core business and future outlook:</w:t>
      </w:r>
    </w:p>
    <w:p>
      <w:pPr>
        <w:pStyle w:val="TextBody"/>
        <w:bidi w:val="0"/>
        <w:spacing w:before="0" w:after="0"/>
        <w:jc w:val="left"/>
        <w:rPr/>
      </w:pPr>
      <w:r>
        <w:rPr/>
      </w:r>
    </w:p>
    <w:tbl>
      <w:tblPr>
        <w:tblW w:w="10337" w:type="dxa"/>
        <w:jc w:val="left"/>
        <w:tblInd w:w="0" w:type="dxa"/>
        <w:tblLayout w:type="fixed"/>
        <w:tblCellMar>
          <w:top w:w="28" w:type="dxa"/>
          <w:left w:w="28" w:type="dxa"/>
          <w:bottom w:w="28" w:type="dxa"/>
          <w:right w:w="28" w:type="dxa"/>
        </w:tblCellMar>
      </w:tblPr>
      <w:tblGrid>
        <w:gridCol w:w="572"/>
        <w:gridCol w:w="239"/>
        <w:gridCol w:w="240"/>
        <w:gridCol w:w="109"/>
        <w:gridCol w:w="109"/>
        <w:gridCol w:w="109"/>
        <w:gridCol w:w="330"/>
        <w:gridCol w:w="330"/>
        <w:gridCol w:w="331"/>
        <w:gridCol w:w="109"/>
        <w:gridCol w:w="109"/>
        <w:gridCol w:w="109"/>
        <w:gridCol w:w="255"/>
        <w:gridCol w:w="255"/>
        <w:gridCol w:w="256"/>
        <w:gridCol w:w="109"/>
        <w:gridCol w:w="109"/>
        <w:gridCol w:w="109"/>
        <w:gridCol w:w="415"/>
        <w:gridCol w:w="415"/>
        <w:gridCol w:w="416"/>
        <w:gridCol w:w="109"/>
        <w:gridCol w:w="109"/>
        <w:gridCol w:w="109"/>
        <w:gridCol w:w="420"/>
        <w:gridCol w:w="420"/>
        <w:gridCol w:w="421"/>
        <w:gridCol w:w="109"/>
        <w:gridCol w:w="109"/>
        <w:gridCol w:w="109"/>
        <w:gridCol w:w="380"/>
        <w:gridCol w:w="380"/>
        <w:gridCol w:w="381"/>
        <w:gridCol w:w="109"/>
        <w:gridCol w:w="109"/>
        <w:gridCol w:w="109"/>
        <w:gridCol w:w="330"/>
        <w:gridCol w:w="330"/>
        <w:gridCol w:w="331"/>
        <w:gridCol w:w="109"/>
        <w:gridCol w:w="109"/>
        <w:gridCol w:w="109"/>
        <w:gridCol w:w="176"/>
        <w:gridCol w:w="176"/>
        <w:gridCol w:w="249"/>
      </w:tblGrid>
      <w:tr>
        <w:trPr/>
        <w:tc>
          <w:tcPr>
            <w:tcW w:w="5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Twelve Months Ended March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Stock-based compensation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Impact of business reorganization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and impairment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Business acquisition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(a)</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$5,633.6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3,062.2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7,453.3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(4,391.1)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3,638.6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12.1</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gain on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(4,491.3)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3,650.4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15.6</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15.6</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above table utilizes a management tax rate of 18%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Fully diluted share count in order to calculate management diluted net income per share 177.4 million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Other includes adjustments for (i) the revaluation of the Turkish Lira against the U.S. Dollar and (ii) fair value adjustments related to certain equity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Outlook for Fiscal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Take-Two is providing its initial outlook for the fiscal year ending March 31, 2026 and fiscal first quarter ending June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Fiscal Year Ending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7"/>
        <w:gridCol w:w="449"/>
        <w:gridCol w:w="450"/>
        <w:gridCol w:w="109"/>
        <w:gridCol w:w="109"/>
        <w:gridCol w:w="109"/>
        <w:gridCol w:w="485"/>
        <w:gridCol w:w="485"/>
        <w:gridCol w:w="349"/>
        <w:gridCol w:w="111"/>
        <w:gridCol w:w="111"/>
        <w:gridCol w:w="111"/>
        <w:gridCol w:w="554"/>
        <w:gridCol w:w="554"/>
        <w:gridCol w:w="556"/>
        <w:gridCol w:w="111"/>
        <w:gridCol w:w="111"/>
        <w:gridCol w:w="111"/>
        <w:gridCol w:w="491"/>
        <w:gridCol w:w="491"/>
        <w:gridCol w:w="492"/>
        <w:gridCol w:w="111"/>
        <w:gridCol w:w="111"/>
        <w:gridCol w:w="111"/>
        <w:gridCol w:w="111"/>
        <w:gridCol w:w="111"/>
        <w:gridCol w:w="519"/>
        <w:gridCol w:w="519"/>
        <w:gridCol w:w="520"/>
        <w:gridCol w:w="109"/>
        <w:gridCol w:w="109"/>
        <w:gridCol w:w="109"/>
        <w:gridCol w:w="186"/>
        <w:gridCol w:w="186"/>
        <w:gridCol w:w="277"/>
      </w:tblGrid>
      <w:tr>
        <w:trPr/>
        <w:tc>
          <w:tcPr>
            <w:tcW w:w="7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Fiscal Year Ending March 31, 2026</w:t>
            </w:r>
          </w:p>
        </w:tc>
        <w:tc>
          <w:tcPr>
            <w:tcW w:w="976" w:type="dxa"/>
            <w:gridSpan w:val="6"/>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c>
          <w:tcPr>
            <w:tcW w:w="976" w:type="dxa"/>
            <w:gridSpan w:val="6"/>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millions except for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Outlook </w:t>
            </w:r>
            <w:r>
              <w:rPr>
                <w:rFonts w:ascii="Arial;sans-serif" w:hAnsi="Arial;sans-serif"/>
                <w:b/>
                <w:color w:val="000000"/>
                <w:sz w:val="10"/>
              </w:rPr>
              <w:t>(b)</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Stock-based compensation</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(c)</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$5,950 to $6,050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$2,519 to $2,545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(13)</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$3,780 to $3,800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(332)</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w:t>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$(448) to $(394)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345</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$(499) to $(439)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Net loss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$(2.79) to $(2.45)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Net cash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approximately $130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approximately $140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Non-GAAP </w:t>
            </w:r>
            <w:r>
              <w:rPr>
                <w:rFonts w:ascii="Arial;sans-serif" w:hAnsi="Arial;sans-serif"/>
                <w:b/>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$508 to $562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345</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Operational Metric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color w:val="000000"/>
                <w:sz w:val="16"/>
              </w:rPr>
              <w:t>$5,900 to $6,000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 reporting tax rate anticipated to be</w:t>
      </w:r>
      <w:r>
        <w:rPr>
          <w:color w:val="000000"/>
        </w:rPr>
        <w:t xml:space="preserve"> </w:t>
      </w:r>
      <w:r>
        <w:rPr>
          <w:rFonts w:ascii="Arial;sans-serif" w:hAnsi="Arial;sans-serif"/>
          <w:b w:val="false"/>
          <w:color w:val="000000"/>
          <w:sz w:val="20"/>
        </w:rPr>
        <w:t>18%</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Share count used to calculate GAAP net loss per share is expected to be 179.1 million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management reporting diluted net income per share is expected to be 181.5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 xml:space="preserve">(b) </w:t>
      </w:r>
      <w:r>
        <w:rPr>
          <w:rFonts w:ascii="Arial;sans-serif" w:hAnsi="Arial;sans-serif"/>
          <w:b w:val="false"/>
          <w:color w:val="000000"/>
          <w:sz w:val="20"/>
        </w:rPr>
        <w:t xml:space="preserve">The individual components of the financial outlook may not foot to the totals, as the Company does not expect actual results for every component to be at the low end or high end of the outlook range simultaneously. </w:t>
      </w:r>
    </w:p>
    <w:p>
      <w:pPr>
        <w:pStyle w:val="TextBody"/>
        <w:bidi w:val="0"/>
        <w:spacing w:lineRule="auto" w:line="288" w:before="0" w:after="0"/>
        <w:jc w:val="left"/>
        <w:rPr/>
      </w:pPr>
      <w:r>
        <w:rPr>
          <w:rFonts w:ascii="Arial;sans-serif" w:hAnsi="Arial;sans-serif"/>
          <w:b w:val="false"/>
          <w:color w:val="000000"/>
          <w:sz w:val="13"/>
        </w:rPr>
        <w:t>(c)</w:t>
      </w:r>
      <w:r>
        <w:rPr>
          <w:color w:val="000000"/>
        </w:rPr>
        <w:t xml:space="preserve"> </w:t>
      </w:r>
      <w:r>
        <w:rPr>
          <w:rFonts w:ascii="Arial;sans-serif" w:hAnsi="Arial;sans-serif"/>
          <w:b w:val="false"/>
          <w:color w:val="000000"/>
          <w:sz w:val="20"/>
        </w:rPr>
        <w:t>Other includes adjustments for deferred financing costs associated with our debt.</w:t>
      </w:r>
    </w:p>
    <w:p>
      <w:pPr>
        <w:pStyle w:val="TextBody"/>
        <w:bidi w:val="0"/>
        <w:spacing w:lineRule="auto" w:line="288"/>
        <w:jc w:val="left"/>
        <w:rPr/>
      </w:pPr>
      <w:r>
        <w:rPr>
          <w:rFonts w:ascii="Arial;sans-serif" w:hAnsi="Arial;sans-serif"/>
          <w:b w:val="false"/>
          <w:color w:val="000000"/>
          <w:sz w:val="13"/>
        </w:rPr>
        <w:t>(d)</w:t>
      </w:r>
      <w:r>
        <w:rPr>
          <w:color w:val="000000"/>
        </w:rPr>
        <w:t xml:space="preserve"> </w:t>
      </w:r>
      <w:r>
        <w:rPr>
          <w:rFonts w:ascii="Arial;sans-serif" w:hAnsi="Arial;sans-serif"/>
          <w:b w:val="false"/>
          <w:color w:val="000000"/>
          <w:sz w:val="20"/>
        </w:rPr>
        <w:t>The Company is no longer reporting Adjusted Unrestricted Operating Cash Flow, as certain cash that was previously restricted is no longer required to be restricted.</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i/>
          <w:color w:val="000000"/>
          <w:sz w:val="20"/>
        </w:rPr>
        <w:t>First</w:t>
      </w:r>
      <w:r>
        <w:rPr>
          <w:color w:val="000000"/>
        </w:rPr>
        <w:t xml:space="preserve"> </w:t>
      </w:r>
      <w:r>
        <w:rPr>
          <w:rFonts w:ascii="Arial;sans-serif" w:hAnsi="Arial;sans-serif"/>
          <w:b/>
          <w:i/>
          <w:color w:val="000000"/>
          <w:sz w:val="20"/>
        </w:rPr>
        <w:t>Quarter Ending June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also providing selected data, which is used internally by its management and Board of Directors to adjust the Company’s GAAP and Non-GAAP financial outlook in order to facilitate comparison of its operating performance between periods and to better understand its core business and future outlook: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3"/>
        <w:gridCol w:w="492"/>
        <w:gridCol w:w="494"/>
        <w:gridCol w:w="109"/>
        <w:gridCol w:w="109"/>
        <w:gridCol w:w="109"/>
        <w:gridCol w:w="310"/>
        <w:gridCol w:w="310"/>
        <w:gridCol w:w="311"/>
        <w:gridCol w:w="109"/>
        <w:gridCol w:w="109"/>
        <w:gridCol w:w="109"/>
        <w:gridCol w:w="624"/>
        <w:gridCol w:w="624"/>
        <w:gridCol w:w="626"/>
        <w:gridCol w:w="109"/>
        <w:gridCol w:w="109"/>
        <w:gridCol w:w="109"/>
        <w:gridCol w:w="509"/>
        <w:gridCol w:w="509"/>
        <w:gridCol w:w="510"/>
        <w:gridCol w:w="109"/>
        <w:gridCol w:w="109"/>
        <w:gridCol w:w="109"/>
        <w:gridCol w:w="551"/>
        <w:gridCol w:w="551"/>
        <w:gridCol w:w="553"/>
        <w:gridCol w:w="109"/>
        <w:gridCol w:w="109"/>
        <w:gridCol w:w="109"/>
        <w:gridCol w:w="199"/>
        <w:gridCol w:w="199"/>
        <w:gridCol w:w="201"/>
        <w:gridCol w:w="109"/>
        <w:gridCol w:w="165"/>
      </w:tblGrid>
      <w:tr>
        <w:trPr/>
        <w:tc>
          <w:tcPr>
            <w:tcW w:w="72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Ending June 30, 2025</w:t>
            </w:r>
          </w:p>
        </w:tc>
        <w:tc>
          <w:tcPr>
            <w:tcW w:w="274"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 Data</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millions except for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Outlook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deferred net revenue and related cost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Amortization of acquired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Other </w:t>
            </w:r>
            <w:r>
              <w:rPr>
                <w:rFonts w:ascii="Arial;sans-serif" w:hAnsi="Arial;sans-serif"/>
                <w:b/>
                <w:color w:val="000000"/>
                <w:sz w:val="10"/>
              </w:rPr>
              <w:t>(c)</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 xml:space="preserve">GAAP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$1,350 to $1,400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$544 to $562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$908 to $918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$(125) to $(103)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$(139) to $(115)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$(0.78) to $(0.65)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$114 to $136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Operational Metric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Bookings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$1,250 to $1,300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Management reporting tax rate is anticipated to be 18%</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GAAP net loss per share is expected to be 178.1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Share count used to calculate management reporting diluted net income per share is expected to be 180.4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 xml:space="preserve">(b) </w:t>
      </w:r>
      <w:r>
        <w:rPr>
          <w:rFonts w:ascii="Arial;sans-serif" w:hAnsi="Arial;sans-serif"/>
          <w:b w:val="false"/>
          <w:color w:val="000000"/>
          <w:sz w:val="20"/>
        </w:rPr>
        <w:t xml:space="preserve">The individual components of the financial outlook may not foot to the totals, as the Company does not expect actual results for every component to be at the low end or high end of the outlook range simultaneously. </w:t>
      </w:r>
    </w:p>
    <w:p>
      <w:pPr>
        <w:pStyle w:val="TextBody"/>
        <w:bidi w:val="0"/>
        <w:spacing w:lineRule="auto" w:line="288" w:before="0" w:after="0"/>
        <w:jc w:val="left"/>
        <w:rPr/>
      </w:pPr>
      <w:r>
        <w:rPr>
          <w:rFonts w:ascii="Arial;sans-serif" w:hAnsi="Arial;sans-serif"/>
          <w:b w:val="false"/>
          <w:color w:val="000000"/>
          <w:sz w:val="13"/>
        </w:rPr>
        <w:t>(c)</w:t>
      </w:r>
      <w:r>
        <w:rPr>
          <w:color w:val="000000"/>
        </w:rPr>
        <w:t xml:space="preserve"> </w:t>
      </w:r>
      <w:r>
        <w:rPr>
          <w:rFonts w:ascii="Arial;sans-serif" w:hAnsi="Arial;sans-serif"/>
          <w:b w:val="false"/>
          <w:color w:val="000000"/>
          <w:sz w:val="20"/>
        </w:rPr>
        <w:t>Other includes adjustments for deferred financing costs associated with our debt.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Key assumptions and dependencies underlying the Company’s outlook include: a continuation of the current economic backdrop; the timely delivery of the titles included in this financial outlook; continued growth in the installed base of PlayStation 5 and Xbox Series X|S, as well as engagement on Xbox One and PlayStation 4; the ability to develop and publish products that capture market share for these current generation systems while also leveraging opportunities on PC, mobile and other platforms; factors affecting our performance on mobile, such as player acquisition costs; our ongoing focus on our live services portfolio and new game pipeline; and stable foreign exchange rates. See also “Cautionary Note Regarding Forward Looking Statements”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Product Releases</w:t>
      </w:r>
    </w:p>
    <w:p>
      <w:pPr>
        <w:pStyle w:val="TextBody"/>
        <w:bidi w:val="0"/>
        <w:spacing w:before="0" w:after="0"/>
        <w:ind w:left="0" w:right="0" w:firstLine="994"/>
        <w:jc w:val="left"/>
        <w:rPr/>
      </w:pPr>
      <w:r>
        <w:rPr/>
      </w:r>
    </w:p>
    <w:p>
      <w:pPr>
        <w:pStyle w:val="TextBody"/>
        <w:bidi w:val="0"/>
        <w:spacing w:lineRule="auto" w:line="288" w:before="0" w:after="0"/>
        <w:ind w:left="0" w:right="0" w:firstLine="994"/>
        <w:jc w:val="left"/>
        <w:rPr>
          <w:rFonts w:ascii="Arial;sans-serif" w:hAnsi="Arial;sans-serif"/>
          <w:b w:val="false"/>
          <w:color w:val="000000"/>
          <w:sz w:val="20"/>
        </w:rPr>
      </w:pPr>
      <w:r>
        <w:rPr>
          <w:rFonts w:ascii="Arial;sans-serif" w:hAnsi="Arial;sans-serif"/>
          <w:b w:val="false"/>
          <w:color w:val="000000"/>
          <w:sz w:val="20"/>
        </w:rPr>
        <w:t>The following have been released since January 1, 2025:</w:t>
      </w:r>
    </w:p>
    <w:p>
      <w:pPr>
        <w:pStyle w:val="TextBody"/>
        <w:bidi w:val="0"/>
        <w:spacing w:before="0" w:after="0"/>
        <w:jc w:val="left"/>
        <w:rPr/>
      </w:pPr>
      <w:r>
        <w:rPr/>
      </w:r>
    </w:p>
    <w:tbl>
      <w:tblPr>
        <w:tblW w:w="8654" w:type="dxa"/>
        <w:jc w:val="center"/>
        <w:tblInd w:w="0" w:type="dxa"/>
        <w:tblLayout w:type="fixed"/>
        <w:tblCellMar>
          <w:top w:w="28" w:type="dxa"/>
          <w:left w:w="28" w:type="dxa"/>
          <w:bottom w:w="28" w:type="dxa"/>
          <w:right w:w="28" w:type="dxa"/>
        </w:tblCellMar>
      </w:tblPr>
      <w:tblGrid>
        <w:gridCol w:w="228"/>
        <w:gridCol w:w="201"/>
        <w:gridCol w:w="202"/>
        <w:gridCol w:w="732"/>
        <w:gridCol w:w="732"/>
        <w:gridCol w:w="741"/>
        <w:gridCol w:w="1388"/>
        <w:gridCol w:w="1388"/>
        <w:gridCol w:w="1393"/>
        <w:gridCol w:w="483"/>
        <w:gridCol w:w="483"/>
        <w:gridCol w:w="683"/>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Label</w:t>
            </w:r>
          </w:p>
        </w:tc>
        <w:tc>
          <w:tcPr>
            <w:tcW w:w="220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Product</w:t>
            </w:r>
          </w:p>
        </w:tc>
        <w:tc>
          <w:tcPr>
            <w:tcW w:w="416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Platforms</w:t>
            </w:r>
          </w:p>
        </w:tc>
        <w:tc>
          <w:tcPr>
            <w:tcW w:w="1649"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Release Date</w:t>
            </w:r>
          </w:p>
        </w:tc>
      </w:tr>
      <w:tr>
        <w:trPr/>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Sid Meier's Civilization VII</w:t>
            </w:r>
          </w:p>
        </w:tc>
        <w:tc>
          <w:tcPr>
            <w:tcW w:w="4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PS4, Xbox Series X|S, Xbox One, PC, Switch</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11, 2025</w:t>
            </w:r>
          </w:p>
        </w:tc>
      </w:tr>
      <w:tr>
        <w:trPr/>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PGA TOUR 2K25</w:t>
            </w:r>
          </w:p>
        </w:tc>
        <w:tc>
          <w:tcPr>
            <w:tcW w:w="4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28, 2025</w:t>
            </w:r>
          </w:p>
        </w:tc>
      </w:tr>
      <w:tr>
        <w:trPr/>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Zynga</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Color Block Jam</w:t>
            </w:r>
          </w:p>
        </w:tc>
        <w:tc>
          <w:tcPr>
            <w:tcW w:w="4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iOS, Android</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 2025</w:t>
            </w:r>
          </w:p>
        </w:tc>
      </w:tr>
      <w:tr>
        <w:trPr/>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2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WWE 2K25</w:t>
            </w:r>
          </w:p>
        </w:tc>
        <w:tc>
          <w:tcPr>
            <w:tcW w:w="4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PS4, Xbox Series X|S, Xbox One, PC</w:t>
            </w:r>
          </w:p>
        </w:tc>
        <w:tc>
          <w:tcPr>
            <w:tcW w:w="16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14, 2025</w:t>
            </w:r>
          </w:p>
        </w:tc>
      </w:tr>
      <w:tr>
        <w:trPr/>
        <w:tc>
          <w:tcPr>
            <w:tcW w:w="6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22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Civilization VII VR</w:t>
            </w:r>
          </w:p>
        </w:tc>
        <w:tc>
          <w:tcPr>
            <w:tcW w:w="41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Meta Quest 3 and 3S</w:t>
            </w:r>
          </w:p>
        </w:tc>
        <w:tc>
          <w:tcPr>
            <w:tcW w:w="16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April 11, 2025</w:t>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41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41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Take-Two's future lineup announced to-date includes:</w:t>
      </w:r>
    </w:p>
    <w:tbl>
      <w:tblPr>
        <w:tblW w:w="7691" w:type="dxa"/>
        <w:jc w:val="center"/>
        <w:tblInd w:w="0" w:type="dxa"/>
        <w:tblLayout w:type="fixed"/>
        <w:tblCellMar>
          <w:top w:w="28" w:type="dxa"/>
          <w:left w:w="28" w:type="dxa"/>
          <w:bottom w:w="28" w:type="dxa"/>
          <w:right w:w="28" w:type="dxa"/>
        </w:tblCellMar>
      </w:tblPr>
      <w:tblGrid>
        <w:gridCol w:w="610"/>
        <w:gridCol w:w="538"/>
        <w:gridCol w:w="546"/>
        <w:gridCol w:w="657"/>
        <w:gridCol w:w="657"/>
        <w:gridCol w:w="665"/>
        <w:gridCol w:w="734"/>
        <w:gridCol w:w="734"/>
        <w:gridCol w:w="736"/>
        <w:gridCol w:w="531"/>
        <w:gridCol w:w="531"/>
        <w:gridCol w:w="752"/>
      </w:tblGrid>
      <w:tr>
        <w:trPr/>
        <w:tc>
          <w:tcPr>
            <w:tcW w:w="6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Label</w:t>
            </w:r>
          </w:p>
        </w:tc>
        <w:tc>
          <w:tcPr>
            <w:tcW w:w="197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Product</w:t>
            </w:r>
          </w:p>
        </w:tc>
        <w:tc>
          <w:tcPr>
            <w:tcW w:w="2204"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Platforms</w:t>
            </w:r>
          </w:p>
        </w:tc>
        <w:tc>
          <w:tcPr>
            <w:tcW w:w="181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Release Date</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Civilization VII</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Switch 2</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June 5, 2025</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Mafia: The Old Country</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8, 2025</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Borderlands 4</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September 12, 2025</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WWE 2K Mobile</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Netflix</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Fall 2025</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NBA 2K26</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Fiscal 2026</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WWE 2K26</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Fiscal 2026</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Rockstar Games</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Grand Theft Auto VI</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26, 2026</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Borderlands 4</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Switch 2</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Zynga</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CSR 3</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iOS, Android</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Ghost Story Games</w:t>
            </w:r>
          </w:p>
        </w:tc>
        <w:tc>
          <w:tcPr>
            <w:tcW w:w="19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Judas</w:t>
            </w:r>
          </w:p>
        </w:tc>
        <w:tc>
          <w:tcPr>
            <w:tcW w:w="2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PS5, Xbox Series X|S, PC</w:t>
            </w:r>
          </w:p>
        </w:tc>
        <w:tc>
          <w:tcPr>
            <w:tcW w:w="18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r>
        <w:trPr/>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2K</w:t>
            </w:r>
          </w:p>
        </w:tc>
        <w:tc>
          <w:tcPr>
            <w:tcW w:w="19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Project ETHOS</w:t>
            </w:r>
          </w:p>
        </w:tc>
        <w:tc>
          <w:tcPr>
            <w:tcW w:w="2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c>
          <w:tcPr>
            <w:tcW w:w="18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TBA</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Conference Call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Take-Two will host a conference call today at 4:30 p.m. Eastern Time to review these results and discuss other topics. The call can be accessed by dialing (800) 715-9871 or (646) 307-1963 (conference ID: 1162777). A live listen-only webcast of the call will be available by visiting </w:t>
      </w:r>
      <w:r>
        <w:rPr>
          <w:rFonts w:ascii="Arial;sans-serif" w:hAnsi="Arial;sans-serif"/>
          <w:b w:val="false"/>
          <w:color w:val="0000FF"/>
          <w:sz w:val="20"/>
          <w:u w:val="single"/>
        </w:rPr>
        <w:t>http://ir.take2games.com</w:t>
      </w:r>
      <w:r>
        <w:rPr>
          <w:color w:val="000000"/>
        </w:rPr>
        <w:t xml:space="preserve"> </w:t>
      </w:r>
      <w:r>
        <w:rPr>
          <w:rFonts w:ascii="Arial;sans-serif" w:hAnsi="Arial;sans-serif"/>
          <w:b w:val="false"/>
          <w:color w:val="000000"/>
          <w:sz w:val="20"/>
        </w:rPr>
        <w:t xml:space="preserve">and a replay will be available following the call at the same location.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 xml:space="preserve">Non-GAAP Financial Measure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addition to reporting financial results in accordance with U.S. generally accepted accounting principles (GAAP), the Company uses a Non-GAAP measure of financial performance: </w:t>
      </w:r>
      <w:r>
        <w:rPr>
          <w:rFonts w:ascii="Arial;sans-serif" w:hAnsi="Arial;sans-serif"/>
          <w:b/>
          <w:i/>
          <w:color w:val="000000"/>
          <w:sz w:val="20"/>
        </w:rPr>
        <w:t>EBITDA</w:t>
      </w:r>
      <w:r>
        <w:rPr>
          <w:rFonts w:ascii="Arial;sans-serif" w:hAnsi="Arial;sans-serif"/>
          <w:b w:val="false"/>
          <w:color w:val="000000"/>
          <w:sz w:val="20"/>
        </w:rPr>
        <w:t>, which is defined as GAAP net income (loss) excluding interest income (expense), provision for (benefit from) income taxes, depreciation expense, and amortization and impairment of acquired intangibles. The Company is no longer reporting Adjusted Unrestricted Operating Cash Flow, as certain cash that was previously restricted is no longer required to be restricted.</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Company’s management believes it is important to consider EBITDA, in addition to net income, as it removes the effect of certain non-cash expenses, debt-related charges, and income taxes. Management believes that, when considered together with reported amounts, EBITDA is useful to investors and management in understanding the Company’s ongoing operations and in analysis of ongoing operating trends and provides useful additional information relating to the Company’s operations and financial condition.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Final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financial results discussed herein are presented on a preliminary basis; final data will be included in Take-Two’s Annual Report on Form 10−K for the period ended March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About Take-Two Interactive Software</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 xml:space="preserve">Headquartered in New York City, Take-Two Interactive Software, Inc. is a leading developer, publisher, and marketer of interactive entertainment for consumers around the globe. We develop and publish products principally through Rockstar Games, 2K, and Zynga. Our products are designed for console gaming systems, mobile, including smartphones and tablets, and PC. We deliver our products through physical retail, digital download, online platforms, and cloud streaming services. The Company’s common stock is publicly traded on NASDAQ under the symbol TTWO. For more corporate and product information please visit our website at </w:t>
      </w:r>
      <w:r>
        <w:rPr>
          <w:rFonts w:ascii="Arial;sans-serif" w:hAnsi="Arial;sans-serif"/>
          <w:b w:val="false"/>
          <w:color w:val="0000FF"/>
          <w:sz w:val="20"/>
          <w:u w:val="single"/>
        </w:rPr>
        <w:t>http://www.take2games.com</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All trademarks and copyrights contained herein are the property of their respective holders. </w: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Cautionary Note Regarding Forward-Looking Statements</w:t>
      </w:r>
    </w:p>
    <w:p>
      <w:pPr>
        <w:pStyle w:val="TextBody"/>
        <w:bidi w:val="0"/>
        <w:spacing w:lineRule="auto" w:line="288" w:before="0" w:after="0"/>
        <w:jc w:val="left"/>
        <w:rPr/>
      </w:pPr>
      <w:r>
        <w:rPr>
          <w:rFonts w:ascii="Arial;sans-serif" w:hAnsi="Arial;sans-serif"/>
          <w:b w:val="false"/>
          <w:color w:val="000000"/>
          <w:sz w:val="20"/>
        </w:rPr>
        <w:t xml:space="preserve">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Arial;sans-serif" w:hAnsi="Arial;sans-serif"/>
          <w:b w:val="false"/>
          <w:i/>
          <w:color w:val="000000"/>
          <w:sz w:val="20"/>
        </w:rPr>
        <w:t>NBA 2K</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Grand Theft Auto</w:t>
      </w:r>
      <w:r>
        <w:rPr>
          <w:color w:val="000000"/>
        </w:rPr>
        <w:t xml:space="preserve"> </w:t>
      </w:r>
      <w:r>
        <w:rPr>
          <w:rFonts w:ascii="Arial;sans-serif" w:hAnsi="Arial;sans-serif"/>
          <w:b w:val="false"/>
          <w:color w:val="000000"/>
          <w:sz w:val="20"/>
        </w:rPr>
        <w:t>products and our ability to develop other hit titles; our ability to leverage opportunities on PlayStation®5 and Xbox Series X|S; factors affecting our mobile business, such as player acquisition costs; and the ability to maintain acceptable pricing levels on our games.</w:t>
      </w:r>
    </w:p>
    <w:p>
      <w:pPr>
        <w:pStyle w:val="TextBody"/>
        <w:bidi w:val="0"/>
        <w:spacing w:lineRule="auto" w:line="288" w:before="0" w:after="0"/>
        <w:jc w:val="left"/>
        <w:rPr/>
      </w:pPr>
      <w:r>
        <w:rPr>
          <w:rFonts w:ascii="Arial;sans-serif" w:hAnsi="Arial;sans-serif"/>
          <w:b w:val="false"/>
          <w:color w:val="000000"/>
          <w:sz w:val="20"/>
        </w:rPr>
        <w:t xml:space="preserve">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t>
      </w:r>
      <w:r>
        <w:rPr>
          <w:rFonts w:ascii="Arial;sans-serif" w:hAnsi="Arial;sans-serif"/>
          <w:b w:val="false"/>
          <w:color w:val="0000FF"/>
          <w:sz w:val="20"/>
          <w:u w:val="single"/>
        </w:rPr>
        <w:t>www.take2games.com</w:t>
      </w:r>
      <w:r>
        <w:rPr>
          <w:rFonts w:ascii="Arial;sans-serif" w:hAnsi="Arial;sans-serif"/>
          <w:b w:val="false"/>
          <w:color w:val="000000"/>
          <w:sz w:val="20"/>
        </w:rPr>
        <w:t>.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tbl>
      <w:tblPr>
        <w:tblW w:w="9856" w:type="dxa"/>
        <w:jc w:val="left"/>
        <w:tblInd w:w="0" w:type="dxa"/>
        <w:tblLayout w:type="fixed"/>
        <w:tblCellMar>
          <w:top w:w="28" w:type="dxa"/>
          <w:left w:w="28" w:type="dxa"/>
          <w:bottom w:w="28" w:type="dxa"/>
          <w:right w:w="28" w:type="dxa"/>
        </w:tblCellMar>
      </w:tblPr>
      <w:tblGrid>
        <w:gridCol w:w="1260"/>
        <w:gridCol w:w="1109"/>
        <w:gridCol w:w="1111"/>
        <w:gridCol w:w="109"/>
        <w:gridCol w:w="109"/>
        <w:gridCol w:w="109"/>
        <w:gridCol w:w="222"/>
        <w:gridCol w:w="886"/>
        <w:gridCol w:w="114"/>
        <w:gridCol w:w="114"/>
        <w:gridCol w:w="114"/>
        <w:gridCol w:w="114"/>
        <w:gridCol w:w="222"/>
        <w:gridCol w:w="886"/>
        <w:gridCol w:w="114"/>
        <w:gridCol w:w="109"/>
        <w:gridCol w:w="109"/>
        <w:gridCol w:w="109"/>
        <w:gridCol w:w="230"/>
        <w:gridCol w:w="918"/>
        <w:gridCol w:w="118"/>
        <w:gridCol w:w="118"/>
        <w:gridCol w:w="118"/>
        <w:gridCol w:w="118"/>
        <w:gridCol w:w="230"/>
        <w:gridCol w:w="918"/>
        <w:gridCol w:w="168"/>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85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TAKE-TWO INTERACTIVE SOFTWARE, INC.</w:t>
            </w:r>
          </w:p>
        </w:tc>
      </w:tr>
      <w:tr>
        <w:trPr/>
        <w:tc>
          <w:tcPr>
            <w:tcW w:w="985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tc>
      </w:tr>
      <w:tr>
        <w:trPr/>
        <w:tc>
          <w:tcPr>
            <w:tcW w:w="985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March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1,473.8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5,167.5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466.1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1,582.5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5,633.6</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821.1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303.0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811.0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156.1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405.4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124.7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365.8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and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168.1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779.2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2,571.4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803.3</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3,062.2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402.1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1,683.7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297.8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1,005.2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883.3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87.8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229.4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3,545.2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3,545.2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106.5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4,580.2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7,453.3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(3,776.9)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(4,391.1)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(3,801.9)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(4,491.3)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(3,726.2)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(4,478.9)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176.8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47"/>
        <w:gridCol w:w="2113"/>
        <w:gridCol w:w="2121"/>
        <w:gridCol w:w="247"/>
        <w:gridCol w:w="893"/>
        <w:gridCol w:w="137"/>
        <w:gridCol w:w="137"/>
        <w:gridCol w:w="137"/>
        <w:gridCol w:w="137"/>
        <w:gridCol w:w="247"/>
        <w:gridCol w:w="988"/>
        <w:gridCol w:w="201"/>
      </w:tblGrid>
      <w:tr>
        <w:trPr/>
        <w:tc>
          <w:tcPr>
            <w:tcW w:w="284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TAKE-TWO INTERACTIVE SOFTWARE,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1,456.1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9.4</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$1.6 and $1.2 at March 31, 2025 and 2024, respectively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771.1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and licenses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80.8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80.8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402.8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2,815.9</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 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443.8</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326.1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and licenses, net of current portion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1,892.6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1,057.3</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2,336.0</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restricted cash and cash equivalents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88.2</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220.8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9,180.7</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12,216.9 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194.7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1,127.6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1,083.5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Lease liabilities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61.5</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1,148.5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3,615.8</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2,512.6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deferred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25.4</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383.3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software development royalties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93.6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259.6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152.7</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7,043.0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5.0 shares authorized: no shares issued and outstanding at March 31, 2025 and 2024</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300.0 and 300.0 shares authorized; 200.8 and 194.5 shares issued and 177.1 and 170.8 outstanding at March 31, 2025 and 2024, respectively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2.0</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10,312.0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23.7 and 23.7 common shares at March 31, 2025 and 2024, respectively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(1,020.6)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 / Retained earnings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(7,058.8)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(96.9)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2,137.7</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5,667.9 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9,180.7</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12,216.9 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73"/>
        <w:gridCol w:w="2005"/>
        <w:gridCol w:w="2013"/>
        <w:gridCol w:w="143"/>
        <w:gridCol w:w="143"/>
        <w:gridCol w:w="143"/>
        <w:gridCol w:w="258"/>
        <w:gridCol w:w="997"/>
        <w:gridCol w:w="143"/>
        <w:gridCol w:w="143"/>
        <w:gridCol w:w="143"/>
        <w:gridCol w:w="143"/>
        <w:gridCol w:w="258"/>
        <w:gridCol w:w="997"/>
        <w:gridCol w:w="143"/>
        <w:gridCol w:w="160"/>
      </w:tblGrid>
      <w:tr>
        <w:trPr/>
        <w:tc>
          <w:tcPr>
            <w:tcW w:w="2373"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TAKE-TWO INTERACTIVE SOFTWARE, INC.</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March 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(4,478.9)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impairment of software development costs and licenses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333.8</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324.0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59.5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impairment of intangibles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922.6</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153.9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3,545.2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167.3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139.5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effect from purchases of businesses: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(105.0)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and licenses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(691.6)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other current and other non-current assets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6.8</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(465.9)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(45.2)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bank time deposits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and maturities of available-for-sale securities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Divestitures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fixed assets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(169.4)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long-term investments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(21.1)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(151.5)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payment related to net share settlements on restricted stock awards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77.3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debt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settlement of convertible notes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(8.3)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598.9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earn-out consideration</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650.5</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Effects of foreign currency exchange rates on cash, cash equivalents, and restricted cash and cash equivalents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 and cash equivalents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457.2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and cash equivalents, beginning of year (1)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1,102.0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equivalents, end of year (1)</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1,559.2</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Cash, cash equivalents and restricted cash and cash equivalents shown on our Consolidated Statements of Cash Flow includes amounts in the Cash and cash equivalents, Restricted cash and cash equivalents, and Long-term restricted cash and cash equivalents on our Consolidated Balance Sheet.</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59"/>
        <w:gridCol w:w="816"/>
        <w:gridCol w:w="801"/>
        <w:gridCol w:w="183"/>
        <w:gridCol w:w="183"/>
        <w:gridCol w:w="183"/>
        <w:gridCol w:w="356"/>
        <w:gridCol w:w="1321"/>
        <w:gridCol w:w="183"/>
        <w:gridCol w:w="183"/>
        <w:gridCol w:w="183"/>
        <w:gridCol w:w="183"/>
        <w:gridCol w:w="280"/>
        <w:gridCol w:w="213"/>
        <w:gridCol w:w="509"/>
        <w:gridCol w:w="183"/>
        <w:gridCol w:w="183"/>
        <w:gridCol w:w="183"/>
        <w:gridCol w:w="356"/>
        <w:gridCol w:w="1295"/>
        <w:gridCol w:w="183"/>
        <w:gridCol w:w="109"/>
        <w:gridCol w:w="109"/>
        <w:gridCol w:w="109"/>
        <w:gridCol w:w="249"/>
        <w:gridCol w:w="217"/>
        <w:gridCol w:w="493"/>
      </w:tblGrid>
      <w:tr>
        <w:trPr/>
        <w:tc>
          <w:tcPr>
            <w:tcW w:w="95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8919"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9"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and Net Bookings by Geographic Region, Distribution Channel, and Platform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 2024</w:t>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geographic region</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946.1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636.4</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w:t>
            </w: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1,582.5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geographic region</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961.1</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w:t>
            </w: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620.4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1,581.5</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 2024</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distribution channel</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1,525.6</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56.9</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w:t>
            </w: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1,582.5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distribution channel</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1,528.7</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w:t>
            </w: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52.8</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1,581.5</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 2024</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platform</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747.7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591.2</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w:t>
            </w: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243.6</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1,582.5</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platform</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730.1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601.7</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w:t>
            </w: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249.7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1,581.5</w:t>
            </w: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43"/>
        <w:gridCol w:w="800"/>
        <w:gridCol w:w="784"/>
        <w:gridCol w:w="181"/>
        <w:gridCol w:w="181"/>
        <w:gridCol w:w="181"/>
        <w:gridCol w:w="351"/>
        <w:gridCol w:w="1302"/>
        <w:gridCol w:w="181"/>
        <w:gridCol w:w="181"/>
        <w:gridCol w:w="181"/>
        <w:gridCol w:w="181"/>
        <w:gridCol w:w="367"/>
        <w:gridCol w:w="264"/>
        <w:gridCol w:w="501"/>
        <w:gridCol w:w="181"/>
        <w:gridCol w:w="181"/>
        <w:gridCol w:w="181"/>
        <w:gridCol w:w="351"/>
        <w:gridCol w:w="1277"/>
        <w:gridCol w:w="181"/>
        <w:gridCol w:w="109"/>
        <w:gridCol w:w="109"/>
        <w:gridCol w:w="109"/>
        <w:gridCol w:w="249"/>
        <w:gridCol w:w="217"/>
        <w:gridCol w:w="481"/>
      </w:tblGrid>
      <w:tr>
        <w:trPr/>
        <w:tc>
          <w:tcPr>
            <w:tcW w:w="9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93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1"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and Net Bookings by Geographic Region, Distribution Channel, and Platform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March 31, 2025</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 2024</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geographic region</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3,406.8</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2,226.8</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5,633.6</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geographic region</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3,445.8</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2,202.2</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5,648.0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March 31, 2025</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 2024</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distribution channel</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5,431.8</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201.8</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5,633.6</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distribution channel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5,457.2</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Physical retail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190.8</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5,648.0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March 31, 2025</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br/>
              <w:t>March 31, 2024</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 by platform</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2,942.0</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2,099.1</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592.5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5,633.6</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Bookings by platform</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2,872.0</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2,167.4</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 and other</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608.6</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Bookings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5,648.0</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w:t>
            </w:r>
            <w:r>
              <w:rPr>
                <w:color w:val="000000"/>
              </w:rPr>
              <w:t>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660" w:type="dxa"/>
        <w:jc w:val="left"/>
        <w:tblInd w:w="0" w:type="dxa"/>
        <w:tblLayout w:type="fixed"/>
        <w:tblCellMar>
          <w:top w:w="28" w:type="dxa"/>
          <w:left w:w="28" w:type="dxa"/>
          <w:bottom w:w="28" w:type="dxa"/>
          <w:right w:w="28" w:type="dxa"/>
        </w:tblCellMar>
      </w:tblPr>
      <w:tblGrid>
        <w:gridCol w:w="430"/>
        <w:gridCol w:w="377"/>
        <w:gridCol w:w="379"/>
        <w:gridCol w:w="206"/>
        <w:gridCol w:w="706"/>
        <w:gridCol w:w="109"/>
        <w:gridCol w:w="109"/>
        <w:gridCol w:w="109"/>
        <w:gridCol w:w="109"/>
        <w:gridCol w:w="476"/>
        <w:gridCol w:w="571"/>
        <w:gridCol w:w="109"/>
        <w:gridCol w:w="109"/>
        <w:gridCol w:w="109"/>
        <w:gridCol w:w="109"/>
        <w:gridCol w:w="363"/>
        <w:gridCol w:w="577"/>
        <w:gridCol w:w="111"/>
        <w:gridCol w:w="109"/>
        <w:gridCol w:w="109"/>
        <w:gridCol w:w="109"/>
        <w:gridCol w:w="196"/>
        <w:gridCol w:w="706"/>
        <w:gridCol w:w="109"/>
        <w:gridCol w:w="109"/>
        <w:gridCol w:w="109"/>
        <w:gridCol w:w="109"/>
        <w:gridCol w:w="433"/>
        <w:gridCol w:w="644"/>
        <w:gridCol w:w="109"/>
        <w:gridCol w:w="109"/>
        <w:gridCol w:w="109"/>
        <w:gridCol w:w="109"/>
        <w:gridCol w:w="254"/>
        <w:gridCol w:w="624"/>
        <w:gridCol w:w="143"/>
        <w:gridCol w:w="109"/>
        <w:gridCol w:w="109"/>
        <w:gridCol w:w="109"/>
        <w:gridCol w:w="341"/>
        <w:gridCol w:w="571"/>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ADDITIONAL DATA</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(in millions)</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2025</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Product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Internal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Software development costs and 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1,582.5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303.0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(9.7)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402.1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effect from deferred revenue and related cost of revenue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Stock-based compensation </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2025</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on fair value adjustments, net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87.8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3,545.2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(22.2)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effect from deferred revenue and related cost of revenue</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Impact of business reorganization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2024</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Internal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Software development costs and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Three Months Ended March 31, 2024</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on fair value adjustments, net</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Impact of business reorganization</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660" w:type="dxa"/>
        <w:jc w:val="left"/>
        <w:tblInd w:w="0" w:type="dxa"/>
        <w:tblLayout w:type="fixed"/>
        <w:tblCellMar>
          <w:top w:w="28" w:type="dxa"/>
          <w:left w:w="28" w:type="dxa"/>
          <w:bottom w:w="28" w:type="dxa"/>
          <w:right w:w="28" w:type="dxa"/>
        </w:tblCellMar>
      </w:tblPr>
      <w:tblGrid>
        <w:gridCol w:w="430"/>
        <w:gridCol w:w="377"/>
        <w:gridCol w:w="379"/>
        <w:gridCol w:w="206"/>
        <w:gridCol w:w="706"/>
        <w:gridCol w:w="109"/>
        <w:gridCol w:w="109"/>
        <w:gridCol w:w="109"/>
        <w:gridCol w:w="109"/>
        <w:gridCol w:w="476"/>
        <w:gridCol w:w="571"/>
        <w:gridCol w:w="109"/>
        <w:gridCol w:w="109"/>
        <w:gridCol w:w="109"/>
        <w:gridCol w:w="109"/>
        <w:gridCol w:w="251"/>
        <w:gridCol w:w="691"/>
        <w:gridCol w:w="109"/>
        <w:gridCol w:w="109"/>
        <w:gridCol w:w="109"/>
        <w:gridCol w:w="109"/>
        <w:gridCol w:w="196"/>
        <w:gridCol w:w="706"/>
        <w:gridCol w:w="109"/>
        <w:gridCol w:w="109"/>
        <w:gridCol w:w="109"/>
        <w:gridCol w:w="109"/>
        <w:gridCol w:w="433"/>
        <w:gridCol w:w="644"/>
        <w:gridCol w:w="109"/>
        <w:gridCol w:w="109"/>
        <w:gridCol w:w="109"/>
        <w:gridCol w:w="109"/>
        <w:gridCol w:w="228"/>
        <w:gridCol w:w="665"/>
        <w:gridCol w:w="128"/>
        <w:gridCol w:w="109"/>
        <w:gridCol w:w="109"/>
        <w:gridCol w:w="109"/>
        <w:gridCol w:w="206"/>
        <w:gridCol w:w="70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ADDITIONAL DATA</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(in millions)</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2025</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Internal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Software development costs and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5,633.6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821.1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811.0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405.4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365.8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168.1</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1,683.7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Stock-based compensation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2025</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on fair value adjustments, net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1,005.2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883.3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229.4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3,545.2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7"/>
              </w:rPr>
              <w:t>106.5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(93.3)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7"/>
              </w:rPr>
            </w:pPr>
            <w:r>
              <w:rPr>
                <w:rFonts w:ascii="Times New Roman;sans-serif" w:hAnsi="Times New Roman;sans-serif"/>
                <w:b/>
                <w:color w:val="000000"/>
                <w:sz w:val="17"/>
              </w:rPr>
              <w:t>(6.9)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Impact of business reorganization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2024</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Product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Internal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Cost of revenue- Software development costs and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Selling and marketing</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346.7 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effect from deferred revenue and related cost of revenue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Twelve Months Ended March 31, 2024</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Business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Loss on fair value adjustments, net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As reported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effect from deferred revenue and related cost of revenue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impairment of acquired intangibles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related expenses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Impact of business reorganization</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74"/>
        <w:gridCol w:w="868"/>
        <w:gridCol w:w="873"/>
        <w:gridCol w:w="155"/>
        <w:gridCol w:w="155"/>
        <w:gridCol w:w="155"/>
        <w:gridCol w:w="301"/>
        <w:gridCol w:w="1174"/>
        <w:gridCol w:w="155"/>
        <w:gridCol w:w="155"/>
        <w:gridCol w:w="155"/>
        <w:gridCol w:w="155"/>
        <w:gridCol w:w="301"/>
        <w:gridCol w:w="1174"/>
        <w:gridCol w:w="155"/>
        <w:gridCol w:w="109"/>
        <w:gridCol w:w="109"/>
        <w:gridCol w:w="109"/>
        <w:gridCol w:w="221"/>
        <w:gridCol w:w="853"/>
        <w:gridCol w:w="113"/>
        <w:gridCol w:w="113"/>
        <w:gridCol w:w="113"/>
        <w:gridCol w:w="113"/>
        <w:gridCol w:w="221"/>
        <w:gridCol w:w="853"/>
        <w:gridCol w:w="173"/>
      </w:tblGrid>
      <w:tr>
        <w:trPr/>
        <w:tc>
          <w:tcPr>
            <w:tcW w:w="117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TAKE-TWO INTERACTIVE SOFTWARE,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March 31,</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 of acquired intangibles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10" w:type="dxa"/>
        <w:jc w:val="left"/>
        <w:tblInd w:w="0" w:type="dxa"/>
        <w:tblLayout w:type="fixed"/>
        <w:tblCellMar>
          <w:top w:w="28" w:type="dxa"/>
          <w:left w:w="28" w:type="dxa"/>
          <w:bottom w:w="28" w:type="dxa"/>
          <w:right w:w="28" w:type="dxa"/>
        </w:tblCellMar>
      </w:tblPr>
      <w:tblGrid>
        <w:gridCol w:w="1128"/>
        <w:gridCol w:w="990"/>
        <w:gridCol w:w="1001"/>
        <w:gridCol w:w="109"/>
        <w:gridCol w:w="109"/>
        <w:gridCol w:w="109"/>
        <w:gridCol w:w="925"/>
        <w:gridCol w:w="925"/>
        <w:gridCol w:w="1314"/>
      </w:tblGrid>
      <w:tr>
        <w:trPr/>
        <w:tc>
          <w:tcPr>
            <w:tcW w:w="112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Ending March 31, 2026</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$(499) to $(439)</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 to $45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$508 to $562</w:t>
            </w:r>
          </w:p>
        </w:tc>
      </w:tr>
    </w:tbl>
    <w:p>
      <w:pPr>
        <w:pStyle w:val="TextBody"/>
        <w:bidi w:val="0"/>
        <w:spacing w:before="0" w:after="0"/>
        <w:jc w:val="left"/>
        <w:rPr/>
      </w:pPr>
      <w:r>
        <w:rPr/>
      </w:r>
    </w:p>
    <w:tbl>
      <w:tblPr>
        <w:tblW w:w="6581" w:type="dxa"/>
        <w:jc w:val="left"/>
        <w:tblInd w:w="0" w:type="dxa"/>
        <w:tblLayout w:type="fixed"/>
        <w:tblCellMar>
          <w:top w:w="28" w:type="dxa"/>
          <w:left w:w="28" w:type="dxa"/>
          <w:bottom w:w="28" w:type="dxa"/>
          <w:right w:w="28" w:type="dxa"/>
        </w:tblCellMar>
      </w:tblPr>
      <w:tblGrid>
        <w:gridCol w:w="1129"/>
        <w:gridCol w:w="991"/>
        <w:gridCol w:w="1000"/>
        <w:gridCol w:w="109"/>
        <w:gridCol w:w="109"/>
        <w:gridCol w:w="109"/>
        <w:gridCol w:w="915"/>
        <w:gridCol w:w="915"/>
        <w:gridCol w:w="130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 to $(115)</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to $12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 to $136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5770</Words>
  <Characters>31501</Characters>
  <CharactersWithSpaces>36186</CharactersWithSpaces>
  <Paragraphs>1676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