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930"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ZELNICK STRAUSS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right="555"/>
        <w:spacing w:after="0" w:line="275" w:lineRule="auto"/>
        <w:rPr>
          <w:rFonts w:ascii="Arial" w:cs="Arial" w:eastAsia="Arial" w:hAnsi="Arial"/>
          <w:sz w:val="20"/>
          <w:szCs w:val="20"/>
          <w:color w:val="0000EE"/>
        </w:rPr>
      </w:pPr>
      <w:hyperlink r:id="rId13">
        <w:r>
          <w:rPr>
            <w:rFonts w:ascii="Arial" w:cs="Arial" w:eastAsia="Arial" w:hAnsi="Arial"/>
            <w:sz w:val="20"/>
            <w:szCs w:val="20"/>
            <w:u w:val="single" w:color="auto"/>
            <w:color w:val="0000EE"/>
          </w:rPr>
          <w:t>TAKE TWO INTERACTIVE</w:t>
        </w:r>
      </w:hyperlink>
      <w:r>
        <w:rPr>
          <w:rFonts w:ascii="Arial" w:cs="Arial" w:eastAsia="Arial" w:hAnsi="Arial"/>
          <w:sz w:val="20"/>
          <w:szCs w:val="20"/>
          <w:u w:val="single" w:color="auto"/>
          <w:color w:val="0000EE"/>
        </w:rPr>
        <w:t xml:space="preserve"> </w:t>
      </w:r>
      <w:hyperlink r:id="rId13">
        <w:r>
          <w:rPr>
            <w:rFonts w:ascii="Arial" w:cs="Arial" w:eastAsia="Arial" w:hAnsi="Arial"/>
            <w:sz w:val="20"/>
            <w:szCs w:val="20"/>
            <w:u w:val="single" w:color="auto"/>
            <w:color w:val="0000EE"/>
          </w:rPr>
          <w:t>SOFTWARE INC</w:t>
        </w:r>
        <w:r>
          <w:rPr>
            <w:rFonts w:ascii="Arial" w:cs="Arial" w:eastAsia="Arial" w:hAnsi="Arial"/>
            <w:sz w:val="20"/>
            <w:szCs w:val="20"/>
            <w:color w:val="0000EE"/>
          </w:rPr>
          <w:t xml:space="preserve">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TTWO</w:t>
        </w:r>
        <w:r>
          <w:rPr>
            <w:rFonts w:ascii="Arial" w:cs="Arial" w:eastAsia="Arial" w:hAnsi="Arial"/>
            <w:sz w:val="20"/>
            <w:szCs w:val="20"/>
            <w:color w:val="0000EE"/>
          </w:rPr>
          <w:t xml:space="preserve"> </w:t>
        </w:r>
        <w:r>
          <w:rPr>
            <w:rFonts w:ascii="Arial" w:cs="Arial" w:eastAsia="Arial" w:hAnsi="Arial"/>
            <w:sz w:val="20"/>
            <w:szCs w:val="20"/>
            <w:color w:val="000000"/>
          </w:rPr>
          <w:t>]</w:t>
        </w:r>
      </w:hyperlink>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ectPr>
          <w:pgSz w:w="11900" w:h="16930"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2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ind w:left="40"/>
              <w:spacing w:after="0"/>
              <w:rPr>
                <w:sz w:val="20"/>
                <w:szCs w:val="20"/>
                <w:color w:val="auto"/>
              </w:rPr>
            </w:pPr>
            <w:r>
              <w:rPr>
                <w:rFonts w:ascii="Arial" w:cs="Arial" w:eastAsia="Arial" w:hAnsi="Arial"/>
                <w:sz w:val="17"/>
                <w:szCs w:val="17"/>
                <w:color w:val="0000FF"/>
              </w:rPr>
              <w:t>Chairman, CEO</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continue"/>
          </w:tcPr>
          <w:p>
            <w:pPr>
              <w:spacing w:after="0"/>
              <w:rPr>
                <w:sz w:val="6"/>
                <w:szCs w:val="6"/>
                <w:color w:val="auto"/>
              </w:rPr>
            </w:pPr>
          </w:p>
        </w:tc>
        <w:tc>
          <w:tcPr>
            <w:tcW w:w="1120" w:type="dxa"/>
            <w:vAlign w:val="bottom"/>
            <w:gridSpan w:val="5"/>
            <w:vMerge w:val="restart"/>
          </w:tcPr>
          <w:p>
            <w:pPr>
              <w:ind w:left="160"/>
              <w:spacing w:after="0"/>
              <w:rPr>
                <w:sz w:val="20"/>
                <w:szCs w:val="20"/>
                <w:color w:val="auto"/>
              </w:rPr>
            </w:pPr>
            <w:r>
              <w:rPr>
                <w:rFonts w:ascii="Arial" w:cs="Arial" w:eastAsia="Arial" w:hAnsi="Arial"/>
                <w:sz w:val="17"/>
                <w:szCs w:val="17"/>
                <w:color w:val="0000FF"/>
              </w:rPr>
              <w:t>04/13/2021</w:t>
            </w: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vMerge w:val="restart"/>
          </w:tcPr>
          <w:p>
            <w:pPr>
              <w:spacing w:after="0"/>
              <w:rPr>
                <w:sz w:val="20"/>
                <w:szCs w:val="20"/>
                <w:color w:val="auto"/>
              </w:rPr>
            </w:pPr>
            <w:r>
              <w:rPr>
                <w:rFonts w:ascii="Arial" w:cs="Arial" w:eastAsia="Arial" w:hAnsi="Arial"/>
                <w:sz w:val="17"/>
                <w:szCs w:val="17"/>
                <w:color w:val="0000FF"/>
                <w:w w:val="98"/>
              </w:rPr>
              <w:t>110 WEST 44TH STREET</w:t>
            </w: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20" w:type="dxa"/>
            <w:vAlign w:val="bottom"/>
            <w:gridSpan w:val="9"/>
            <w:vMerge w:val="continue"/>
          </w:tcPr>
          <w:p>
            <w:pPr>
              <w:spacing w:after="0"/>
              <w:rPr>
                <w:sz w:val="10"/>
                <w:szCs w:val="10"/>
                <w:color w:val="auto"/>
              </w:rPr>
            </w:pPr>
          </w:p>
        </w:tc>
        <w:tc>
          <w:tcPr>
            <w:tcW w:w="34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280" w:type="dxa"/>
            <w:vAlign w:val="bottom"/>
            <w:tcBorders>
              <w:bottom w:val="single" w:sz="8" w:color="9A9A9A"/>
            </w:tcBorders>
          </w:tcPr>
          <w:p>
            <w:pPr>
              <w:spacing w:after="0"/>
              <w:rPr>
                <w:sz w:val="2"/>
                <w:szCs w:val="2"/>
                <w:color w:val="auto"/>
              </w:rPr>
            </w:pPr>
          </w:p>
        </w:tc>
        <w:tc>
          <w:tcPr>
            <w:tcW w:w="52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NY</w:t>
            </w:r>
          </w:p>
        </w:tc>
        <w:tc>
          <w:tcPr>
            <w:tcW w:w="520" w:type="dxa"/>
            <w:vAlign w:val="bottom"/>
          </w:tcPr>
          <w:p>
            <w:pPr>
              <w:spacing w:after="0"/>
              <w:rPr>
                <w:sz w:val="16"/>
                <w:szCs w:val="16"/>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7"/>
                <w:szCs w:val="17"/>
                <w:color w:val="0000FF"/>
              </w:rPr>
              <w:t>10036</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gridSpan w:val="7"/>
          </w:tcPr>
          <w:p>
            <w:pPr>
              <w:ind w:left="80"/>
              <w:spacing w:after="0" w:line="18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tcPr>
          <w:p>
            <w:pPr>
              <w:ind w:left="400"/>
              <w:spacing w:after="0" w:line="101" w:lineRule="exact"/>
              <w:rPr>
                <w:sz w:val="20"/>
                <w:szCs w:val="20"/>
                <w:color w:val="auto"/>
              </w:rPr>
            </w:pPr>
            <w:r>
              <w:rPr>
                <w:rFonts w:ascii="Arial" w:cs="Arial" w:eastAsia="Arial" w:hAnsi="Arial"/>
                <w:sz w:val="11"/>
                <w:szCs w:val="11"/>
                <w:color w:val="auto"/>
              </w:rPr>
              <w:t>Person</w:t>
            </w: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jc w:val="center"/>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780" w:type="dxa"/>
            <w:vAlign w:val="bottom"/>
            <w:tcBorders>
              <w:bottom w:val="single" w:sz="8" w:color="2C2C2C"/>
            </w:tcBorders>
            <w:gridSpan w:val="8"/>
          </w:tcPr>
          <w:p>
            <w:pPr>
              <w:spacing w:after="0"/>
              <w:rPr>
                <w:sz w:val="11"/>
                <w:szCs w:val="11"/>
                <w:color w:val="auto"/>
              </w:rPr>
            </w:pPr>
          </w:p>
        </w:tc>
        <w:tc>
          <w:tcPr>
            <w:tcW w:w="24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6.</w:t>
            </w:r>
          </w:p>
        </w:tc>
        <w:tc>
          <w:tcPr>
            <w:tcW w:w="15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3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w w:val="99"/>
              </w:rPr>
              <w:t>Of (D) (Instr. 3, 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5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86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line="213" w:lineRule="exact"/>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02/24/2021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center"/>
              <w:ind w:left="77"/>
              <w:spacing w:after="0"/>
              <w:rPr>
                <w:sz w:val="20"/>
                <w:szCs w:val="20"/>
                <w:color w:val="auto"/>
              </w:rPr>
            </w:pPr>
            <w:r>
              <w:rPr>
                <w:rFonts w:ascii="Arial" w:cs="Arial" w:eastAsia="Arial" w:hAnsi="Arial"/>
                <w:sz w:val="13"/>
                <w:szCs w:val="13"/>
                <w:color w:val="0000FF"/>
                <w:w w:val="98"/>
              </w:rPr>
              <w:t>G</w:t>
            </w:r>
          </w:p>
        </w:tc>
        <w:tc>
          <w:tcPr>
            <w:tcW w:w="2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0000FF"/>
              </w:rPr>
              <w:t>V</w:t>
            </w: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2"/>
              </w:rPr>
              <w:t>5,500</w:t>
            </w:r>
            <w:r>
              <w:rPr>
                <w:rFonts w:ascii="Arial" w:cs="Arial" w:eastAsia="Arial" w:hAnsi="Arial"/>
                <w:sz w:val="22"/>
                <w:szCs w:val="22"/>
                <w:color w:val="008000"/>
                <w:w w:val="82"/>
                <w:vertAlign w:val="superscript"/>
              </w:rPr>
              <w:t>(2)</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260" w:type="dxa"/>
            <w:vAlign w:val="bottom"/>
          </w:tcPr>
          <w:p>
            <w:pPr>
              <w:spacing w:after="0"/>
              <w:rPr>
                <w:sz w:val="18"/>
                <w:szCs w:val="18"/>
                <w:color w:val="auto"/>
              </w:rPr>
            </w:pPr>
          </w:p>
        </w:tc>
        <w:tc>
          <w:tcPr>
            <w:tcW w:w="760" w:type="dxa"/>
            <w:vAlign w:val="bottom"/>
          </w:tcPr>
          <w:p>
            <w:pPr>
              <w:jc w:val="center"/>
              <w:ind w:right="23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18"/>
                <w:szCs w:val="18"/>
                <w:color w:val="auto"/>
              </w:rPr>
            </w:pPr>
          </w:p>
        </w:tc>
        <w:tc>
          <w:tcPr>
            <w:tcW w:w="980" w:type="dxa"/>
            <w:vAlign w:val="bottom"/>
            <w:gridSpan w:val="2"/>
          </w:tcPr>
          <w:p>
            <w:pPr>
              <w:jc w:val="center"/>
              <w:ind w:left="31"/>
              <w:spacing w:after="0" w:line="213" w:lineRule="exact"/>
              <w:rPr>
                <w:sz w:val="20"/>
                <w:szCs w:val="20"/>
                <w:color w:val="auto"/>
              </w:rPr>
            </w:pPr>
            <w:r>
              <w:rPr>
                <w:rFonts w:ascii="Arial" w:cs="Arial" w:eastAsia="Arial" w:hAnsi="Arial"/>
                <w:sz w:val="17"/>
                <w:szCs w:val="17"/>
                <w:color w:val="0000FF"/>
                <w:w w:val="85"/>
              </w:rPr>
              <w:t>31,741</w:t>
            </w:r>
            <w:r>
              <w:rPr>
                <w:rFonts w:ascii="Arial" w:cs="Arial" w:eastAsia="Arial" w:hAnsi="Arial"/>
                <w:sz w:val="22"/>
                <w:szCs w:val="22"/>
                <w:color w:val="008000"/>
                <w:w w:val="85"/>
                <w:vertAlign w:val="superscript"/>
              </w:rPr>
              <w:t>(3)</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Belzberg Living</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center"/>
              <w:ind w:left="77"/>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8"/>
              </w:rPr>
              <w:t>175,001</w:t>
            </w:r>
            <w:r>
              <w:rPr>
                <w:rFonts w:ascii="Arial" w:cs="Arial" w:eastAsia="Arial" w:hAnsi="Arial"/>
                <w:sz w:val="22"/>
                <w:szCs w:val="22"/>
                <w:color w:val="008000"/>
                <w:w w:val="88"/>
                <w:vertAlign w:val="superscript"/>
              </w:rPr>
              <w:t>(4)</w:t>
            </w:r>
          </w:p>
        </w:tc>
        <w:tc>
          <w:tcPr>
            <w:tcW w:w="460" w:type="dxa"/>
            <w:vAlign w:val="bottom"/>
          </w:tcPr>
          <w:p>
            <w:pPr>
              <w:jc w:val="center"/>
              <w:spacing w:after="0"/>
              <w:rPr>
                <w:sz w:val="20"/>
                <w:szCs w:val="20"/>
                <w:color w:val="auto"/>
              </w:rPr>
            </w:pPr>
            <w:r>
              <w:rPr>
                <w:rFonts w:ascii="Arial" w:cs="Arial" w:eastAsia="Arial" w:hAnsi="Arial"/>
                <w:sz w:val="17"/>
                <w:szCs w:val="17"/>
                <w:color w:val="0000FF"/>
              </w:rPr>
              <w:t>A</w:t>
            </w:r>
          </w:p>
        </w:tc>
        <w:tc>
          <w:tcPr>
            <w:tcW w:w="260" w:type="dxa"/>
            <w:vAlign w:val="bottom"/>
          </w:tcPr>
          <w:p>
            <w:pPr>
              <w:spacing w:after="0"/>
              <w:rPr>
                <w:sz w:val="18"/>
                <w:szCs w:val="18"/>
                <w:color w:val="auto"/>
              </w:rPr>
            </w:pPr>
          </w:p>
        </w:tc>
        <w:tc>
          <w:tcPr>
            <w:tcW w:w="760" w:type="dxa"/>
            <w:vAlign w:val="bottom"/>
          </w:tcPr>
          <w:p>
            <w:pPr>
              <w:jc w:val="center"/>
              <w:ind w:right="23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18"/>
                <w:szCs w:val="18"/>
                <w:color w:val="auto"/>
              </w:rPr>
            </w:pPr>
          </w:p>
        </w:tc>
        <w:tc>
          <w:tcPr>
            <w:tcW w:w="980" w:type="dxa"/>
            <w:vAlign w:val="bottom"/>
            <w:gridSpan w:val="2"/>
          </w:tcPr>
          <w:p>
            <w:pPr>
              <w:jc w:val="center"/>
              <w:ind w:left="11"/>
              <w:spacing w:after="0" w:line="213" w:lineRule="exact"/>
              <w:rPr>
                <w:sz w:val="20"/>
                <w:szCs w:val="20"/>
                <w:color w:val="auto"/>
              </w:rPr>
            </w:pPr>
            <w:r>
              <w:rPr>
                <w:rFonts w:ascii="Arial" w:cs="Arial" w:eastAsia="Arial" w:hAnsi="Arial"/>
                <w:sz w:val="17"/>
                <w:szCs w:val="17"/>
                <w:color w:val="0000FF"/>
                <w:w w:val="84"/>
              </w:rPr>
              <w:t>762,868</w:t>
            </w:r>
            <w:r>
              <w:rPr>
                <w:rFonts w:ascii="Arial" w:cs="Arial" w:eastAsia="Arial" w:hAnsi="Arial"/>
                <w:sz w:val="22"/>
                <w:szCs w:val="22"/>
                <w:color w:val="008000"/>
                <w:w w:val="84"/>
                <w:vertAlign w:val="superscript"/>
              </w:rPr>
              <w:t>(4)(5)</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(4)(5)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center"/>
              <w:ind w:left="97"/>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119,781</w:t>
            </w:r>
            <w:r>
              <w:rPr>
                <w:rFonts w:ascii="Arial" w:cs="Arial" w:eastAsia="Arial" w:hAnsi="Arial"/>
                <w:sz w:val="22"/>
                <w:szCs w:val="22"/>
                <w:color w:val="008000"/>
                <w:w w:val="84"/>
                <w:vertAlign w:val="superscript"/>
              </w:rPr>
              <w:t>(6)(7)</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182.381</w:t>
            </w:r>
            <w:r>
              <w:rPr>
                <w:rFonts w:ascii="Arial" w:cs="Arial" w:eastAsia="Arial" w:hAnsi="Arial"/>
                <w:sz w:val="22"/>
                <w:szCs w:val="22"/>
                <w:color w:val="008000"/>
                <w:w w:val="90"/>
                <w:vertAlign w:val="superscript"/>
              </w:rPr>
              <w:t>(8)</w:t>
            </w:r>
          </w:p>
        </w:tc>
        <w:tc>
          <w:tcPr>
            <w:tcW w:w="40" w:type="dxa"/>
            <w:vAlign w:val="bottom"/>
          </w:tcPr>
          <w:p>
            <w:pPr>
              <w:spacing w:after="0"/>
              <w:rPr>
                <w:sz w:val="18"/>
                <w:szCs w:val="18"/>
                <w:color w:val="auto"/>
              </w:rPr>
            </w:pPr>
          </w:p>
        </w:tc>
        <w:tc>
          <w:tcPr>
            <w:tcW w:w="980" w:type="dxa"/>
            <w:vAlign w:val="bottom"/>
            <w:gridSpan w:val="2"/>
          </w:tcPr>
          <w:p>
            <w:pPr>
              <w:jc w:val="center"/>
              <w:ind w:left="11"/>
              <w:spacing w:after="0" w:line="213" w:lineRule="exact"/>
              <w:rPr>
                <w:sz w:val="20"/>
                <w:szCs w:val="20"/>
                <w:color w:val="auto"/>
              </w:rPr>
            </w:pPr>
            <w:r>
              <w:rPr>
                <w:rFonts w:ascii="Arial" w:cs="Arial" w:eastAsia="Arial" w:hAnsi="Arial"/>
                <w:sz w:val="17"/>
                <w:szCs w:val="17"/>
                <w:color w:val="0000FF"/>
                <w:w w:val="84"/>
              </w:rPr>
              <w:t>643,087</w:t>
            </w:r>
            <w:r>
              <w:rPr>
                <w:rFonts w:ascii="Arial" w:cs="Arial" w:eastAsia="Arial" w:hAnsi="Arial"/>
                <w:sz w:val="22"/>
                <w:szCs w:val="22"/>
                <w:color w:val="008000"/>
                <w:w w:val="84"/>
                <w:vertAlign w:val="superscript"/>
              </w:rPr>
              <w:t>(7)(9)</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Corporation</w:t>
            </w:r>
            <w:r>
              <w:rPr>
                <w:rFonts w:ascii="Arial" w:cs="Arial" w:eastAsia="Arial" w:hAnsi="Arial"/>
                <w:sz w:val="22"/>
                <w:szCs w:val="22"/>
                <w:color w:val="008000"/>
                <w:vertAlign w:val="superscript"/>
              </w:rPr>
              <w:t>(7)(9)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center"/>
              <w:ind w:left="97"/>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105,822</w:t>
            </w:r>
            <w:r>
              <w:rPr>
                <w:rFonts w:ascii="Arial" w:cs="Arial" w:eastAsia="Arial" w:hAnsi="Arial"/>
                <w:sz w:val="22"/>
                <w:szCs w:val="22"/>
                <w:color w:val="008000"/>
                <w:w w:val="84"/>
                <w:vertAlign w:val="superscript"/>
              </w:rPr>
              <w:t>(6)(7)</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182.9198</w:t>
            </w:r>
            <w:r>
              <w:rPr>
                <w:rFonts w:ascii="Arial" w:cs="Arial" w:eastAsia="Arial" w:hAnsi="Arial"/>
                <w:sz w:val="22"/>
                <w:szCs w:val="22"/>
                <w:color w:val="008000"/>
                <w:w w:val="86"/>
                <w:vertAlign w:val="superscript"/>
              </w:rPr>
              <w:t>(10)</w:t>
            </w:r>
          </w:p>
        </w:tc>
        <w:tc>
          <w:tcPr>
            <w:tcW w:w="40" w:type="dxa"/>
            <w:vAlign w:val="bottom"/>
          </w:tcPr>
          <w:p>
            <w:pPr>
              <w:spacing w:after="0"/>
              <w:rPr>
                <w:sz w:val="18"/>
                <w:szCs w:val="18"/>
                <w:color w:val="auto"/>
              </w:rPr>
            </w:pPr>
          </w:p>
        </w:tc>
        <w:tc>
          <w:tcPr>
            <w:tcW w:w="980" w:type="dxa"/>
            <w:vAlign w:val="bottom"/>
            <w:gridSpan w:val="2"/>
          </w:tcPr>
          <w:p>
            <w:pPr>
              <w:jc w:val="center"/>
              <w:ind w:left="31"/>
              <w:spacing w:after="0" w:line="213" w:lineRule="exact"/>
              <w:rPr>
                <w:sz w:val="20"/>
                <w:szCs w:val="20"/>
                <w:color w:val="auto"/>
              </w:rPr>
            </w:pPr>
            <w:r>
              <w:rPr>
                <w:rFonts w:ascii="Arial" w:cs="Arial" w:eastAsia="Arial" w:hAnsi="Arial"/>
                <w:sz w:val="17"/>
                <w:szCs w:val="17"/>
                <w:color w:val="0000FF"/>
                <w:w w:val="83"/>
              </w:rPr>
              <w:t>537,265</w:t>
            </w:r>
            <w:r>
              <w:rPr>
                <w:rFonts w:ascii="Arial" w:cs="Arial" w:eastAsia="Arial" w:hAnsi="Arial"/>
                <w:sz w:val="22"/>
                <w:szCs w:val="22"/>
                <w:color w:val="008000"/>
                <w:w w:val="83"/>
                <w:vertAlign w:val="superscript"/>
              </w:rPr>
              <w:t>(7)(11)</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(7)(11)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center"/>
              <w:ind w:left="97"/>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36,517</w:t>
            </w:r>
            <w:r>
              <w:rPr>
                <w:rFonts w:ascii="Arial" w:cs="Arial" w:eastAsia="Arial" w:hAnsi="Arial"/>
                <w:sz w:val="22"/>
                <w:szCs w:val="22"/>
                <w:color w:val="008000"/>
                <w:w w:val="84"/>
                <w:vertAlign w:val="superscript"/>
              </w:rPr>
              <w:t>(6)(7)</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184.0589</w:t>
            </w:r>
            <w:r>
              <w:rPr>
                <w:rFonts w:ascii="Arial" w:cs="Arial" w:eastAsia="Arial" w:hAnsi="Arial"/>
                <w:sz w:val="22"/>
                <w:szCs w:val="22"/>
                <w:color w:val="008000"/>
                <w:w w:val="86"/>
                <w:vertAlign w:val="superscript"/>
              </w:rPr>
              <w:t>(12)</w:t>
            </w:r>
          </w:p>
        </w:tc>
        <w:tc>
          <w:tcPr>
            <w:tcW w:w="40" w:type="dxa"/>
            <w:vAlign w:val="bottom"/>
          </w:tcPr>
          <w:p>
            <w:pPr>
              <w:spacing w:after="0"/>
              <w:rPr>
                <w:sz w:val="18"/>
                <w:szCs w:val="18"/>
                <w:color w:val="auto"/>
              </w:rPr>
            </w:pPr>
          </w:p>
        </w:tc>
        <w:tc>
          <w:tcPr>
            <w:tcW w:w="980" w:type="dxa"/>
            <w:vAlign w:val="bottom"/>
            <w:gridSpan w:val="2"/>
          </w:tcPr>
          <w:p>
            <w:pPr>
              <w:jc w:val="center"/>
              <w:ind w:left="31"/>
              <w:spacing w:after="0" w:line="213" w:lineRule="exact"/>
              <w:rPr>
                <w:sz w:val="20"/>
                <w:szCs w:val="20"/>
                <w:color w:val="auto"/>
              </w:rPr>
            </w:pPr>
            <w:r>
              <w:rPr>
                <w:rFonts w:ascii="Arial" w:cs="Arial" w:eastAsia="Arial" w:hAnsi="Arial"/>
                <w:sz w:val="17"/>
                <w:szCs w:val="17"/>
                <w:color w:val="0000FF"/>
                <w:w w:val="83"/>
              </w:rPr>
              <w:t>500,748</w:t>
            </w:r>
            <w:r>
              <w:rPr>
                <w:rFonts w:ascii="Arial" w:cs="Arial" w:eastAsia="Arial" w:hAnsi="Arial"/>
                <w:sz w:val="22"/>
                <w:szCs w:val="22"/>
                <w:color w:val="008000"/>
                <w:w w:val="83"/>
                <w:vertAlign w:val="superscript"/>
              </w:rPr>
              <w:t>(7)(13)</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(7)(13)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center"/>
              <w:ind w:left="97"/>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24"/>
                <w:szCs w:val="24"/>
                <w:color w:val="0000FF"/>
                <w:vertAlign w:val="subscript"/>
              </w:rPr>
              <w:t>8,864</w:t>
            </w:r>
            <w:r>
              <w:rPr>
                <w:rFonts w:ascii="Arial" w:cs="Arial" w:eastAsia="Arial" w:hAnsi="Arial"/>
                <w:sz w:val="10"/>
                <w:szCs w:val="10"/>
                <w:color w:val="008000"/>
              </w:rPr>
              <w:t>(6)(7)</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10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184.9868</w:t>
            </w:r>
            <w:r>
              <w:rPr>
                <w:rFonts w:ascii="Arial" w:cs="Arial" w:eastAsia="Arial" w:hAnsi="Arial"/>
                <w:sz w:val="22"/>
                <w:szCs w:val="22"/>
                <w:color w:val="008000"/>
                <w:w w:val="86"/>
                <w:vertAlign w:val="superscript"/>
              </w:rPr>
              <w:t>(14)</w:t>
            </w:r>
          </w:p>
        </w:tc>
        <w:tc>
          <w:tcPr>
            <w:tcW w:w="40" w:type="dxa"/>
            <w:vAlign w:val="bottom"/>
          </w:tcPr>
          <w:p>
            <w:pPr>
              <w:spacing w:after="0"/>
              <w:rPr>
                <w:sz w:val="18"/>
                <w:szCs w:val="18"/>
                <w:color w:val="auto"/>
              </w:rPr>
            </w:pPr>
          </w:p>
        </w:tc>
        <w:tc>
          <w:tcPr>
            <w:tcW w:w="980" w:type="dxa"/>
            <w:vAlign w:val="bottom"/>
            <w:gridSpan w:val="2"/>
          </w:tcPr>
          <w:p>
            <w:pPr>
              <w:jc w:val="center"/>
              <w:ind w:left="31"/>
              <w:spacing w:after="0" w:line="213" w:lineRule="exact"/>
              <w:rPr>
                <w:sz w:val="20"/>
                <w:szCs w:val="20"/>
                <w:color w:val="auto"/>
              </w:rPr>
            </w:pPr>
            <w:r>
              <w:rPr>
                <w:rFonts w:ascii="Arial" w:cs="Arial" w:eastAsia="Arial" w:hAnsi="Arial"/>
                <w:sz w:val="24"/>
                <w:szCs w:val="24"/>
                <w:color w:val="0000FF"/>
                <w:vertAlign w:val="subscript"/>
              </w:rPr>
              <w:t>491,884</w:t>
            </w:r>
            <w:r>
              <w:rPr>
                <w:rFonts w:ascii="Arial" w:cs="Arial" w:eastAsia="Arial" w:hAnsi="Arial"/>
                <w:sz w:val="10"/>
                <w:szCs w:val="10"/>
                <w:color w:val="008000"/>
              </w:rPr>
              <w:t>(7)(15)</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94"/>
              </w:rPr>
              <w:t>Corporation</w:t>
            </w:r>
            <w:r>
              <w:rPr>
                <w:rFonts w:ascii="Arial" w:cs="Arial" w:eastAsia="Arial" w:hAnsi="Arial"/>
                <w:sz w:val="22"/>
                <w:szCs w:val="22"/>
                <w:color w:val="008000"/>
                <w:w w:val="94"/>
                <w:vertAlign w:val="superscript"/>
              </w:rPr>
              <w:t>(7)(15)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gridSpan w:val="2"/>
          </w:tcPr>
          <w:p>
            <w:pPr>
              <w:jc w:val="center"/>
              <w:spacing w:after="0" w:line="213" w:lineRule="exact"/>
              <w:rPr>
                <w:sz w:val="20"/>
                <w:szCs w:val="20"/>
                <w:color w:val="auto"/>
              </w:rPr>
            </w:pPr>
            <w:r>
              <w:rPr>
                <w:rFonts w:ascii="Arial" w:cs="Arial" w:eastAsia="Arial" w:hAnsi="Arial"/>
                <w:sz w:val="24"/>
                <w:szCs w:val="24"/>
                <w:color w:val="0000FF"/>
                <w:w w:val="86"/>
                <w:vertAlign w:val="subscript"/>
              </w:rPr>
              <w:t>J</w:t>
            </w:r>
            <w:r>
              <w:rPr>
                <w:rFonts w:ascii="Arial" w:cs="Arial" w:eastAsia="Arial" w:hAnsi="Arial"/>
                <w:sz w:val="11"/>
                <w:szCs w:val="11"/>
                <w:color w:val="008000"/>
                <w:w w:val="86"/>
              </w:rPr>
              <w:t>(16)</w:t>
            </w:r>
          </w:p>
        </w:tc>
        <w:tc>
          <w:tcPr>
            <w:tcW w:w="380" w:type="dxa"/>
            <w:vAlign w:val="bottom"/>
          </w:tcPr>
          <w:p>
            <w:pPr>
              <w:spacing w:after="0"/>
              <w:rPr>
                <w:sz w:val="18"/>
                <w:szCs w:val="18"/>
                <w:color w:val="auto"/>
              </w:rPr>
            </w:pP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44,331</w:t>
            </w:r>
            <w:r>
              <w:rPr>
                <w:rFonts w:ascii="Arial" w:cs="Arial" w:eastAsia="Arial" w:hAnsi="Arial"/>
                <w:sz w:val="22"/>
                <w:szCs w:val="22"/>
                <w:color w:val="008000"/>
                <w:w w:val="84"/>
                <w:vertAlign w:val="superscript"/>
              </w:rPr>
              <w:t>(16)</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260" w:type="dxa"/>
            <w:vAlign w:val="bottom"/>
          </w:tcPr>
          <w:p>
            <w:pPr>
              <w:spacing w:after="0"/>
              <w:rPr>
                <w:sz w:val="18"/>
                <w:szCs w:val="18"/>
                <w:color w:val="auto"/>
              </w:rPr>
            </w:pPr>
          </w:p>
        </w:tc>
        <w:tc>
          <w:tcPr>
            <w:tcW w:w="760" w:type="dxa"/>
            <w:vAlign w:val="bottom"/>
          </w:tcPr>
          <w:p>
            <w:pPr>
              <w:jc w:val="center"/>
              <w:ind w:right="23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18"/>
                <w:szCs w:val="18"/>
                <w:color w:val="auto"/>
              </w:rPr>
            </w:pPr>
          </w:p>
        </w:tc>
        <w:tc>
          <w:tcPr>
            <w:tcW w:w="1060" w:type="dxa"/>
            <w:vAlign w:val="bottom"/>
            <w:gridSpan w:val="3"/>
          </w:tcPr>
          <w:p>
            <w:pPr>
              <w:jc w:val="center"/>
              <w:spacing w:after="0" w:line="213" w:lineRule="exact"/>
              <w:rPr>
                <w:sz w:val="20"/>
                <w:szCs w:val="20"/>
                <w:color w:val="auto"/>
              </w:rPr>
            </w:pPr>
            <w:r>
              <w:rPr>
                <w:rFonts w:ascii="Arial" w:cs="Arial" w:eastAsia="Arial" w:hAnsi="Arial"/>
                <w:sz w:val="24"/>
                <w:szCs w:val="24"/>
                <w:color w:val="0000FF"/>
                <w:vertAlign w:val="subscript"/>
              </w:rPr>
              <w:t>447,553</w:t>
            </w:r>
            <w:r>
              <w:rPr>
                <w:rFonts w:ascii="Arial" w:cs="Arial" w:eastAsia="Arial" w:hAnsi="Arial"/>
                <w:sz w:val="10"/>
                <w:szCs w:val="10"/>
                <w:color w:val="008000"/>
              </w:rPr>
              <w:t>(16)(17)</w:t>
            </w: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740" w:type="dxa"/>
            <w:vAlign w:val="bottom"/>
          </w:tcPr>
          <w:p>
            <w:pPr>
              <w:ind w:left="100"/>
              <w:spacing w:after="0"/>
              <w:rPr>
                <w:sz w:val="20"/>
                <w:szCs w:val="20"/>
                <w:color w:val="auto"/>
              </w:rPr>
            </w:pPr>
            <w:r>
              <w:rPr>
                <w:rFonts w:ascii="Arial" w:cs="Arial" w:eastAsia="Arial" w:hAnsi="Arial"/>
                <w:sz w:val="17"/>
                <w:szCs w:val="17"/>
                <w:color w:val="0000FF"/>
              </w:rPr>
              <w:t>Media</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w w:val="96"/>
              </w:rPr>
              <w:t>Corporation</w:t>
            </w:r>
            <w:r>
              <w:rPr>
                <w:rFonts w:ascii="Arial" w:cs="Arial" w:eastAsia="Arial" w:hAnsi="Arial"/>
                <w:sz w:val="22"/>
                <w:szCs w:val="22"/>
                <w:color w:val="008000"/>
                <w:w w:val="96"/>
                <w:vertAlign w:val="superscript"/>
              </w:rPr>
              <w:t>(16)(17)</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jc w:val="center"/>
              <w:ind w:left="77"/>
              <w:spacing w:after="0"/>
              <w:rPr>
                <w:sz w:val="20"/>
                <w:szCs w:val="20"/>
                <w:color w:val="auto"/>
              </w:rPr>
            </w:pPr>
            <w:r>
              <w:rPr>
                <w:rFonts w:ascii="Arial" w:cs="Arial" w:eastAsia="Arial" w:hAnsi="Arial"/>
                <w:sz w:val="13"/>
                <w:szCs w:val="13"/>
                <w:color w:val="0000FF"/>
                <w:w w:val="98"/>
              </w:rPr>
              <w:t>G</w:t>
            </w:r>
          </w:p>
        </w:tc>
        <w:tc>
          <w:tcPr>
            <w:tcW w:w="20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13"/>
                <w:szCs w:val="13"/>
                <w:color w:val="0000FF"/>
              </w:rPr>
              <w:t>V</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4"/>
              </w:rPr>
              <w:t>38,208</w:t>
            </w:r>
            <w:r>
              <w:rPr>
                <w:rFonts w:ascii="Arial" w:cs="Arial" w:eastAsia="Arial" w:hAnsi="Arial"/>
                <w:sz w:val="22"/>
                <w:szCs w:val="22"/>
                <w:color w:val="008000"/>
                <w:w w:val="84"/>
                <w:vertAlign w:val="superscript"/>
              </w:rPr>
              <w:t>(18)</w:t>
            </w:r>
          </w:p>
        </w:tc>
        <w:tc>
          <w:tcPr>
            <w:tcW w:w="46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2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jc w:val="center"/>
              <w:ind w:right="216"/>
              <w:spacing w:after="0" w:line="320" w:lineRule="exact"/>
              <w:rPr>
                <w:sz w:val="20"/>
                <w:szCs w:val="20"/>
                <w:color w:val="auto"/>
              </w:rPr>
            </w:pPr>
            <w:r>
              <w:rPr>
                <w:rFonts w:ascii="Arial" w:cs="Arial" w:eastAsia="Arial" w:hAnsi="Arial"/>
                <w:sz w:val="34"/>
                <w:szCs w:val="34"/>
                <w:color w:val="000000"/>
                <w:w w:val="80"/>
                <w:vertAlign w:val="subscript"/>
              </w:rPr>
              <w:t>$</w:t>
            </w:r>
            <w:r>
              <w:rPr>
                <w:rFonts w:ascii="Arial" w:cs="Arial" w:eastAsia="Arial" w:hAnsi="Arial"/>
                <w:sz w:val="34"/>
                <w:szCs w:val="34"/>
                <w:color w:val="0000FF"/>
                <w:w w:val="80"/>
                <w:vertAlign w:val="subscript"/>
              </w:rPr>
              <w:t>0</w:t>
            </w:r>
            <w:r>
              <w:rPr>
                <w:rFonts w:ascii="Arial" w:cs="Arial" w:eastAsia="Arial" w:hAnsi="Arial"/>
                <w:sz w:val="11"/>
                <w:szCs w:val="11"/>
                <w:color w:val="008000"/>
                <w:w w:val="80"/>
              </w:rPr>
              <w:t>(18)</w:t>
            </w:r>
          </w:p>
        </w:tc>
        <w:tc>
          <w:tcPr>
            <w:tcW w:w="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gridSpan w:val="2"/>
          </w:tcPr>
          <w:p>
            <w:pPr>
              <w:jc w:val="center"/>
              <w:ind w:left="31"/>
              <w:spacing w:after="0" w:line="320" w:lineRule="exact"/>
              <w:rPr>
                <w:sz w:val="20"/>
                <w:szCs w:val="20"/>
                <w:color w:val="auto"/>
              </w:rPr>
            </w:pPr>
            <w:r>
              <w:rPr>
                <w:rFonts w:ascii="Arial" w:cs="Arial" w:eastAsia="Arial" w:hAnsi="Arial"/>
                <w:sz w:val="34"/>
                <w:szCs w:val="34"/>
                <w:color w:val="0000FF"/>
                <w:w w:val="86"/>
                <w:vertAlign w:val="subscript"/>
              </w:rPr>
              <w:t>0</w:t>
            </w:r>
            <w:r>
              <w:rPr>
                <w:rFonts w:ascii="Arial" w:cs="Arial" w:eastAsia="Arial" w:hAnsi="Arial"/>
                <w:sz w:val="11"/>
                <w:szCs w:val="11"/>
                <w:color w:val="008000"/>
                <w:w w:val="86"/>
              </w:rPr>
              <w:t>(18)</w:t>
            </w:r>
          </w:p>
        </w:tc>
        <w:tc>
          <w:tcPr>
            <w:tcW w:w="8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jc w:val="center"/>
              <w:ind w:left="3"/>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Zelnick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color w:val="0000FF"/>
                <w:w w:val="91"/>
              </w:rPr>
              <w:t>04/13/2021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jc w:val="center"/>
              <w:ind w:left="77"/>
              <w:spacing w:after="0"/>
              <w:rPr>
                <w:sz w:val="20"/>
                <w:szCs w:val="20"/>
                <w:color w:val="auto"/>
              </w:rPr>
            </w:pPr>
            <w:r>
              <w:rPr>
                <w:rFonts w:ascii="Arial" w:cs="Arial" w:eastAsia="Arial" w:hAnsi="Arial"/>
                <w:sz w:val="13"/>
                <w:szCs w:val="13"/>
                <w:color w:val="0000FF"/>
                <w:w w:val="98"/>
              </w:rPr>
              <w:t>G</w:t>
            </w:r>
          </w:p>
        </w:tc>
        <w:tc>
          <w:tcPr>
            <w:tcW w:w="2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3"/>
                <w:szCs w:val="13"/>
                <w:color w:val="0000FF"/>
              </w:rPr>
              <w:t>V</w:t>
            </w:r>
          </w:p>
        </w:tc>
        <w:tc>
          <w:tcPr>
            <w:tcW w:w="880" w:type="dxa"/>
            <w:vAlign w:val="bottom"/>
          </w:tcPr>
          <w:p>
            <w:pPr>
              <w:jc w:val="center"/>
              <w:spacing w:after="0" w:line="213" w:lineRule="exact"/>
              <w:rPr>
                <w:sz w:val="20"/>
                <w:szCs w:val="20"/>
                <w:color w:val="auto"/>
              </w:rPr>
            </w:pPr>
            <w:r>
              <w:rPr>
                <w:rFonts w:ascii="Arial" w:cs="Arial" w:eastAsia="Arial" w:hAnsi="Arial"/>
                <w:sz w:val="17"/>
                <w:szCs w:val="17"/>
                <w:color w:val="0000FF"/>
                <w:w w:val="84"/>
              </w:rPr>
              <w:t>38,208</w:t>
            </w:r>
            <w:r>
              <w:rPr>
                <w:rFonts w:ascii="Arial" w:cs="Arial" w:eastAsia="Arial" w:hAnsi="Arial"/>
                <w:sz w:val="22"/>
                <w:szCs w:val="22"/>
                <w:color w:val="008000"/>
                <w:w w:val="84"/>
                <w:vertAlign w:val="superscript"/>
              </w:rPr>
              <w:t>(18)</w:t>
            </w:r>
          </w:p>
        </w:tc>
        <w:tc>
          <w:tcPr>
            <w:tcW w:w="460" w:type="dxa"/>
            <w:vAlign w:val="bottom"/>
          </w:tcPr>
          <w:p>
            <w:pPr>
              <w:jc w:val="center"/>
              <w:spacing w:after="0"/>
              <w:rPr>
                <w:sz w:val="20"/>
                <w:szCs w:val="20"/>
                <w:color w:val="auto"/>
              </w:rPr>
            </w:pPr>
            <w:r>
              <w:rPr>
                <w:rFonts w:ascii="Arial" w:cs="Arial" w:eastAsia="Arial" w:hAnsi="Arial"/>
                <w:sz w:val="17"/>
                <w:szCs w:val="17"/>
                <w:color w:val="0000FF"/>
              </w:rPr>
              <w:t>A</w:t>
            </w:r>
          </w:p>
        </w:tc>
        <w:tc>
          <w:tcPr>
            <w:tcW w:w="260" w:type="dxa"/>
            <w:vAlign w:val="bottom"/>
          </w:tcPr>
          <w:p>
            <w:pPr>
              <w:spacing w:after="0"/>
              <w:rPr>
                <w:sz w:val="18"/>
                <w:szCs w:val="18"/>
                <w:color w:val="auto"/>
              </w:rPr>
            </w:pPr>
          </w:p>
        </w:tc>
        <w:tc>
          <w:tcPr>
            <w:tcW w:w="760" w:type="dxa"/>
            <w:vAlign w:val="bottom"/>
          </w:tcPr>
          <w:p>
            <w:pPr>
              <w:jc w:val="center"/>
              <w:ind w:right="216"/>
              <w:spacing w:after="0" w:line="213"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w:t>
            </w:r>
            <w:r>
              <w:rPr>
                <w:rFonts w:ascii="Arial" w:cs="Arial" w:eastAsia="Arial" w:hAnsi="Arial"/>
                <w:sz w:val="10"/>
                <w:szCs w:val="10"/>
                <w:color w:val="008000"/>
              </w:rPr>
              <w:t>(18)</w:t>
            </w:r>
          </w:p>
        </w:tc>
        <w:tc>
          <w:tcPr>
            <w:tcW w:w="40" w:type="dxa"/>
            <w:vAlign w:val="bottom"/>
          </w:tcPr>
          <w:p>
            <w:pPr>
              <w:spacing w:after="0"/>
              <w:rPr>
                <w:sz w:val="18"/>
                <w:szCs w:val="18"/>
                <w:color w:val="auto"/>
              </w:rPr>
            </w:pPr>
          </w:p>
        </w:tc>
        <w:tc>
          <w:tcPr>
            <w:tcW w:w="980" w:type="dxa"/>
            <w:vAlign w:val="bottom"/>
            <w:gridSpan w:val="2"/>
          </w:tcPr>
          <w:p>
            <w:pPr>
              <w:jc w:val="center"/>
              <w:ind w:left="11"/>
              <w:spacing w:after="0" w:line="213" w:lineRule="exact"/>
              <w:rPr>
                <w:sz w:val="20"/>
                <w:szCs w:val="20"/>
                <w:color w:val="auto"/>
              </w:rPr>
            </w:pPr>
            <w:r>
              <w:rPr>
                <w:rFonts w:ascii="Arial" w:cs="Arial" w:eastAsia="Arial" w:hAnsi="Arial"/>
                <w:sz w:val="17"/>
                <w:szCs w:val="17"/>
                <w:color w:val="0000FF"/>
                <w:w w:val="84"/>
              </w:rPr>
              <w:t>69,949</w:t>
            </w:r>
            <w:r>
              <w:rPr>
                <w:rFonts w:ascii="Arial" w:cs="Arial" w:eastAsia="Arial" w:hAnsi="Arial"/>
                <w:sz w:val="22"/>
                <w:szCs w:val="22"/>
                <w:color w:val="008000"/>
                <w:w w:val="84"/>
                <w:vertAlign w:val="superscript"/>
              </w:rPr>
              <w:t>(19)</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Belzberg Living</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5"/>
              </w:rPr>
              <w:t>Trust</w:t>
            </w:r>
            <w:r>
              <w:rPr>
                <w:rFonts w:ascii="Arial" w:cs="Arial" w:eastAsia="Arial" w:hAnsi="Arial"/>
                <w:sz w:val="22"/>
                <w:szCs w:val="22"/>
                <w:color w:val="008000"/>
                <w:w w:val="95"/>
                <w:vertAlign w:val="superscript"/>
              </w:rPr>
              <w:t>(19)</w:t>
            </w: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By Wendy 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center"/>
              <w:ind w:left="11"/>
              <w:spacing w:after="0" w:line="213" w:lineRule="exact"/>
              <w:rPr>
                <w:sz w:val="20"/>
                <w:szCs w:val="20"/>
                <w:color w:val="auto"/>
              </w:rPr>
            </w:pPr>
            <w:r>
              <w:rPr>
                <w:rFonts w:ascii="Arial" w:cs="Arial" w:eastAsia="Arial" w:hAnsi="Arial"/>
                <w:sz w:val="17"/>
                <w:szCs w:val="17"/>
                <w:color w:val="0000FF"/>
                <w:w w:val="84"/>
              </w:rPr>
              <w:t>71,551</w:t>
            </w:r>
            <w:r>
              <w:rPr>
                <w:rFonts w:ascii="Arial" w:cs="Arial" w:eastAsia="Arial" w:hAnsi="Arial"/>
                <w:sz w:val="22"/>
                <w:szCs w:val="22"/>
                <w:color w:val="008000"/>
                <w:w w:val="84"/>
                <w:vertAlign w:val="superscript"/>
              </w:rPr>
              <w:t>(20)</w:t>
            </w:r>
          </w:p>
        </w:tc>
        <w:tc>
          <w:tcPr>
            <w:tcW w:w="80" w:type="dxa"/>
            <w:vAlign w:val="bottom"/>
          </w:tcPr>
          <w:p>
            <w:pPr>
              <w:spacing w:after="0"/>
              <w:rPr>
                <w:sz w:val="18"/>
                <w:szCs w:val="18"/>
                <w:color w:val="auto"/>
              </w:rPr>
            </w:pPr>
          </w:p>
        </w:tc>
        <w:tc>
          <w:tcPr>
            <w:tcW w:w="860" w:type="dxa"/>
            <w:vAlign w:val="bottom"/>
          </w:tcPr>
          <w:p>
            <w:pPr>
              <w:jc w:val="center"/>
              <w:ind w:left="3"/>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100"/>
              <w:spacing w:after="0"/>
              <w:rPr>
                <w:sz w:val="20"/>
                <w:szCs w:val="20"/>
                <w:color w:val="auto"/>
              </w:rPr>
            </w:pPr>
            <w:r>
              <w:rPr>
                <w:rFonts w:ascii="Arial" w:cs="Arial" w:eastAsia="Arial" w:hAnsi="Arial"/>
                <w:sz w:val="17"/>
                <w:szCs w:val="17"/>
                <w:color w:val="0000FF"/>
              </w:rPr>
              <w:t>Belzberg 2012</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0000FF"/>
              </w:rPr>
              <w:t>Family Trust</w:t>
            </w:r>
            <w:r>
              <w:rPr>
                <w:rFonts w:ascii="Arial" w:cs="Arial" w:eastAsia="Arial" w:hAnsi="Arial"/>
                <w:sz w:val="22"/>
                <w:szCs w:val="22"/>
                <w:color w:val="008000"/>
                <w:vertAlign w:val="superscript"/>
              </w:rPr>
              <w:t>(20)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0" w:type="dxa"/>
            <w:vAlign w:val="bottom"/>
            <w:gridSpan w:val="17"/>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8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5"/>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2"/>
                <w:szCs w:val="12"/>
                <w:b w:val="1"/>
                <w:bCs w:val="1"/>
                <w:color w:val="auto"/>
              </w:rPr>
              <w:t>5. Number  6. Date Exercisable and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1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(Instr. 3, 4</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88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260" w:type="dxa"/>
            <w:vAlign w:val="bottom"/>
          </w:tcPr>
          <w:p>
            <w:pPr>
              <w:spacing w:after="0"/>
              <w:rPr>
                <w:sz w:val="13"/>
                <w:szCs w:val="13"/>
                <w:color w:val="auto"/>
              </w:rPr>
            </w:pP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789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789430"/>
                    </a:xfrm>
                    <a:prstGeom prst="rect">
                      <a:avLst/>
                    </a:prstGeom>
                    <a:noFill/>
                  </pic:spPr>
                </pic:pic>
              </a:graphicData>
            </a:graphic>
          </wp:anchor>
        </w:drawing>
      </w:r>
    </w:p>
    <w:p>
      <w:pPr>
        <w:sectPr>
          <w:pgSz w:w="11900" w:h="16930"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0955"/>
                    </a:xfrm>
                    <a:prstGeom prst="rect">
                      <a:avLst/>
                    </a:prstGeom>
                    <a:noFill/>
                  </pic:spPr>
                </pic:pic>
              </a:graphicData>
            </a:graphic>
          </wp:anchor>
        </w:drawing>
        <w:t>Explanation of Responses:</w:t>
      </w:r>
    </w:p>
    <w:p>
      <w:pPr>
        <w:spacing w:after="0" w:line="58" w:lineRule="exact"/>
        <w:rPr>
          <w:sz w:val="20"/>
          <w:szCs w:val="20"/>
          <w:color w:val="auto"/>
        </w:rPr>
      </w:pPr>
    </w:p>
    <w:p>
      <w:pPr>
        <w:ind w:right="2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EXPLANATORY NOTE: This Form 4 primarily relates to the grant of restricted stock units to ZelnickMedia Corporation ("ZelnickMedia") on April 13, 2021 and the vesting of restricted stock units previously granted to ZelnickMedia in April 2019 and the sale of shares, including in order to satisfy the tax obligations arising from such vesting, pursuant to a previously established Rule 10b5-1 trading plan, as further described below.</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charitable gift/transfer of shares of Common Stock to a 501(c)(3) organization.</w:t>
      </w:r>
    </w:p>
    <w:p>
      <w:pPr>
        <w:spacing w:after="0" w:line="50" w:lineRule="exact"/>
        <w:rPr>
          <w:rFonts w:ascii="Arial" w:cs="Arial" w:eastAsia="Arial" w:hAnsi="Arial"/>
          <w:sz w:val="13"/>
          <w:szCs w:val="13"/>
          <w:color w:val="008000"/>
        </w:rPr>
      </w:pPr>
    </w:p>
    <w:p>
      <w:pPr>
        <w:ind w:right="10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31,741 shares of Common Stock held by the Zelnick/Belzberg Living Trust (such securities are indirectly held by Mr. Zelnick). Mr. Zelnick disclaims beneficial ownership of the securities held by the Zelnick/Belzberg Living Trust except to the extent of his pecuniary interest therein.</w:t>
      </w:r>
    </w:p>
    <w:p>
      <w:pPr>
        <w:spacing w:after="0" w:line="15" w:lineRule="exact"/>
        <w:rPr>
          <w:rFonts w:ascii="Arial" w:cs="Arial" w:eastAsia="Arial" w:hAnsi="Arial"/>
          <w:sz w:val="13"/>
          <w:szCs w:val="13"/>
          <w:color w:val="008000"/>
        </w:rPr>
      </w:pPr>
    </w:p>
    <w:p>
      <w:pPr>
        <w:ind w:right="2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grant of 175,001 restricted units to ZelnickMedia pursuant to the Restricted Unit Agreement entered into by ZelnickMedia and the Company on April 13, 2021. Includes 50,807 time-based restricted units that are scheduled to vest on April 13, 2023 and 124,194 performance-based restricted units that are scheduled to vest on April 13, 2023. Further information regarding the Restricted Unit Agreement and the restricted units, including the vesting schedule, is available in the Company's Registration Statement on Form S-3 filed with the Commission on April 13, 2021.</w:t>
      </w:r>
    </w:p>
    <w:p>
      <w:pPr>
        <w:spacing w:after="0" w:line="8" w:lineRule="exact"/>
        <w:rPr>
          <w:rFonts w:ascii="Arial" w:cs="Arial" w:eastAsia="Arial" w:hAnsi="Arial"/>
          <w:sz w:val="12"/>
          <w:szCs w:val="12"/>
          <w:color w:val="008000"/>
        </w:rPr>
      </w:pPr>
    </w:p>
    <w:p>
      <w:pPr>
        <w:ind w:right="54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762,868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transactions are reported on separate lines due to the range of the sale prices.</w:t>
      </w:r>
    </w:p>
    <w:p>
      <w:pPr>
        <w:spacing w:after="0" w:line="50" w:lineRule="exact"/>
        <w:rPr>
          <w:rFonts w:ascii="Arial" w:cs="Arial" w:eastAsia="Arial" w:hAnsi="Arial"/>
          <w:sz w:val="13"/>
          <w:szCs w:val="13"/>
          <w:color w:val="008000"/>
        </w:rPr>
      </w:pPr>
    </w:p>
    <w:p>
      <w:pPr>
        <w:ind w:right="6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13, 2021, 315,315 restricted units previously granted to ZelnickMedia vested. Such restricted units were registered at the time of grant pursuant to a registration statement filed with the Commission which was automatically declared effective on April 15, 2019. The reported sale transactions were effected pursuant to a previously established Rule 10b5-1 trading plan, including to satisfy the tax obligations of the partners of ZelnickMedia upon the vesting of such restricted units.</w:t>
      </w:r>
    </w:p>
    <w:p>
      <w:pPr>
        <w:spacing w:after="0" w:line="25" w:lineRule="exact"/>
        <w:rPr>
          <w:rFonts w:ascii="Arial" w:cs="Arial" w:eastAsia="Arial" w:hAnsi="Arial"/>
          <w:sz w:val="13"/>
          <w:szCs w:val="13"/>
          <w:color w:val="008000"/>
        </w:rPr>
      </w:pPr>
    </w:p>
    <w:p>
      <w:pPr>
        <w:ind w:right="16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$181.64 to $182.64,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447,553 restricted units and 195,534 shares of Common Stock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10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$182.65 to $183.65,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firstLine="7"/>
        <w:spacing w:after="0" w:line="266"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447,553 restricted units and 89,712 shares of Common Stock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10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$183.66 to $184.60,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447,553 restricted units and 53,195 shares of Common Stock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10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weighted average sales price of shares sold in multiple transactions at sales prices ranging from $184.67 to $185.63, inclusive. Upon request, the Reporting Person undertakes to provide the full sale information regarding the number of shares sold at each price increment to the Commission, the issuer or any security holder of the issuer.</w:t>
      </w:r>
    </w:p>
    <w:p>
      <w:pPr>
        <w:spacing w:after="0" w:line="15" w:lineRule="exact"/>
        <w:rPr>
          <w:rFonts w:ascii="Arial" w:cs="Arial" w:eastAsia="Arial" w:hAnsi="Arial"/>
          <w:sz w:val="13"/>
          <w:szCs w:val="13"/>
          <w:color w:val="008000"/>
        </w:rPr>
      </w:pPr>
    </w:p>
    <w:p>
      <w:pPr>
        <w:ind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447,553 restricted units and 44,331 shares of Common Stock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13, 2021, 315,315 restricted units previously granted to ZelnickMedia vested. Following such vest, ZelnickMedia distributed a total of 44,331 shares received upon vesting to its employees, including 38,208 shares to Mr. Zelnick, which shares Mr. Zelnick had previously indirectly beneficially owned through ZelnickMedia.</w:t>
      </w:r>
    </w:p>
    <w:p>
      <w:pPr>
        <w:spacing w:after="0" w:line="15" w:lineRule="exact"/>
        <w:rPr>
          <w:rFonts w:ascii="Arial" w:cs="Arial" w:eastAsia="Arial" w:hAnsi="Arial"/>
          <w:sz w:val="13"/>
          <w:szCs w:val="13"/>
          <w:color w:val="008000"/>
        </w:rPr>
      </w:pPr>
    </w:p>
    <w:p>
      <w:pPr>
        <w:ind w:right="46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447,553 restricted units held directly by ZelnickMedia, of which Mr. Zelnick is a partner (such securities are not held individually by Mr. Zelnick). Mr. Zelnick disclaims beneficial ownership of the securities held by ZelnickMedia except to the extent of his pecuniary interest therein.</w:t>
      </w:r>
    </w:p>
    <w:p>
      <w:pPr>
        <w:spacing w:after="0" w:line="15" w:lineRule="exact"/>
        <w:rPr>
          <w:rFonts w:ascii="Arial" w:cs="Arial" w:eastAsia="Arial" w:hAnsi="Arial"/>
          <w:sz w:val="13"/>
          <w:szCs w:val="13"/>
          <w:color w:val="008000"/>
        </w:rPr>
      </w:pPr>
    </w:p>
    <w:p>
      <w:pPr>
        <w:ind w:right="38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Zelnick received 38,208 shares pursuant to a distribution, as further described in Footnote (16) above, which receipt was exempt from Section 16 as such shares were previously held by Mr. Zelnick indirectly through ZelnickMedia. Mr. Zelnick then contributed such securities to the Zelnick/Belzberg Living Trust in exchange for no consideration.</w:t>
      </w:r>
    </w:p>
    <w:p>
      <w:pPr>
        <w:spacing w:after="0" w:line="15" w:lineRule="exact"/>
        <w:rPr>
          <w:rFonts w:ascii="Arial" w:cs="Arial" w:eastAsia="Arial" w:hAnsi="Arial"/>
          <w:sz w:val="13"/>
          <w:szCs w:val="13"/>
          <w:color w:val="008000"/>
        </w:rPr>
      </w:pPr>
    </w:p>
    <w:p>
      <w:pPr>
        <w:ind w:right="2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69,949 shares of Common Stock held by the Zelnick/Belzberg Living Trust (such securities are indirectly held by Mr. Zelnick), including 38,208 shares received by Mr. Zelnick pursuant to the distribution referred to in Footnote (16) above, which were then contributed to the Zelnick/Belzberg Living Trust. Mr. Zelnick disclaims beneficial ownership of the securities held by the Zelnick/Belzberg Living Trust except to the extent of his pecuniary interest therein.</w:t>
      </w:r>
    </w:p>
    <w:p>
      <w:pPr>
        <w:spacing w:after="0" w:line="25"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71,551 shares of Common Stock held by the Wendy Jay Belzberg 2012 Family Trust (such securities are indirectly held by Mr. Zelnick). Mr. Zelnick disclaims beneficial ownership of the securities held by the Wendy Jay Belzberg 2012 Family Trust except to the extent of his pecuniary interest therein.</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Strauss Zelnick</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04/15/2021</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7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23489" TargetMode="External"/><Relationship Id="rId13"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2021-04-15T16:04:19Z</dcterms:created>
  <dcterms:modified xsi:type="dcterms:W3CDTF">2021-04-15T16:04:19Z</dcterms:modified>
</cp:coreProperties>
</file>