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260350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February 4, 2020</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TAKE-TWO INTERACTIVE SOFTWARE, INC.</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20"/>
          </w:cols>
          <w:pgMar w:left="240" w:top="652" w:right="239" w:bottom="1440" w:gutter="0" w:footer="0" w:header="0"/>
        </w:sectPr>
      </w:pPr>
    </w:p>
    <w:p>
      <w:pPr>
        <w:spacing w:after="0" w:line="232" w:lineRule="exact"/>
        <w:rPr>
          <w:sz w:val="24"/>
          <w:szCs w:val="24"/>
          <w:color w:val="auto"/>
        </w:rPr>
      </w:pPr>
    </w:p>
    <w:p>
      <w:pPr>
        <w:ind w:left="152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4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8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960"/>
        <w:spacing w:after="0"/>
        <w:rPr>
          <w:sz w:val="20"/>
          <w:szCs w:val="20"/>
          <w:color w:val="auto"/>
        </w:rPr>
      </w:pPr>
      <w:r>
        <w:rPr>
          <w:rFonts w:ascii="Arial" w:cs="Arial" w:eastAsia="Arial" w:hAnsi="Arial"/>
          <w:sz w:val="18"/>
          <w:szCs w:val="18"/>
          <w:b w:val="1"/>
          <w:bCs w:val="1"/>
          <w:color w:val="auto"/>
        </w:rPr>
        <w:t>001-34003</w:t>
      </w:r>
    </w:p>
    <w:p>
      <w:pPr>
        <w:spacing w:after="0" w:line="27" w:lineRule="exact"/>
        <w:rPr>
          <w:sz w:val="24"/>
          <w:szCs w:val="24"/>
          <w:color w:val="auto"/>
        </w:rPr>
      </w:pPr>
    </w:p>
    <w:p>
      <w:pPr>
        <w:jc w:val="center"/>
        <w:ind w:right="1960"/>
        <w:spacing w:after="0"/>
        <w:rPr>
          <w:sz w:val="20"/>
          <w:szCs w:val="20"/>
          <w:color w:val="auto"/>
        </w:rPr>
      </w:pPr>
      <w:r>
        <w:rPr>
          <w:rFonts w:ascii="Arial" w:cs="Arial" w:eastAsia="Arial" w:hAnsi="Arial"/>
          <w:sz w:val="16"/>
          <w:szCs w:val="16"/>
          <w:color w:val="auto"/>
        </w:rPr>
        <w:t>(Commission</w:t>
      </w:r>
    </w:p>
    <w:p>
      <w:pPr>
        <w:spacing w:after="0" w:line="32" w:lineRule="exact"/>
        <w:rPr>
          <w:sz w:val="24"/>
          <w:szCs w:val="24"/>
          <w:color w:val="auto"/>
        </w:rPr>
      </w:pPr>
    </w:p>
    <w:p>
      <w:pPr>
        <w:jc w:val="center"/>
        <w:ind w:right="1960"/>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51-0350842</w:t>
      </w:r>
    </w:p>
    <w:p>
      <w:pPr>
        <w:spacing w:after="0" w:line="27" w:lineRule="exact"/>
        <w:rPr>
          <w:sz w:val="24"/>
          <w:szCs w:val="24"/>
          <w:color w:val="auto"/>
        </w:rPr>
      </w:pPr>
    </w:p>
    <w:p>
      <w:pPr>
        <w:jc w:val="center"/>
        <w:ind w:right="12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20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4520" w:space="720"/>
            <w:col w:w="2920" w:space="720"/>
            <w:col w:w="2540"/>
          </w:cols>
          <w:pgMar w:left="240" w:top="652" w:right="239" w:bottom="1440" w:gutter="0" w:footer="0" w:header="0"/>
          <w:type w:val="continuous"/>
        </w:sectPr>
      </w:pPr>
    </w:p>
    <w:p>
      <w:pPr>
        <w:spacing w:after="0" w:line="250" w:lineRule="exact"/>
        <w:rPr>
          <w:sz w:val="24"/>
          <w:szCs w:val="24"/>
          <w:color w:val="auto"/>
        </w:rPr>
      </w:pPr>
    </w:p>
    <w:p>
      <w:pPr>
        <w:jc w:val="center"/>
        <w:ind w:right="1660"/>
        <w:spacing w:after="0"/>
        <w:rPr>
          <w:sz w:val="20"/>
          <w:szCs w:val="20"/>
          <w:color w:val="auto"/>
        </w:rPr>
      </w:pPr>
      <w:r>
        <w:rPr>
          <w:rFonts w:ascii="Arial" w:cs="Arial" w:eastAsia="Arial" w:hAnsi="Arial"/>
          <w:sz w:val="16"/>
          <w:szCs w:val="16"/>
          <w:b w:val="1"/>
          <w:bCs w:val="1"/>
          <w:color w:val="auto"/>
        </w:rPr>
        <w:t>110 West 44th Street, New York, New York</w:t>
      </w:r>
    </w:p>
    <w:p>
      <w:pPr>
        <w:spacing w:after="0" w:line="50" w:lineRule="exact"/>
        <w:rPr>
          <w:sz w:val="24"/>
          <w:szCs w:val="24"/>
          <w:color w:val="auto"/>
        </w:rPr>
      </w:pPr>
    </w:p>
    <w:p>
      <w:pPr>
        <w:jc w:val="center"/>
        <w:ind w:right="166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30" w:lineRule="exact"/>
        <w:rPr>
          <w:sz w:val="24"/>
          <w:szCs w:val="24"/>
          <w:color w:val="auto"/>
        </w:rPr>
      </w:pPr>
    </w:p>
    <w:p>
      <w:pPr>
        <w:jc w:val="center"/>
        <w:ind w:right="2400"/>
        <w:spacing w:after="0"/>
        <w:rPr>
          <w:sz w:val="20"/>
          <w:szCs w:val="20"/>
          <w:color w:val="auto"/>
        </w:rPr>
      </w:pPr>
      <w:r>
        <w:rPr>
          <w:rFonts w:ascii="Arial" w:cs="Arial" w:eastAsia="Arial" w:hAnsi="Arial"/>
          <w:sz w:val="18"/>
          <w:szCs w:val="18"/>
          <w:b w:val="1"/>
          <w:bCs w:val="1"/>
          <w:color w:val="auto"/>
        </w:rPr>
        <w:t>10036</w:t>
      </w:r>
    </w:p>
    <w:p>
      <w:pPr>
        <w:spacing w:after="0" w:line="27" w:lineRule="exact"/>
        <w:rPr>
          <w:sz w:val="24"/>
          <w:szCs w:val="24"/>
          <w:color w:val="auto"/>
        </w:rPr>
      </w:pPr>
    </w:p>
    <w:p>
      <w:pPr>
        <w:jc w:val="center"/>
        <w:ind w:right="2400"/>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7500" w:space="720"/>
            <w:col w:w="3200"/>
          </w:cols>
          <w:pgMar w:left="240" w:top="652" w:right="2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(646) 536-2842</w:t>
      </w:r>
    </w:p>
    <w:p>
      <w:pPr>
        <w:spacing w:after="0" w:line="200" w:lineRule="exact"/>
        <w:rPr>
          <w:sz w:val="24"/>
          <w:szCs w:val="24"/>
          <w:color w:val="auto"/>
        </w:rPr>
      </w:pPr>
    </w:p>
    <w:p>
      <w:pPr>
        <w:spacing w:after="0" w:line="24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3020" w:firstLine="8"/>
        <w:spacing w:after="0" w:line="498" w:lineRule="auto"/>
        <w:tabs>
          <w:tab w:leader="none" w:pos="342"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9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Title of each class</w:t>
            </w:r>
          </w:p>
        </w:tc>
        <w:tc>
          <w:tcPr>
            <w:tcW w:w="37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Trading Symbol</w:t>
            </w:r>
          </w:p>
        </w:tc>
        <w:tc>
          <w:tcPr>
            <w:tcW w:w="376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37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$.01 par value</w:t>
            </w:r>
          </w:p>
        </w:tc>
        <w:tc>
          <w:tcPr>
            <w:tcW w:w="120" w:type="dxa"/>
            <w:vAlign w:val="bottom"/>
          </w:tcPr>
          <w:p>
            <w:pPr>
              <w:spacing w:after="0"/>
              <w:rPr>
                <w:sz w:val="19"/>
                <w:szCs w:val="19"/>
                <w:color w:val="auto"/>
              </w:rPr>
            </w:pPr>
          </w:p>
        </w:tc>
        <w:tc>
          <w:tcPr>
            <w:tcW w:w="36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8"/>
              </w:rPr>
              <w:t>TTWO</w:t>
            </w:r>
          </w:p>
        </w:tc>
        <w:tc>
          <w:tcPr>
            <w:tcW w:w="100" w:type="dxa"/>
            <w:vAlign w:val="bottom"/>
          </w:tcPr>
          <w:p>
            <w:pPr>
              <w:spacing w:after="0"/>
              <w:rPr>
                <w:sz w:val="19"/>
                <w:szCs w:val="19"/>
                <w:color w:val="auto"/>
              </w:rPr>
            </w:pPr>
          </w:p>
        </w:tc>
        <w:tc>
          <w:tcPr>
            <w:tcW w:w="37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494030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52" w:right="239" w:bottom="1440" w:gutter="0" w:footer="0" w:header="0"/>
          <w:type w:val="continuous"/>
        </w:sectPr>
      </w:pPr>
    </w:p>
    <w:bookmarkStart w:id="1" w:name="page2"/>
    <w:bookmarkEnd w:id="1"/>
    <w:p>
      <w:pPr>
        <w:spacing w:after="0"/>
        <w:tabs>
          <w:tab w:leader="none" w:pos="138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After an extended break beginning in the spring of 2019, Dan Houser, Vice President, Creative at Rockstar Games, will be leaving the company. Dan Houser’s last day will be March 11, 2020. We are extremely grateful for his contributions. Rockstar Games has built some of the most critically acclaimed and commercially successful game worlds, a global community of passionate fans and an incredibly talented team, which remains focused on current and future projects.</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 w:name="page3"/>
    <w:bookmarkEnd w:id="2"/>
    <w:p>
      <w:pPr>
        <w:jc w:val="center"/>
        <w:ind w:right="-9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2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/s/ Matthew Breitman</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Matthew Breitman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-130810</wp:posOffset>
            </wp:positionV>
            <wp:extent cx="34048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Senior Vice President, General Counsel Americas &amp; Corporate Secretary</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February 4, 2020</w:t>
      </w:r>
    </w:p>
    <w:p>
      <w:pPr>
        <w:spacing w:after="0" w:line="200" w:lineRule="exact"/>
        <w:rPr>
          <w:sz w:val="20"/>
          <w:szCs w:val="20"/>
          <w:color w:val="auto"/>
        </w:rPr>
      </w:pPr>
    </w:p>
    <w:p>
      <w:pPr>
        <w:spacing w:after="0" w:line="24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320"/>
      </w:cols>
      <w:pgMar w:left="240" w:top="9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2020-02-04T15:45:20Z</dcterms:created>
  <dcterms:modified xsi:type="dcterms:W3CDTF">2020-02-04T15:45:20Z</dcterms:modified>
</cp:coreProperties>
</file>