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580" w:type="dxa"/>
            <w:vAlign w:val="bottom"/>
            <w:gridSpan w:val="2"/>
            <w:vMerge w:val="restart"/>
          </w:tcPr>
          <w:p>
            <w:pPr>
              <w:spacing w:after="0" w:line="250" w:lineRule="exact"/>
              <w:rPr>
                <w:rFonts w:ascii="Arial" w:cs="Arial" w:eastAsia="Arial" w:hAnsi="Arial"/>
                <w:sz w:val="22"/>
                <w:szCs w:val="22"/>
                <w:color w:val="0000EE"/>
                <w:w w:val="87"/>
              </w:rPr>
            </w:pPr>
            <w:hyperlink r:id="rId12">
              <w:r>
                <w:rPr>
                  <w:rFonts w:ascii="Arial" w:cs="Arial" w:eastAsia="Arial" w:hAnsi="Arial"/>
                  <w:sz w:val="22"/>
                  <w:szCs w:val="22"/>
                  <w:color w:val="0000EE"/>
                  <w:w w:val="87"/>
                </w:rPr>
                <w:t>Emerson Daniel P</w:t>
              </w:r>
            </w:hyperlink>
          </w:p>
        </w:tc>
        <w:tc>
          <w:tcPr>
            <w:tcW w:w="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tcBorders>
              <w:bottom w:val="single" w:sz="8" w:color="0000EE"/>
            </w:tcBorders>
            <w:gridSpan w:val="2"/>
          </w:tcPr>
          <w:p>
            <w:pPr>
              <w:spacing w:after="0" w:line="175" w:lineRule="exact"/>
              <w:rPr>
                <w:rFonts w:ascii="Arial" w:cs="Arial" w:eastAsia="Arial" w:hAnsi="Arial"/>
                <w:sz w:val="19"/>
                <w:szCs w:val="19"/>
                <w:color w:val="0000EE"/>
              </w:rPr>
            </w:pPr>
            <w:hyperlink r:id="rId13">
              <w:r>
                <w:rPr>
                  <w:rFonts w:ascii="Arial" w:cs="Arial" w:eastAsia="Arial" w:hAnsi="Arial"/>
                  <w:sz w:val="19"/>
                  <w:szCs w:val="19"/>
                  <w:color w:val="0000EE"/>
                </w:rPr>
                <w:t>TAKE TWO INTERACTIVE SOFTWARE</w:t>
              </w:r>
            </w:hyperlink>
          </w:p>
        </w:tc>
        <w:tc>
          <w:tcPr>
            <w:tcW w:w="120" w:type="dxa"/>
            <w:vAlign w:val="bottom"/>
          </w:tcPr>
          <w:p>
            <w:pPr>
              <w:spacing w:after="0"/>
              <w:rPr>
                <w:sz w:val="15"/>
                <w:szCs w:val="15"/>
                <w:color w:val="auto"/>
              </w:rPr>
            </w:pP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5"/>
                <w:szCs w:val="5"/>
                <w:color w:val="auto"/>
              </w:rPr>
            </w:pPr>
          </w:p>
        </w:tc>
        <w:tc>
          <w:tcPr>
            <w:tcW w:w="1580" w:type="dxa"/>
            <w:vAlign w:val="bottom"/>
            <w:tcBorders>
              <w:bottom w:val="single" w:sz="8" w:color="0000EE"/>
            </w:tcBorders>
            <w:gridSpan w:val="2"/>
            <w:vMerge w:val="continue"/>
          </w:tcPr>
          <w:p>
            <w:pPr>
              <w:spacing w:after="0"/>
              <w:rPr>
                <w:sz w:val="5"/>
                <w:szCs w:val="5"/>
                <w:color w:val="auto"/>
              </w:rPr>
            </w:pPr>
          </w:p>
        </w:tc>
        <w:tc>
          <w:tcPr>
            <w:tcW w:w="660" w:type="dxa"/>
            <w:vAlign w:val="bottom"/>
            <w:vMerge w:val="restart"/>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3"/>
            <w:vMerge w:val="restart"/>
          </w:tcPr>
          <w:p>
            <w:pPr>
              <w:spacing w:after="0" w:line="229"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TTWO</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5"/>
                <w:szCs w:val="5"/>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80" w:type="dxa"/>
            <w:vAlign w:val="bottom"/>
            <w:gridSpan w:val="2"/>
          </w:tcPr>
          <w:p>
            <w:pPr>
              <w:spacing w:after="0"/>
              <w:rPr>
                <w:sz w:val="4"/>
                <w:szCs w:val="4"/>
                <w:color w:val="auto"/>
              </w:rPr>
            </w:pPr>
          </w:p>
        </w:tc>
        <w:tc>
          <w:tcPr>
            <w:tcW w:w="660" w:type="dxa"/>
            <w:vAlign w:val="bottom"/>
            <w:vMerge w:val="continue"/>
          </w:tcPr>
          <w:p>
            <w:pPr>
              <w:spacing w:after="0"/>
              <w:rPr>
                <w:sz w:val="4"/>
                <w:szCs w:val="4"/>
                <w:color w:val="auto"/>
              </w:rPr>
            </w:pPr>
          </w:p>
        </w:tc>
        <w:tc>
          <w:tcPr>
            <w:tcW w:w="15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900" w:type="dxa"/>
            <w:vAlign w:val="bottom"/>
            <w:gridSpan w:val="3"/>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line="155" w:lineRule="exact"/>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line="155"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5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3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820" w:type="dxa"/>
            <w:vAlign w:val="bottom"/>
            <w:tcBorders>
              <w:top w:val="single" w:sz="8" w:color="EEEEEE"/>
            </w:tcBorders>
          </w:tcPr>
          <w:p>
            <w:pPr>
              <w:spacing w:after="0"/>
              <w:rPr>
                <w:sz w:val="10"/>
                <w:szCs w:val="10"/>
                <w:color w:val="auto"/>
              </w:rPr>
            </w:pPr>
          </w:p>
        </w:tc>
        <w:tc>
          <w:tcPr>
            <w:tcW w:w="760" w:type="dxa"/>
            <w:vAlign w:val="bottom"/>
            <w:tcBorders>
              <w:top w:val="single" w:sz="8" w:color="EEEEEE"/>
            </w:tcBorders>
          </w:tcPr>
          <w:p>
            <w:pPr>
              <w:spacing w:after="0"/>
              <w:rPr>
                <w:sz w:val="10"/>
                <w:szCs w:val="10"/>
                <w:color w:val="auto"/>
              </w:rPr>
            </w:pPr>
          </w:p>
        </w:tc>
        <w:tc>
          <w:tcPr>
            <w:tcW w:w="660" w:type="dxa"/>
            <w:vAlign w:val="bottom"/>
            <w:tcBorders>
              <w:top w:val="single" w:sz="8" w:color="EEEEEE"/>
            </w:tcBorders>
          </w:tcPr>
          <w:p>
            <w:pPr>
              <w:spacing w:after="0"/>
              <w:rPr>
                <w:sz w:val="10"/>
                <w:szCs w:val="10"/>
                <w:color w:val="auto"/>
              </w:rPr>
            </w:pPr>
          </w:p>
        </w:tc>
        <w:tc>
          <w:tcPr>
            <w:tcW w:w="156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40" w:type="dxa"/>
            <w:vAlign w:val="bottom"/>
          </w:tcPr>
          <w:p>
            <w:pPr>
              <w:spacing w:after="0"/>
              <w:rPr>
                <w:sz w:val="4"/>
                <w:szCs w:val="4"/>
                <w:color w:val="auto"/>
              </w:rPr>
            </w:pPr>
          </w:p>
        </w:tc>
        <w:tc>
          <w:tcPr>
            <w:tcW w:w="820" w:type="dxa"/>
            <w:vAlign w:val="bottom"/>
            <w:vMerge w:val="restart"/>
          </w:tcPr>
          <w:p>
            <w:pPr>
              <w:spacing w:after="0" w:line="104" w:lineRule="exact"/>
              <w:rPr>
                <w:sz w:val="20"/>
                <w:szCs w:val="20"/>
                <w:color w:val="auto"/>
              </w:rPr>
            </w:pPr>
            <w:r>
              <w:rPr>
                <w:rFonts w:ascii="Arial" w:cs="Arial" w:eastAsia="Arial" w:hAnsi="Arial"/>
                <w:sz w:val="12"/>
                <w:szCs w:val="12"/>
                <w:color w:val="auto"/>
              </w:rPr>
              <w:t>(Last)</w:t>
            </w:r>
          </w:p>
        </w:tc>
        <w:tc>
          <w:tcPr>
            <w:tcW w:w="1420" w:type="dxa"/>
            <w:vAlign w:val="bottom"/>
            <w:gridSpan w:val="2"/>
            <w:vMerge w:val="restart"/>
          </w:tcPr>
          <w:p>
            <w:pPr>
              <w:ind w:left="460"/>
              <w:spacing w:after="0" w:line="104" w:lineRule="exact"/>
              <w:rPr>
                <w:sz w:val="20"/>
                <w:szCs w:val="20"/>
                <w:color w:val="auto"/>
              </w:rPr>
            </w:pPr>
            <w:r>
              <w:rPr>
                <w:rFonts w:ascii="Arial" w:cs="Arial" w:eastAsia="Arial" w:hAnsi="Arial"/>
                <w:sz w:val="12"/>
                <w:szCs w:val="12"/>
                <w:color w:val="auto"/>
              </w:rPr>
              <w:t>(First)</w:t>
            </w:r>
          </w:p>
        </w:tc>
        <w:tc>
          <w:tcPr>
            <w:tcW w:w="1560" w:type="dxa"/>
            <w:vAlign w:val="bottom"/>
            <w:vMerge w:val="restart"/>
          </w:tcPr>
          <w:p>
            <w:pPr>
              <w:ind w:left="300"/>
              <w:spacing w:after="0" w:line="104" w:lineRule="exact"/>
              <w:rPr>
                <w:sz w:val="20"/>
                <w:szCs w:val="20"/>
                <w:color w:val="auto"/>
              </w:rPr>
            </w:pPr>
            <w:r>
              <w:rPr>
                <w:rFonts w:ascii="Arial" w:cs="Arial" w:eastAsia="Arial" w:hAnsi="Arial"/>
                <w:sz w:val="12"/>
                <w:szCs w:val="12"/>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Exec. VP and General Counsel</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rPr>
              <w:t>C/O TAKE-TWO INTERACTIVE SOFTWARE,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00" w:type="dxa"/>
            <w:vAlign w:val="bottom"/>
            <w:gridSpan w:val="3"/>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5"/>
                <w:szCs w:val="15"/>
                <w:color w:val="auto"/>
              </w:rPr>
            </w:pPr>
          </w:p>
        </w:tc>
        <w:tc>
          <w:tcPr>
            <w:tcW w:w="2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800" w:type="dxa"/>
            <w:vAlign w:val="bottom"/>
            <w:gridSpan w:val="4"/>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00" w:type="dxa"/>
            <w:vAlign w:val="bottom"/>
            <w:gridSpan w:val="3"/>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0" w:type="dxa"/>
            <w:vAlign w:val="bottom"/>
          </w:tcPr>
          <w:p>
            <w:pPr>
              <w:spacing w:after="0"/>
              <w:rPr>
                <w:sz w:val="9"/>
                <w:szCs w:val="9"/>
                <w:color w:val="auto"/>
              </w:rPr>
            </w:pPr>
          </w:p>
        </w:tc>
        <w:tc>
          <w:tcPr>
            <w:tcW w:w="3800" w:type="dxa"/>
            <w:vAlign w:val="bottom"/>
            <w:gridSpan w:val="4"/>
            <w:vMerge w:val="continue"/>
          </w:tcPr>
          <w:p>
            <w:pPr>
              <w:spacing w:after="0"/>
              <w:rPr>
                <w:sz w:val="9"/>
                <w:szCs w:val="9"/>
                <w:color w:val="auto"/>
              </w:rPr>
            </w:pPr>
          </w:p>
        </w:tc>
        <w:tc>
          <w:tcPr>
            <w:tcW w:w="3940" w:type="dxa"/>
            <w:vAlign w:val="bottom"/>
            <w:gridSpan w:val="4"/>
            <w:vMerge w:val="restart"/>
          </w:tcPr>
          <w:p>
            <w:pPr>
              <w:ind w:left="160"/>
              <w:spacing w:after="0"/>
              <w:rPr>
                <w:sz w:val="20"/>
                <w:szCs w:val="20"/>
                <w:color w:val="auto"/>
              </w:rPr>
            </w:pPr>
            <w:r>
              <w:rPr>
                <w:rFonts w:ascii="Arial" w:cs="Arial" w:eastAsia="Arial" w:hAnsi="Arial"/>
                <w:sz w:val="18"/>
                <w:szCs w:val="18"/>
                <w:color w:val="0000FF"/>
              </w:rPr>
              <w:t>10/10/2018</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820" w:type="dxa"/>
            <w:vAlign w:val="bottom"/>
            <w:vMerge w:val="restart"/>
          </w:tcPr>
          <w:p>
            <w:pPr>
              <w:spacing w:after="0"/>
              <w:rPr>
                <w:sz w:val="20"/>
                <w:szCs w:val="20"/>
                <w:color w:val="auto"/>
              </w:rPr>
            </w:pPr>
            <w:r>
              <w:rPr>
                <w:rFonts w:ascii="Arial" w:cs="Arial" w:eastAsia="Arial" w:hAnsi="Arial"/>
                <w:sz w:val="18"/>
                <w:szCs w:val="18"/>
                <w:color w:val="0000FF"/>
              </w:rPr>
              <w:t>INC.</w:t>
            </w: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94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Arial" w:cs="Arial" w:eastAsia="Arial" w:hAnsi="Arial"/>
                <w:sz w:val="18"/>
                <w:szCs w:val="18"/>
                <w:color w:val="0000FF"/>
              </w:rPr>
              <w:t>110 WEST 44TH STREET</w:t>
            </w: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34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24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00" w:type="dxa"/>
            <w:vAlign w:val="bottom"/>
            <w:gridSpan w:val="3"/>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900" w:type="dxa"/>
            <w:vAlign w:val="bottom"/>
            <w:gridSpan w:val="3"/>
            <w:vMerge w:val="continue"/>
          </w:tcPr>
          <w:p>
            <w:pPr>
              <w:spacing w:after="0"/>
              <w:rPr>
                <w:sz w:val="7"/>
                <w:szCs w:val="7"/>
                <w:color w:val="auto"/>
              </w:rPr>
            </w:pPr>
          </w:p>
        </w:tc>
        <w:tc>
          <w:tcPr>
            <w:tcW w:w="34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8060"/>
        <w:spacing w:after="0"/>
        <w:rPr>
          <w:sz w:val="20"/>
          <w:szCs w:val="20"/>
          <w:color w:val="auto"/>
        </w:rPr>
      </w:pPr>
      <w:r>
        <w:rPr>
          <w:rFonts w:ascii="Arial" w:cs="Arial" w:eastAsia="Arial" w:hAnsi="Arial"/>
          <w:sz w:val="14"/>
          <w:szCs w:val="14"/>
          <w:color w:val="auto"/>
        </w:rPr>
        <w:t>Line)</w:t>
      </w:r>
    </w:p>
    <w:p>
      <w:pPr>
        <w:sectPr>
          <w:pgSz w:w="11900" w:h="16838" w:orient="portrait"/>
          <w:cols w:equalWidth="0" w:num="1">
            <w:col w:w="11420"/>
          </w:cols>
          <w:pgMar w:left="240" w:top="226" w:right="239" w:bottom="1440" w:gutter="0" w:footer="0" w:header="0"/>
          <w:type w:val="continuous"/>
        </w:sectPr>
      </w:pPr>
    </w:p>
    <w:p>
      <w:pPr>
        <w:spacing w:after="0" w:line="42"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10036</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left="356" w:hanging="356"/>
        <w:spacing w:after="0"/>
        <w:tabs>
          <w:tab w:leader="none" w:pos="356" w:val="left"/>
        </w:tabs>
        <w:numPr>
          <w:ilvl w:val="0"/>
          <w:numId w:val="1"/>
        </w:numPr>
        <w:rPr>
          <w:rFonts w:ascii="Arial" w:cs="Arial" w:eastAsia="Arial" w:hAnsi="Arial"/>
          <w:sz w:val="18"/>
          <w:szCs w:val="18"/>
          <w:color w:val="0000FF"/>
        </w:rPr>
      </w:pPr>
      <w:r>
        <w:rPr>
          <w:rFonts w:ascii="Arial" w:cs="Arial" w:eastAsia="Arial" w:hAnsi="Arial"/>
          <w:sz w:val="14"/>
          <w:szCs w:val="14"/>
          <w:color w:val="auto"/>
        </w:rPr>
        <w:t>Form filed by One Reporting Person</w:t>
      </w:r>
    </w:p>
    <w:p>
      <w:pPr>
        <w:spacing w:after="0" w:line="80" w:lineRule="exact"/>
        <w:rPr>
          <w:rFonts w:ascii="Arial" w:cs="Arial" w:eastAsia="Arial" w:hAnsi="Arial"/>
          <w:sz w:val="18"/>
          <w:szCs w:val="18"/>
          <w:color w:val="0000FF"/>
        </w:rPr>
      </w:pPr>
    </w:p>
    <w:p>
      <w:pPr>
        <w:ind w:left="356" w:right="460"/>
        <w:spacing w:after="0" w:line="231" w:lineRule="auto"/>
        <w:rPr>
          <w:rFonts w:ascii="Arial" w:cs="Arial" w:eastAsia="Arial" w:hAnsi="Arial"/>
          <w:sz w:val="18"/>
          <w:szCs w:val="18"/>
          <w:color w:val="0000FF"/>
        </w:rPr>
      </w:pPr>
      <w:r>
        <w:rPr>
          <w:rFonts w:ascii="Arial" w:cs="Arial" w:eastAsia="Arial" w:hAnsi="Arial"/>
          <w:sz w:val="14"/>
          <w:szCs w:val="14"/>
          <w:color w:val="auto"/>
        </w:rPr>
        <w:t>Form filed by More than One Reporting Person</w:t>
      </w:r>
    </w:p>
    <w:p>
      <w:pPr>
        <w:spacing w:after="0" w:line="495" w:lineRule="exact"/>
        <w:rPr>
          <w:sz w:val="20"/>
          <w:szCs w:val="20"/>
          <w:color w:val="auto"/>
        </w:rPr>
      </w:pPr>
    </w:p>
    <w:p>
      <w:pPr>
        <w:sectPr>
          <w:pgSz w:w="11900" w:h="16838" w:orient="portrait"/>
          <w:cols w:equalWidth="0" w:num="2">
            <w:col w:w="7544" w:space="720"/>
            <w:col w:w="3156"/>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30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10/10/2018</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8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13,268</w:t>
            </w:r>
            <w:r>
              <w:rPr>
                <w:rFonts w:ascii="Arial" w:cs="Arial" w:eastAsia="Arial" w:hAnsi="Arial"/>
                <w:sz w:val="22"/>
                <w:szCs w:val="22"/>
                <w:color w:val="008000"/>
                <w:w w:val="98"/>
                <w:vertAlign w:val="superscript"/>
              </w:rPr>
              <w:t>(1)</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123.625</w:t>
            </w:r>
            <w:r>
              <w:rPr>
                <w:rFonts w:ascii="Arial" w:cs="Arial" w:eastAsia="Arial" w:hAnsi="Arial"/>
                <w:sz w:val="22"/>
                <w:szCs w:val="22"/>
                <w:color w:val="008000"/>
                <w:w w:val="90"/>
                <w:vertAlign w:val="superscript"/>
              </w:rPr>
              <w:t>(2)</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61,680</w:t>
            </w:r>
            <w:r>
              <w:rPr>
                <w:rFonts w:ascii="Arial" w:cs="Arial" w:eastAsia="Arial" w:hAnsi="Arial"/>
                <w:sz w:val="22"/>
                <w:szCs w:val="22"/>
                <w:color w:val="008000"/>
                <w:vertAlign w:val="superscript"/>
              </w:rPr>
              <w:t>(3)</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effected pursuant to a Rule 10b5-1 trading plan entered into by the Reporting Person.</w:t>
      </w:r>
    </w:p>
    <w:p>
      <w:pPr>
        <w:spacing w:after="0" w:line="41" w:lineRule="exact"/>
        <w:rPr>
          <w:rFonts w:ascii="Arial" w:cs="Arial" w:eastAsia="Arial" w:hAnsi="Arial"/>
          <w:sz w:val="14"/>
          <w:szCs w:val="14"/>
          <w:color w:val="008000"/>
        </w:rPr>
      </w:pPr>
    </w:p>
    <w:p>
      <w:pPr>
        <w:ind w:left="40" w:right="1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a weighted average sales price of shares sold in multiple transactions at sales prices ranging from $123.57 to $123.94, inclusive. Upon request, the Reporting Person undertakes to provide the full sale information regarding the number of shares sold at each price increment to the Commission, the Issuer or any security holder of the Issuer.</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(i) 9,784 unvested time-based restricted stock units, and (ii) 51,896 unvested performance-based restricted stock units. Such unvested awards will vest, or fail to vest, in accordance with the terms of the applicable award agreements.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8"/>
              </w:rPr>
              <w:t>/s/ Daniel Emerson</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10/12/2018</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3654"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2019-12-23T21:14:37Z</dcterms:created>
  <dcterms:modified xsi:type="dcterms:W3CDTF">2019-12-23T21:14:37Z</dcterms:modified>
</cp:coreProperties>
</file>