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ind w:right="-19"/>
        <w:spacing w:after="0"/>
        <w:rPr>
          <w:sz w:val="20"/>
          <w:szCs w:val="20"/>
          <w:color w:val="auto"/>
        </w:rPr>
      </w:pPr>
      <w:r>
        <w:rPr>
          <w:rFonts w:ascii="Arial" w:cs="Arial" w:eastAsia="Arial" w:hAnsi="Arial"/>
          <w:sz w:val="32"/>
          <w:szCs w:val="32"/>
          <w:b w:val="1"/>
          <w:bCs w:val="1"/>
          <w:color w:val="auto"/>
        </w:rPr>
        <w:drawing>
          <wp:anchor simplePos="0" relativeHeight="251657728" behindDoc="1" locked="0" layoutInCell="0" allowOverlap="1">
            <wp:simplePos x="0" y="0"/>
            <wp:positionH relativeFrom="page">
              <wp:posOffset>157480</wp:posOffset>
            </wp:positionH>
            <wp:positionV relativeFrom="page">
              <wp:posOffset>157480</wp:posOffset>
            </wp:positionV>
            <wp:extent cx="7246620" cy="342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246620" cy="34290"/>
                    </a:xfrm>
                    <a:prstGeom prst="rect">
                      <a:avLst/>
                    </a:prstGeom>
                    <a:noFill/>
                  </pic:spPr>
                </pic:pic>
              </a:graphicData>
            </a:graphic>
          </wp:anchor>
        </w:drawing>
        <w:drawing>
          <wp:anchor simplePos="0" relativeHeight="251657728" behindDoc="1" locked="0" layoutInCell="0" allowOverlap="1">
            <wp:simplePos x="0" y="0"/>
            <wp:positionH relativeFrom="page">
              <wp:posOffset>157480</wp:posOffset>
            </wp:positionH>
            <wp:positionV relativeFrom="page">
              <wp:posOffset>226060</wp:posOffset>
            </wp:positionV>
            <wp:extent cx="7246620" cy="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246620" cy="8890"/>
                    </a:xfrm>
                    <a:prstGeom prst="rect">
                      <a:avLst/>
                    </a:prstGeom>
                    <a:noFill/>
                  </pic:spPr>
                </pic:pic>
              </a:graphicData>
            </a:graphic>
          </wp:anchor>
        </w:drawing>
        <w:t>UNITED STATES</w:t>
      </w:r>
    </w:p>
    <w:p>
      <w:pPr>
        <w:spacing w:after="0" w:line="33" w:lineRule="exact"/>
        <w:rPr>
          <w:sz w:val="24"/>
          <w:szCs w:val="24"/>
          <w:color w:val="auto"/>
        </w:rPr>
      </w:pPr>
    </w:p>
    <w:p>
      <w:pPr>
        <w:jc w:val="center"/>
        <w:ind w:right="-19"/>
        <w:spacing w:after="0"/>
        <w:rPr>
          <w:sz w:val="20"/>
          <w:szCs w:val="20"/>
          <w:color w:val="auto"/>
        </w:rPr>
      </w:pPr>
      <w:r>
        <w:rPr>
          <w:rFonts w:ascii="Arial" w:cs="Arial" w:eastAsia="Arial" w:hAnsi="Arial"/>
          <w:sz w:val="32"/>
          <w:szCs w:val="32"/>
          <w:b w:val="1"/>
          <w:bCs w:val="1"/>
          <w:color w:val="auto"/>
        </w:rPr>
        <w:t>SECURITIES AND EXCHANGE COMMISSION</w:t>
      </w:r>
    </w:p>
    <w:p>
      <w:pPr>
        <w:spacing w:after="0" w:line="4" w:lineRule="exact"/>
        <w:rPr>
          <w:sz w:val="24"/>
          <w:szCs w:val="24"/>
          <w:color w:val="auto"/>
        </w:rPr>
      </w:pPr>
    </w:p>
    <w:p>
      <w:pPr>
        <w:jc w:val="center"/>
        <w:ind w:right="-19"/>
        <w:spacing w:after="0"/>
        <w:rPr>
          <w:sz w:val="20"/>
          <w:szCs w:val="20"/>
          <w:color w:val="auto"/>
        </w:rPr>
      </w:pPr>
      <w:r>
        <w:rPr>
          <w:rFonts w:ascii="Arial" w:cs="Arial" w:eastAsia="Arial" w:hAnsi="Arial"/>
          <w:sz w:val="18"/>
          <w:szCs w:val="18"/>
          <w:b w:val="1"/>
          <w:bCs w:val="1"/>
          <w:color w:val="auto"/>
        </w:rPr>
        <w:t>Washington, D.C. 20549</w:t>
      </w:r>
    </w:p>
    <w:p>
      <w:pPr>
        <w:spacing w:after="0" w:line="182" w:lineRule="exact"/>
        <w:rPr>
          <w:sz w:val="24"/>
          <w:szCs w:val="24"/>
          <w:color w:val="auto"/>
        </w:rPr>
      </w:pPr>
    </w:p>
    <w:p>
      <w:pPr>
        <w:jc w:val="center"/>
        <w:ind w:right="-19"/>
        <w:spacing w:after="0"/>
        <w:rPr>
          <w:sz w:val="20"/>
          <w:szCs w:val="20"/>
          <w:color w:val="auto"/>
        </w:rPr>
      </w:pPr>
      <w:r>
        <w:rPr>
          <w:rFonts w:ascii="Arial" w:cs="Arial" w:eastAsia="Arial" w:hAnsi="Arial"/>
          <w:sz w:val="32"/>
          <w:szCs w:val="32"/>
          <w:b w:val="1"/>
          <w:bCs w:val="1"/>
          <w:color w:val="auto"/>
        </w:rPr>
        <w:t>FORM 8-K</w:t>
      </w:r>
    </w:p>
    <w:p>
      <w:pPr>
        <w:spacing w:after="0" w:line="226" w:lineRule="exact"/>
        <w:rPr>
          <w:sz w:val="24"/>
          <w:szCs w:val="24"/>
          <w:color w:val="auto"/>
        </w:rPr>
      </w:pPr>
    </w:p>
    <w:p>
      <w:pPr>
        <w:jc w:val="center"/>
        <w:ind w:right="-19"/>
        <w:spacing w:after="0"/>
        <w:rPr>
          <w:sz w:val="20"/>
          <w:szCs w:val="20"/>
          <w:color w:val="auto"/>
        </w:rPr>
      </w:pPr>
      <w:r>
        <w:rPr>
          <w:rFonts w:ascii="Arial" w:cs="Arial" w:eastAsia="Arial" w:hAnsi="Arial"/>
          <w:sz w:val="22"/>
          <w:szCs w:val="22"/>
          <w:b w:val="1"/>
          <w:bCs w:val="1"/>
          <w:color w:val="auto"/>
        </w:rPr>
        <w:t>CURRENT REPORT</w:t>
      </w:r>
    </w:p>
    <w:p>
      <w:pPr>
        <w:spacing w:after="0" w:line="14" w:lineRule="exact"/>
        <w:rPr>
          <w:sz w:val="24"/>
          <w:szCs w:val="24"/>
          <w:color w:val="auto"/>
        </w:rPr>
      </w:pPr>
    </w:p>
    <w:p>
      <w:pPr>
        <w:jc w:val="center"/>
        <w:ind w:right="-19"/>
        <w:spacing w:after="0"/>
        <w:rPr>
          <w:sz w:val="20"/>
          <w:szCs w:val="20"/>
          <w:color w:val="auto"/>
        </w:rPr>
      </w:pPr>
      <w:r>
        <w:rPr>
          <w:rFonts w:ascii="Arial" w:cs="Arial" w:eastAsia="Arial" w:hAnsi="Arial"/>
          <w:sz w:val="19"/>
          <w:szCs w:val="19"/>
          <w:b w:val="1"/>
          <w:bCs w:val="1"/>
          <w:color w:val="auto"/>
        </w:rPr>
        <w:t>Pursuant to Section 13 or 15(d) of the Securities Exchange Act of 1934</w:t>
      </w:r>
    </w:p>
    <w:p>
      <w:pPr>
        <w:spacing w:after="0" w:line="226" w:lineRule="exact"/>
        <w:rPr>
          <w:sz w:val="24"/>
          <w:szCs w:val="24"/>
          <w:color w:val="auto"/>
        </w:rPr>
      </w:pPr>
    </w:p>
    <w:p>
      <w:pPr>
        <w:jc w:val="center"/>
        <w:ind w:right="-19"/>
        <w:spacing w:after="0"/>
        <w:rPr>
          <w:sz w:val="20"/>
          <w:szCs w:val="20"/>
          <w:color w:val="auto"/>
        </w:rPr>
      </w:pPr>
      <w:r>
        <w:rPr>
          <w:rFonts w:ascii="Arial" w:cs="Arial" w:eastAsia="Arial" w:hAnsi="Arial"/>
          <w:sz w:val="18"/>
          <w:szCs w:val="18"/>
          <w:color w:val="auto"/>
        </w:rPr>
        <w:t xml:space="preserve">Date of Report (Date of earliest event reported): </w:t>
      </w:r>
      <w:r>
        <w:rPr>
          <w:rFonts w:ascii="Arial" w:cs="Arial" w:eastAsia="Arial" w:hAnsi="Arial"/>
          <w:sz w:val="18"/>
          <w:szCs w:val="18"/>
          <w:b w:val="1"/>
          <w:bCs w:val="1"/>
          <w:color w:val="auto"/>
        </w:rPr>
        <w:t>April 24, 2018</w:t>
      </w:r>
    </w:p>
    <w:p>
      <w:pPr>
        <w:spacing w:after="0" w:line="202" w:lineRule="exact"/>
        <w:rPr>
          <w:sz w:val="24"/>
          <w:szCs w:val="24"/>
          <w:color w:val="auto"/>
        </w:rPr>
      </w:pPr>
    </w:p>
    <w:p>
      <w:pPr>
        <w:jc w:val="center"/>
        <w:ind w:right="-19"/>
        <w:spacing w:after="0"/>
        <w:rPr>
          <w:sz w:val="20"/>
          <w:szCs w:val="20"/>
          <w:color w:val="auto"/>
        </w:rPr>
      </w:pPr>
      <w:r>
        <w:rPr>
          <w:rFonts w:ascii="Arial" w:cs="Arial" w:eastAsia="Arial" w:hAnsi="Arial"/>
          <w:sz w:val="32"/>
          <w:szCs w:val="32"/>
          <w:b w:val="1"/>
          <w:bCs w:val="1"/>
          <w:color w:val="auto"/>
        </w:rPr>
        <w:t>TAKE-TWO INTERACTIVE SOFTWARE, INC.</w:t>
      </w:r>
    </w:p>
    <w:p>
      <w:pPr>
        <w:spacing w:after="0" w:line="40" w:lineRule="exact"/>
        <w:rPr>
          <w:sz w:val="24"/>
          <w:szCs w:val="24"/>
          <w:color w:val="auto"/>
        </w:rPr>
      </w:pPr>
    </w:p>
    <w:p>
      <w:pPr>
        <w:jc w:val="center"/>
        <w:ind w:right="-19"/>
        <w:spacing w:after="0"/>
        <w:rPr>
          <w:sz w:val="20"/>
          <w:szCs w:val="20"/>
          <w:color w:val="auto"/>
        </w:rPr>
      </w:pPr>
      <w:r>
        <w:rPr>
          <w:rFonts w:ascii="Arial" w:cs="Arial" w:eastAsia="Arial" w:hAnsi="Arial"/>
          <w:sz w:val="18"/>
          <w:szCs w:val="18"/>
          <w:color w:val="auto"/>
        </w:rPr>
        <w:t>(Exact name of registrant as specified in its charter)</w:t>
      </w:r>
    </w:p>
    <w:p>
      <w:pPr>
        <w:sectPr>
          <w:pgSz w:w="11900" w:h="16838" w:orient="portrait"/>
          <w:cols w:equalWidth="0" w:num="1">
            <w:col w:w="11400"/>
          </w:cols>
          <w:pgMar w:left="240" w:top="544" w:right="259" w:bottom="0" w:gutter="0" w:footer="0" w:header="0"/>
        </w:sectPr>
      </w:pPr>
    </w:p>
    <w:p>
      <w:pPr>
        <w:spacing w:after="0" w:line="205" w:lineRule="exact"/>
        <w:rPr>
          <w:sz w:val="24"/>
          <w:szCs w:val="24"/>
          <w:color w:val="auto"/>
        </w:rPr>
      </w:pPr>
    </w:p>
    <w:p>
      <w:pPr>
        <w:jc w:val="center"/>
        <w:ind w:right="340"/>
        <w:spacing w:after="0"/>
        <w:rPr>
          <w:sz w:val="20"/>
          <w:szCs w:val="20"/>
          <w:color w:val="auto"/>
        </w:rPr>
      </w:pPr>
      <w:r>
        <w:rPr>
          <w:rFonts w:ascii="Arial" w:cs="Arial" w:eastAsia="Arial" w:hAnsi="Arial"/>
          <w:sz w:val="18"/>
          <w:szCs w:val="18"/>
          <w:b w:val="1"/>
          <w:bCs w:val="1"/>
          <w:color w:val="auto"/>
        </w:rPr>
        <w:t>Delaware</w:t>
      </w:r>
    </w:p>
    <w:p>
      <w:pPr>
        <w:spacing w:after="0" w:line="27" w:lineRule="exact"/>
        <w:rPr>
          <w:sz w:val="24"/>
          <w:szCs w:val="24"/>
          <w:color w:val="auto"/>
        </w:rPr>
      </w:pPr>
    </w:p>
    <w:p>
      <w:pPr>
        <w:jc w:val="center"/>
        <w:ind w:right="340"/>
        <w:spacing w:after="0"/>
        <w:rPr>
          <w:sz w:val="20"/>
          <w:szCs w:val="20"/>
          <w:color w:val="auto"/>
        </w:rPr>
      </w:pPr>
      <w:r>
        <w:rPr>
          <w:rFonts w:ascii="Arial" w:cs="Arial" w:eastAsia="Arial" w:hAnsi="Arial"/>
          <w:sz w:val="16"/>
          <w:szCs w:val="16"/>
          <w:color w:val="auto"/>
        </w:rPr>
        <w:t>(State or other jurisdiction of</w:t>
      </w:r>
    </w:p>
    <w:p>
      <w:pPr>
        <w:spacing w:after="0" w:line="20" w:lineRule="exact"/>
        <w:rPr>
          <w:sz w:val="24"/>
          <w:szCs w:val="24"/>
          <w:color w:val="auto"/>
        </w:rPr>
      </w:pPr>
      <w:r>
        <w:rPr>
          <w:sz w:val="24"/>
          <w:szCs w:val="24"/>
          <w:color w:val="auto"/>
        </w:rPr>
        <w:br w:type="column"/>
      </w:r>
    </w:p>
    <w:p>
      <w:pPr>
        <w:spacing w:after="0" w:line="185" w:lineRule="exact"/>
        <w:rPr>
          <w:sz w:val="24"/>
          <w:szCs w:val="24"/>
          <w:color w:val="auto"/>
        </w:rPr>
      </w:pPr>
    </w:p>
    <w:p>
      <w:pPr>
        <w:jc w:val="center"/>
        <w:ind w:right="840"/>
        <w:spacing w:after="0"/>
        <w:rPr>
          <w:sz w:val="20"/>
          <w:szCs w:val="20"/>
          <w:color w:val="auto"/>
        </w:rPr>
      </w:pPr>
      <w:r>
        <w:rPr>
          <w:rFonts w:ascii="Arial" w:cs="Arial" w:eastAsia="Arial" w:hAnsi="Arial"/>
          <w:sz w:val="18"/>
          <w:szCs w:val="18"/>
          <w:b w:val="1"/>
          <w:bCs w:val="1"/>
          <w:color w:val="auto"/>
        </w:rPr>
        <w:t>001-34003</w:t>
      </w:r>
    </w:p>
    <w:p>
      <w:pPr>
        <w:spacing w:after="0" w:line="27" w:lineRule="exact"/>
        <w:rPr>
          <w:sz w:val="24"/>
          <w:szCs w:val="24"/>
          <w:color w:val="auto"/>
        </w:rPr>
      </w:pPr>
    </w:p>
    <w:p>
      <w:pPr>
        <w:jc w:val="center"/>
        <w:ind w:right="840"/>
        <w:spacing w:after="0"/>
        <w:rPr>
          <w:sz w:val="20"/>
          <w:szCs w:val="20"/>
          <w:color w:val="auto"/>
        </w:rPr>
      </w:pPr>
      <w:r>
        <w:rPr>
          <w:rFonts w:ascii="Arial" w:cs="Arial" w:eastAsia="Arial" w:hAnsi="Arial"/>
          <w:sz w:val="16"/>
          <w:szCs w:val="16"/>
          <w:color w:val="auto"/>
        </w:rPr>
        <w:t>(Commission File Number)</w:t>
      </w:r>
    </w:p>
    <w:p>
      <w:pPr>
        <w:spacing w:after="0" w:line="20" w:lineRule="exact"/>
        <w:rPr>
          <w:sz w:val="24"/>
          <w:szCs w:val="24"/>
          <w:color w:val="auto"/>
        </w:rPr>
      </w:pPr>
      <w:r>
        <w:rPr>
          <w:sz w:val="24"/>
          <w:szCs w:val="24"/>
          <w:color w:val="auto"/>
        </w:rPr>
        <w:br w:type="column"/>
      </w:r>
    </w:p>
    <w:p>
      <w:pPr>
        <w:spacing w:after="0" w:line="185" w:lineRule="exact"/>
        <w:rPr>
          <w:sz w:val="24"/>
          <w:szCs w:val="24"/>
          <w:color w:val="auto"/>
        </w:rPr>
      </w:pPr>
    </w:p>
    <w:p>
      <w:pPr>
        <w:jc w:val="center"/>
        <w:ind w:right="500"/>
        <w:spacing w:after="0"/>
        <w:rPr>
          <w:sz w:val="20"/>
          <w:szCs w:val="20"/>
          <w:color w:val="auto"/>
        </w:rPr>
      </w:pPr>
      <w:r>
        <w:rPr>
          <w:rFonts w:ascii="Arial" w:cs="Arial" w:eastAsia="Arial" w:hAnsi="Arial"/>
          <w:sz w:val="18"/>
          <w:szCs w:val="18"/>
          <w:b w:val="1"/>
          <w:bCs w:val="1"/>
          <w:color w:val="auto"/>
        </w:rPr>
        <w:t>51-0350842</w:t>
      </w:r>
    </w:p>
    <w:p>
      <w:pPr>
        <w:spacing w:after="0" w:line="27" w:lineRule="exact"/>
        <w:rPr>
          <w:sz w:val="24"/>
          <w:szCs w:val="24"/>
          <w:color w:val="auto"/>
        </w:rPr>
      </w:pPr>
    </w:p>
    <w:p>
      <w:pPr>
        <w:jc w:val="center"/>
        <w:ind w:right="500"/>
        <w:spacing w:after="0"/>
        <w:rPr>
          <w:sz w:val="20"/>
          <w:szCs w:val="20"/>
          <w:color w:val="auto"/>
        </w:rPr>
      </w:pPr>
      <w:r>
        <w:rPr>
          <w:rFonts w:ascii="Arial" w:cs="Arial" w:eastAsia="Arial" w:hAnsi="Arial"/>
          <w:sz w:val="17"/>
          <w:szCs w:val="17"/>
          <w:color w:val="auto"/>
        </w:rPr>
        <w:t>(I.R.S. Employer Identification No.)</w:t>
      </w:r>
    </w:p>
    <w:p>
      <w:pPr>
        <w:spacing w:after="0" w:line="21" w:lineRule="exact"/>
        <w:rPr>
          <w:sz w:val="24"/>
          <w:szCs w:val="24"/>
          <w:color w:val="auto"/>
        </w:rPr>
      </w:pPr>
    </w:p>
    <w:p>
      <w:pPr>
        <w:sectPr>
          <w:pgSz w:w="11900" w:h="16838" w:orient="portrait"/>
          <w:cols w:equalWidth="0" w:num="3">
            <w:col w:w="4020" w:space="720"/>
            <w:col w:w="2820" w:space="720"/>
            <w:col w:w="3120"/>
          </w:cols>
          <w:pgMar w:left="240" w:top="544" w:right="259" w:bottom="0" w:gutter="0" w:footer="0" w:header="0"/>
          <w:type w:val="continuous"/>
        </w:sectPr>
      </w:pPr>
    </w:p>
    <w:p>
      <w:pPr>
        <w:ind w:left="760"/>
        <w:spacing w:after="0"/>
        <w:rPr>
          <w:sz w:val="20"/>
          <w:szCs w:val="20"/>
          <w:color w:val="auto"/>
        </w:rPr>
      </w:pPr>
      <w:r>
        <w:rPr>
          <w:rFonts w:ascii="Arial" w:cs="Arial" w:eastAsia="Arial" w:hAnsi="Arial"/>
          <w:sz w:val="16"/>
          <w:szCs w:val="16"/>
          <w:color w:val="auto"/>
        </w:rPr>
        <w:t>incorporation or organization)</w:t>
      </w:r>
    </w:p>
    <w:p>
      <w:pPr>
        <w:sectPr>
          <w:pgSz w:w="11900" w:h="16838" w:orient="portrait"/>
          <w:cols w:equalWidth="0" w:num="1">
            <w:col w:w="11400"/>
          </w:cols>
          <w:pgMar w:left="240" w:top="544" w:right="259" w:bottom="0" w:gutter="0" w:footer="0" w:header="0"/>
          <w:type w:val="continuous"/>
        </w:sectPr>
      </w:pPr>
    </w:p>
    <w:p>
      <w:pPr>
        <w:spacing w:after="0" w:line="230" w:lineRule="exact"/>
        <w:rPr>
          <w:sz w:val="24"/>
          <w:szCs w:val="24"/>
          <w:color w:val="auto"/>
        </w:rPr>
      </w:pPr>
    </w:p>
    <w:p>
      <w:pPr>
        <w:jc w:val="center"/>
        <w:ind w:right="1880"/>
        <w:spacing w:after="0"/>
        <w:rPr>
          <w:sz w:val="20"/>
          <w:szCs w:val="20"/>
          <w:color w:val="auto"/>
        </w:rPr>
      </w:pPr>
      <w:r>
        <w:rPr>
          <w:rFonts w:ascii="Arial" w:cs="Arial" w:eastAsia="Arial" w:hAnsi="Arial"/>
          <w:sz w:val="18"/>
          <w:szCs w:val="18"/>
          <w:b w:val="1"/>
          <w:bCs w:val="1"/>
          <w:color w:val="auto"/>
        </w:rPr>
        <w:t>110 West 44</w:t>
      </w:r>
      <w:r>
        <w:rPr>
          <w:rFonts w:ascii="Arial" w:cs="Arial" w:eastAsia="Arial" w:hAnsi="Arial"/>
          <w:sz w:val="11"/>
          <w:szCs w:val="11"/>
          <w:b w:val="1"/>
          <w:bCs w:val="1"/>
          <w:color w:val="auto"/>
        </w:rPr>
        <w:t>th</w:t>
      </w:r>
      <w:r>
        <w:rPr>
          <w:rFonts w:ascii="Arial" w:cs="Arial" w:eastAsia="Arial" w:hAnsi="Arial"/>
          <w:sz w:val="18"/>
          <w:szCs w:val="18"/>
          <w:b w:val="1"/>
          <w:bCs w:val="1"/>
          <w:color w:val="auto"/>
        </w:rPr>
        <w:t xml:space="preserve"> Street</w:t>
      </w:r>
    </w:p>
    <w:p>
      <w:pPr>
        <w:spacing w:after="0" w:line="27" w:lineRule="exact"/>
        <w:rPr>
          <w:sz w:val="24"/>
          <w:szCs w:val="24"/>
          <w:color w:val="auto"/>
        </w:rPr>
      </w:pPr>
    </w:p>
    <w:p>
      <w:pPr>
        <w:jc w:val="center"/>
        <w:ind w:right="1880"/>
        <w:spacing w:after="0"/>
        <w:rPr>
          <w:sz w:val="20"/>
          <w:szCs w:val="20"/>
          <w:color w:val="auto"/>
        </w:rPr>
      </w:pPr>
      <w:r>
        <w:rPr>
          <w:rFonts w:ascii="Arial" w:cs="Arial" w:eastAsia="Arial" w:hAnsi="Arial"/>
          <w:sz w:val="18"/>
          <w:szCs w:val="18"/>
          <w:b w:val="1"/>
          <w:bCs w:val="1"/>
          <w:color w:val="auto"/>
        </w:rPr>
        <w:t>New York, New York</w:t>
      </w:r>
    </w:p>
    <w:p>
      <w:pPr>
        <w:spacing w:after="0" w:line="9" w:lineRule="exact"/>
        <w:rPr>
          <w:sz w:val="24"/>
          <w:szCs w:val="24"/>
          <w:color w:val="auto"/>
        </w:rPr>
      </w:pPr>
    </w:p>
    <w:p>
      <w:pPr>
        <w:jc w:val="center"/>
        <w:ind w:right="1880"/>
        <w:spacing w:after="0"/>
        <w:rPr>
          <w:sz w:val="20"/>
          <w:szCs w:val="20"/>
          <w:color w:val="auto"/>
        </w:rPr>
      </w:pPr>
      <w:r>
        <w:rPr>
          <w:rFonts w:ascii="Arial" w:cs="Arial" w:eastAsia="Arial" w:hAnsi="Arial"/>
          <w:sz w:val="16"/>
          <w:szCs w:val="16"/>
          <w:color w:val="auto"/>
        </w:rPr>
        <w:t>(Address of principal executive offices)</w:t>
      </w:r>
    </w:p>
    <w:p>
      <w:pPr>
        <w:spacing w:after="0" w:line="20" w:lineRule="exact"/>
        <w:rPr>
          <w:sz w:val="24"/>
          <w:szCs w:val="24"/>
          <w:color w:val="auto"/>
        </w:rPr>
      </w:pPr>
      <w:r>
        <w:rPr>
          <w:sz w:val="24"/>
          <w:szCs w:val="24"/>
          <w:color w:val="auto"/>
        </w:rPr>
        <w:br w:type="column"/>
      </w:r>
    </w:p>
    <w:p>
      <w:pPr>
        <w:spacing w:after="0" w:line="200" w:lineRule="exact"/>
        <w:rPr>
          <w:sz w:val="24"/>
          <w:szCs w:val="24"/>
          <w:color w:val="auto"/>
        </w:rPr>
      </w:pPr>
    </w:p>
    <w:p>
      <w:pPr>
        <w:spacing w:after="0" w:line="226" w:lineRule="exact"/>
        <w:rPr>
          <w:sz w:val="24"/>
          <w:szCs w:val="24"/>
          <w:color w:val="auto"/>
        </w:rPr>
      </w:pPr>
    </w:p>
    <w:p>
      <w:pPr>
        <w:jc w:val="center"/>
        <w:ind w:right="2380"/>
        <w:spacing w:after="0"/>
        <w:rPr>
          <w:sz w:val="20"/>
          <w:szCs w:val="20"/>
          <w:color w:val="auto"/>
        </w:rPr>
      </w:pPr>
      <w:r>
        <w:rPr>
          <w:rFonts w:ascii="Arial" w:cs="Arial" w:eastAsia="Arial" w:hAnsi="Arial"/>
          <w:sz w:val="18"/>
          <w:szCs w:val="18"/>
          <w:b w:val="1"/>
          <w:bCs w:val="1"/>
          <w:color w:val="auto"/>
        </w:rPr>
        <w:t>10036</w:t>
      </w:r>
    </w:p>
    <w:p>
      <w:pPr>
        <w:spacing w:after="0" w:line="27" w:lineRule="exact"/>
        <w:rPr>
          <w:sz w:val="24"/>
          <w:szCs w:val="24"/>
          <w:color w:val="auto"/>
        </w:rPr>
      </w:pPr>
    </w:p>
    <w:p>
      <w:pPr>
        <w:jc w:val="center"/>
        <w:ind w:right="2380"/>
        <w:spacing w:after="0"/>
        <w:rPr>
          <w:sz w:val="20"/>
          <w:szCs w:val="20"/>
          <w:color w:val="auto"/>
        </w:rPr>
      </w:pPr>
      <w:r>
        <w:rPr>
          <w:rFonts w:ascii="Arial" w:cs="Arial" w:eastAsia="Arial" w:hAnsi="Arial"/>
          <w:sz w:val="16"/>
          <w:szCs w:val="16"/>
          <w:color w:val="auto"/>
        </w:rPr>
        <w:t>(Zip Code)</w:t>
      </w:r>
    </w:p>
    <w:p>
      <w:pPr>
        <w:spacing w:after="0" w:line="200" w:lineRule="exact"/>
        <w:rPr>
          <w:sz w:val="24"/>
          <w:szCs w:val="24"/>
          <w:color w:val="auto"/>
        </w:rPr>
      </w:pPr>
    </w:p>
    <w:p>
      <w:pPr>
        <w:sectPr>
          <w:pgSz w:w="11900" w:h="16838" w:orient="portrait"/>
          <w:cols w:equalWidth="0" w:num="2">
            <w:col w:w="7500" w:space="720"/>
            <w:col w:w="3180"/>
          </w:cols>
          <w:pgMar w:left="240" w:top="544" w:right="259" w:bottom="0" w:gutter="0" w:footer="0" w:header="0"/>
          <w:type w:val="continuous"/>
        </w:sectPr>
      </w:pPr>
    </w:p>
    <w:p>
      <w:pPr>
        <w:spacing w:after="0" w:line="30" w:lineRule="exact"/>
        <w:rPr>
          <w:sz w:val="24"/>
          <w:szCs w:val="24"/>
          <w:color w:val="auto"/>
        </w:rPr>
      </w:pPr>
    </w:p>
    <w:p>
      <w:pPr>
        <w:jc w:val="center"/>
        <w:ind w:right="-39"/>
        <w:spacing w:after="0"/>
        <w:rPr>
          <w:sz w:val="20"/>
          <w:szCs w:val="20"/>
          <w:color w:val="auto"/>
        </w:rPr>
      </w:pPr>
      <w:r>
        <w:rPr>
          <w:rFonts w:ascii="Arial" w:cs="Arial" w:eastAsia="Arial" w:hAnsi="Arial"/>
          <w:sz w:val="18"/>
          <w:szCs w:val="18"/>
          <w:color w:val="auto"/>
        </w:rPr>
        <w:t xml:space="preserve">Registrant’s telephone number, including area code: </w:t>
      </w:r>
      <w:r>
        <w:rPr>
          <w:rFonts w:ascii="Arial" w:cs="Arial" w:eastAsia="Arial" w:hAnsi="Arial"/>
          <w:sz w:val="18"/>
          <w:szCs w:val="18"/>
          <w:b w:val="1"/>
          <w:bCs w:val="1"/>
          <w:color w:val="auto"/>
        </w:rPr>
        <w:t>(646) 536-2842</w:t>
      </w:r>
    </w:p>
    <w:p>
      <w:pPr>
        <w:spacing w:after="0" w:line="225" w:lineRule="exact"/>
        <w:rPr>
          <w:sz w:val="24"/>
          <w:szCs w:val="24"/>
          <w:color w:val="auto"/>
        </w:rPr>
      </w:pPr>
    </w:p>
    <w:p>
      <w:pPr>
        <w:jc w:val="center"/>
        <w:ind w:right="-39"/>
        <w:spacing w:after="0"/>
        <w:rPr>
          <w:sz w:val="20"/>
          <w:szCs w:val="20"/>
          <w:color w:val="auto"/>
        </w:rPr>
      </w:pPr>
      <w:r>
        <w:rPr>
          <w:rFonts w:ascii="Arial" w:cs="Arial" w:eastAsia="Arial" w:hAnsi="Arial"/>
          <w:sz w:val="18"/>
          <w:szCs w:val="18"/>
          <w:color w:val="auto"/>
        </w:rPr>
        <w:t xml:space="preserve">Registrant’s Former Name or Address, if changed since last report: </w:t>
      </w:r>
      <w:r>
        <w:rPr>
          <w:rFonts w:ascii="Arial" w:cs="Arial" w:eastAsia="Arial" w:hAnsi="Arial"/>
          <w:sz w:val="18"/>
          <w:szCs w:val="18"/>
          <w:b w:val="1"/>
          <w:bCs w:val="1"/>
          <w:color w:val="auto"/>
        </w:rPr>
        <w:t>N/A</w:t>
      </w:r>
    </w:p>
    <w:p>
      <w:pPr>
        <w:spacing w:after="0" w:line="229" w:lineRule="exact"/>
        <w:rPr>
          <w:sz w:val="24"/>
          <w:szCs w:val="24"/>
          <w:color w:val="auto"/>
        </w:rPr>
      </w:pPr>
    </w:p>
    <w:p>
      <w:pPr>
        <w:ind w:right="100"/>
        <w:spacing w:after="0" w:line="277" w:lineRule="auto"/>
        <w:rPr>
          <w:sz w:val="20"/>
          <w:szCs w:val="20"/>
          <w:color w:val="auto"/>
        </w:rPr>
      </w:pPr>
      <w:r>
        <w:rPr>
          <w:rFonts w:ascii="Arial" w:cs="Arial" w:eastAsia="Arial" w:hAnsi="Arial"/>
          <w:sz w:val="18"/>
          <w:szCs w:val="18"/>
          <w:color w:val="auto"/>
        </w:rPr>
        <w:t>Check the appropriate box below if the Form 8-K filing is intended to simultaneously satisfy the filing obligation of the registrant under any of the following provisions (see General Instruction A.2. below):</w:t>
      </w:r>
    </w:p>
    <w:p>
      <w:pPr>
        <w:spacing w:after="0" w:line="170" w:lineRule="exact"/>
        <w:rPr>
          <w:sz w:val="24"/>
          <w:szCs w:val="24"/>
          <w:color w:val="auto"/>
        </w:rPr>
      </w:pPr>
    </w:p>
    <w:p>
      <w:pPr>
        <w:spacing w:after="0"/>
        <w:rPr>
          <w:sz w:val="20"/>
          <w:szCs w:val="20"/>
          <w:color w:val="auto"/>
        </w:rPr>
      </w:pPr>
      <w:r>
        <w:rPr>
          <w:rFonts w:ascii="Arial" w:cs="Arial" w:eastAsia="Arial" w:hAnsi="Arial"/>
          <w:sz w:val="18"/>
          <w:szCs w:val="18"/>
          <w:color w:val="auto"/>
        </w:rPr>
        <w:t>o Written communications pursuant to Rule 425 under the Securities Act (17 CFR 230.425)</w:t>
      </w:r>
    </w:p>
    <w:p>
      <w:pPr>
        <w:spacing w:after="0" w:line="225" w:lineRule="exact"/>
        <w:rPr>
          <w:sz w:val="24"/>
          <w:szCs w:val="24"/>
          <w:color w:val="auto"/>
        </w:rPr>
      </w:pPr>
    </w:p>
    <w:p>
      <w:pPr>
        <w:spacing w:after="0"/>
        <w:rPr>
          <w:sz w:val="20"/>
          <w:szCs w:val="20"/>
          <w:color w:val="auto"/>
        </w:rPr>
      </w:pPr>
      <w:r>
        <w:rPr>
          <w:rFonts w:ascii="Arial" w:cs="Arial" w:eastAsia="Arial" w:hAnsi="Arial"/>
          <w:sz w:val="18"/>
          <w:szCs w:val="18"/>
          <w:color w:val="auto"/>
        </w:rPr>
        <w:t>o Soliciting material pursuant to Rule 14a-12 under the Exchange Act (17 CFR 240.14a-12)</w:t>
      </w:r>
    </w:p>
    <w:p>
      <w:pPr>
        <w:spacing w:after="0" w:line="225" w:lineRule="exact"/>
        <w:rPr>
          <w:sz w:val="24"/>
          <w:szCs w:val="24"/>
          <w:color w:val="auto"/>
        </w:rPr>
      </w:pPr>
    </w:p>
    <w:p>
      <w:pPr>
        <w:spacing w:after="0"/>
        <w:rPr>
          <w:sz w:val="20"/>
          <w:szCs w:val="20"/>
          <w:color w:val="auto"/>
        </w:rPr>
      </w:pPr>
      <w:r>
        <w:rPr>
          <w:rFonts w:ascii="Arial" w:cs="Arial" w:eastAsia="Arial" w:hAnsi="Arial"/>
          <w:sz w:val="18"/>
          <w:szCs w:val="18"/>
          <w:color w:val="auto"/>
        </w:rPr>
        <w:t>o Pre-commencement communications pursuant to Rule 14d-2(b) under the Exchange Act (17 CFR 240.14d-2(b))</w:t>
      </w:r>
    </w:p>
    <w:p>
      <w:pPr>
        <w:spacing w:after="0" w:line="225" w:lineRule="exact"/>
        <w:rPr>
          <w:sz w:val="24"/>
          <w:szCs w:val="24"/>
          <w:color w:val="auto"/>
        </w:rPr>
      </w:pPr>
    </w:p>
    <w:p>
      <w:pPr>
        <w:spacing w:after="0"/>
        <w:rPr>
          <w:sz w:val="20"/>
          <w:szCs w:val="20"/>
          <w:color w:val="auto"/>
        </w:rPr>
      </w:pPr>
      <w:r>
        <w:rPr>
          <w:rFonts w:ascii="Arial" w:cs="Arial" w:eastAsia="Arial" w:hAnsi="Arial"/>
          <w:sz w:val="18"/>
          <w:szCs w:val="18"/>
          <w:color w:val="auto"/>
        </w:rPr>
        <w:t>o Pre-commencement communications pursuant to Rule 13e-4(c) under the Exchange Act (17 CFR 240.13e-4(c))</w:t>
      </w:r>
    </w:p>
    <w:p>
      <w:pPr>
        <w:spacing w:after="0" w:line="225" w:lineRule="exact"/>
        <w:rPr>
          <w:sz w:val="24"/>
          <w:szCs w:val="24"/>
          <w:color w:val="auto"/>
        </w:rPr>
      </w:pPr>
    </w:p>
    <w:p>
      <w:pPr>
        <w:ind w:right="40"/>
        <w:spacing w:after="0" w:line="277" w:lineRule="auto"/>
        <w:rPr>
          <w:sz w:val="20"/>
          <w:szCs w:val="20"/>
          <w:color w:val="auto"/>
        </w:rPr>
      </w:pPr>
      <w:r>
        <w:rPr>
          <w:rFonts w:ascii="Arial" w:cs="Arial" w:eastAsia="Arial" w:hAnsi="Arial"/>
          <w:sz w:val="18"/>
          <w:szCs w:val="18"/>
          <w:color w:val="auto"/>
        </w:rPr>
        <w:t>Indicate by check mark whether the registrant is an emerging growth company as defined in Rule 405 of the Securities Act of 1933 (§230.405 of this chapter) or Rule 12b-2 of the Securities Exchange Act of 1934 (§240.12b-2 of this chapter).</w:t>
      </w:r>
    </w:p>
    <w:p>
      <w:pPr>
        <w:spacing w:after="0" w:line="170" w:lineRule="exact"/>
        <w:rPr>
          <w:sz w:val="24"/>
          <w:szCs w:val="24"/>
          <w:color w:val="auto"/>
        </w:rPr>
      </w:pPr>
    </w:p>
    <w:p>
      <w:pPr>
        <w:spacing w:after="0"/>
        <w:rPr>
          <w:sz w:val="20"/>
          <w:szCs w:val="20"/>
          <w:color w:val="auto"/>
        </w:rPr>
      </w:pPr>
      <w:r>
        <w:rPr>
          <w:rFonts w:ascii="Arial" w:cs="Arial" w:eastAsia="Arial" w:hAnsi="Arial"/>
          <w:sz w:val="18"/>
          <w:szCs w:val="18"/>
          <w:color w:val="auto"/>
        </w:rPr>
        <w:t>Emerging growth company o</w:t>
      </w:r>
    </w:p>
    <w:p>
      <w:pPr>
        <w:spacing w:after="0" w:line="225" w:lineRule="exact"/>
        <w:rPr>
          <w:sz w:val="24"/>
          <w:szCs w:val="24"/>
          <w:color w:val="auto"/>
        </w:rPr>
      </w:pPr>
    </w:p>
    <w:p>
      <w:pPr>
        <w:ind w:right="120"/>
        <w:spacing w:after="0" w:line="277" w:lineRule="auto"/>
        <w:rPr>
          <w:sz w:val="20"/>
          <w:szCs w:val="20"/>
          <w:color w:val="auto"/>
        </w:rPr>
      </w:pPr>
      <w:r>
        <w:rPr>
          <w:rFonts w:ascii="Arial" w:cs="Arial" w:eastAsia="Arial" w:hAnsi="Arial"/>
          <w:sz w:val="18"/>
          <w:szCs w:val="18"/>
          <w:color w:val="auto"/>
        </w:rPr>
        <w:t>If an emerging growth company, indicate by check mark if the registrant has elected not to use the extended transition period for complying with any new or revised financial accounting standards provided pursuant to Section 13(a) of the Exchange Act. o</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117475</wp:posOffset>
            </wp:positionV>
            <wp:extent cx="7246620" cy="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7246620" cy="889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160020</wp:posOffset>
            </wp:positionV>
            <wp:extent cx="7246620" cy="342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246620" cy="34290"/>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398145</wp:posOffset>
            </wp:positionV>
            <wp:extent cx="7267575" cy="2984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400" w:lineRule="exact"/>
        <w:rPr>
          <w:sz w:val="24"/>
          <w:szCs w:val="24"/>
          <w:color w:val="auto"/>
        </w:rPr>
      </w:pPr>
    </w:p>
    <w:p>
      <w:pPr>
        <w:spacing w:after="0"/>
        <w:tabs>
          <w:tab w:leader="none" w:pos="1280" w:val="left"/>
        </w:tabs>
        <w:rPr>
          <w:sz w:val="20"/>
          <w:szCs w:val="20"/>
          <w:color w:val="auto"/>
        </w:rPr>
      </w:pPr>
      <w:r>
        <w:rPr>
          <w:rFonts w:ascii="Arial" w:cs="Arial" w:eastAsia="Arial" w:hAnsi="Arial"/>
          <w:sz w:val="18"/>
          <w:szCs w:val="18"/>
          <w:b w:val="1"/>
          <w:bCs w:val="1"/>
          <w:color w:val="auto"/>
        </w:rPr>
        <w:t>Item 8.01</w:t>
      </w:r>
      <w:r>
        <w:rPr>
          <w:sz w:val="20"/>
          <w:szCs w:val="20"/>
          <w:color w:val="auto"/>
        </w:rPr>
        <w:tab/>
      </w:r>
      <w:r>
        <w:rPr>
          <w:rFonts w:ascii="Arial" w:cs="Arial" w:eastAsia="Arial" w:hAnsi="Arial"/>
          <w:sz w:val="16"/>
          <w:szCs w:val="16"/>
          <w:b w:val="1"/>
          <w:bCs w:val="1"/>
          <w:color w:val="auto"/>
        </w:rPr>
        <w:t>Other Events</w:t>
      </w:r>
    </w:p>
    <w:p>
      <w:pPr>
        <w:spacing w:after="0" w:line="229" w:lineRule="exact"/>
        <w:rPr>
          <w:sz w:val="24"/>
          <w:szCs w:val="24"/>
          <w:color w:val="auto"/>
        </w:rPr>
      </w:pPr>
    </w:p>
    <w:p>
      <w:pPr>
        <w:ind w:firstLine="495"/>
        <w:spacing w:after="0" w:line="273" w:lineRule="auto"/>
        <w:rPr>
          <w:sz w:val="20"/>
          <w:szCs w:val="20"/>
          <w:color w:val="auto"/>
        </w:rPr>
      </w:pPr>
      <w:r>
        <w:rPr>
          <w:rFonts w:ascii="Arial" w:cs="Arial" w:eastAsia="Arial" w:hAnsi="Arial"/>
          <w:sz w:val="17"/>
          <w:szCs w:val="17"/>
          <w:color w:val="auto"/>
        </w:rPr>
        <w:t>On April 24, 2018, Take-Two Interactive Software, Inc. (the “Company”) elected to settle its conversion obligations in connection with any 1.00% Convertible Senior Notes due 2018 (the “Notes”) submitted for conversion on or after April 27, 2018 or at maturity entirely in shares of its common stock. In accordance with the foregoing, the Company has notified The Bank of New York Mellon, the Trustee for the Notes, that the Settlement Method (as defined in the Supplemental Indenture, dated as of June 18, 2013 (the “Supplemental Indenture”) to the Indenture, dated as of June 18, 2013 (as supplemented and amended by the Supplemental Indenture, the “Indenture”)) for all Notes submitted for conversion with a Conversion Date (as defined in the Indenture) on or after April 27, 2018 or at maturity shall be Physical Settlement (as defined in the Indenture).</w:t>
      </w:r>
    </w:p>
    <w:p>
      <w:pPr>
        <w:spacing w:after="0" w:line="178" w:lineRule="exact"/>
        <w:rPr>
          <w:sz w:val="24"/>
          <w:szCs w:val="24"/>
          <w:color w:val="auto"/>
        </w:rPr>
      </w:pPr>
    </w:p>
    <w:p>
      <w:pPr>
        <w:jc w:val="center"/>
        <w:ind w:right="-39"/>
        <w:spacing w:after="0"/>
        <w:rPr>
          <w:sz w:val="20"/>
          <w:szCs w:val="20"/>
          <w:color w:val="auto"/>
        </w:rPr>
      </w:pPr>
      <w:r>
        <w:rPr>
          <w:rFonts w:ascii="Arial" w:cs="Arial" w:eastAsia="Arial" w:hAnsi="Arial"/>
          <w:sz w:val="18"/>
          <w:szCs w:val="18"/>
          <w:color w:val="auto"/>
        </w:rPr>
        <w:t>2</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67575" cy="2984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4"/>
          <w:szCs w:val="24"/>
          <w:color w:val="auto"/>
        </w:rPr>
      </w:pPr>
    </w:p>
    <w:p>
      <w:pPr>
        <w:spacing w:after="0" w:line="200" w:lineRule="exact"/>
        <w:rPr>
          <w:sz w:val="24"/>
          <w:szCs w:val="24"/>
          <w:color w:val="auto"/>
        </w:rPr>
      </w:pPr>
    </w:p>
    <w:p>
      <w:pPr>
        <w:spacing w:after="0" w:line="301" w:lineRule="exact"/>
        <w:rPr>
          <w:sz w:val="24"/>
          <w:szCs w:val="24"/>
          <w:color w:val="auto"/>
        </w:rPr>
      </w:pPr>
    </w:p>
    <w:p>
      <w:pPr>
        <w:jc w:val="center"/>
        <w:ind w:right="-39"/>
        <w:spacing w:after="0"/>
        <w:rPr>
          <w:sz w:val="20"/>
          <w:szCs w:val="20"/>
          <w:color w:val="auto"/>
        </w:rPr>
      </w:pPr>
      <w:r>
        <w:rPr>
          <w:rFonts w:ascii="Arial" w:cs="Arial" w:eastAsia="Arial" w:hAnsi="Arial"/>
          <w:sz w:val="18"/>
          <w:szCs w:val="18"/>
          <w:b w:val="1"/>
          <w:bCs w:val="1"/>
          <w:color w:val="auto"/>
        </w:rPr>
        <w:t>SIGNATURES</w:t>
      </w:r>
    </w:p>
    <w:p>
      <w:pPr>
        <w:spacing w:after="0" w:line="229" w:lineRule="exact"/>
        <w:rPr>
          <w:sz w:val="24"/>
          <w:szCs w:val="24"/>
          <w:color w:val="auto"/>
        </w:rPr>
      </w:pPr>
    </w:p>
    <w:p>
      <w:pPr>
        <w:ind w:right="180" w:firstLine="495"/>
        <w:spacing w:after="0" w:line="277" w:lineRule="auto"/>
        <w:rPr>
          <w:sz w:val="20"/>
          <w:szCs w:val="20"/>
          <w:color w:val="auto"/>
        </w:rPr>
      </w:pPr>
      <w:r>
        <w:rPr>
          <w:rFonts w:ascii="Arial" w:cs="Arial" w:eastAsia="Arial" w:hAnsi="Arial"/>
          <w:sz w:val="18"/>
          <w:szCs w:val="18"/>
          <w:color w:val="auto"/>
        </w:rPr>
        <w:t>Pursuant to the requirements of the Securities Exchange Act of 1934, as amended, the registrant has duly caused this report to be signed on its behalf by the undersigned hereunto duly authorized.</w:t>
      </w:r>
    </w:p>
    <w:p>
      <w:pPr>
        <w:spacing w:after="0" w:line="170" w:lineRule="exact"/>
        <w:rPr>
          <w:sz w:val="24"/>
          <w:szCs w:val="24"/>
          <w:color w:val="auto"/>
        </w:rPr>
      </w:pPr>
    </w:p>
    <w:p>
      <w:pPr>
        <w:ind w:left="5720"/>
        <w:spacing w:after="0"/>
        <w:rPr>
          <w:sz w:val="20"/>
          <w:szCs w:val="20"/>
          <w:color w:val="auto"/>
        </w:rPr>
      </w:pPr>
      <w:r>
        <w:rPr>
          <w:rFonts w:ascii="Arial" w:cs="Arial" w:eastAsia="Arial" w:hAnsi="Arial"/>
          <w:sz w:val="18"/>
          <w:szCs w:val="18"/>
          <w:color w:val="auto"/>
        </w:rPr>
        <w:t>TAKE-TWO INTERACTIVE SOFTWARE, INC.</w:t>
      </w:r>
    </w:p>
    <w:p>
      <w:pPr>
        <w:spacing w:after="0" w:line="225" w:lineRule="exact"/>
        <w:rPr>
          <w:sz w:val="24"/>
          <w:szCs w:val="24"/>
          <w:color w:val="auto"/>
        </w:rPr>
      </w:pPr>
    </w:p>
    <w:p>
      <w:pPr>
        <w:ind w:left="5720"/>
        <w:spacing w:after="0"/>
        <w:tabs>
          <w:tab w:leader="none" w:pos="6460" w:val="left"/>
        </w:tabs>
        <w:rPr>
          <w:sz w:val="20"/>
          <w:szCs w:val="20"/>
          <w:color w:val="auto"/>
        </w:rPr>
      </w:pPr>
      <w:r>
        <w:rPr>
          <w:rFonts w:ascii="Arial" w:cs="Arial" w:eastAsia="Arial" w:hAnsi="Arial"/>
          <w:sz w:val="18"/>
          <w:szCs w:val="18"/>
          <w:color w:val="auto"/>
        </w:rPr>
        <w:t>By:</w:t>
      </w:r>
      <w:r>
        <w:rPr>
          <w:sz w:val="20"/>
          <w:szCs w:val="20"/>
          <w:color w:val="auto"/>
        </w:rPr>
        <w:tab/>
      </w:r>
      <w:r>
        <w:rPr>
          <w:rFonts w:ascii="Arial" w:cs="Arial" w:eastAsia="Arial" w:hAnsi="Arial"/>
          <w:sz w:val="18"/>
          <w:szCs w:val="18"/>
          <w:color w:val="auto"/>
        </w:rPr>
        <w:t>/s/ Matthew K. Breitman</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4112895</wp:posOffset>
            </wp:positionH>
            <wp:positionV relativeFrom="paragraph">
              <wp:posOffset>14605</wp:posOffset>
            </wp:positionV>
            <wp:extent cx="3138805" cy="889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3138805" cy="8890"/>
                    </a:xfrm>
                    <a:prstGeom prst="rect">
                      <a:avLst/>
                    </a:prstGeom>
                    <a:noFill/>
                  </pic:spPr>
                </pic:pic>
              </a:graphicData>
            </a:graphic>
          </wp:anchor>
        </w:drawing>
      </w:r>
    </w:p>
    <w:p>
      <w:pPr>
        <w:sectPr>
          <w:pgSz w:w="11900" w:h="16838" w:orient="portrait"/>
          <w:cols w:equalWidth="0" w:num="1">
            <w:col w:w="11400"/>
          </w:cols>
          <w:pgMar w:left="240" w:top="544" w:right="259" w:bottom="0" w:gutter="0" w:footer="0" w:header="0"/>
          <w:type w:val="continuous"/>
        </w:sectPr>
      </w:pPr>
    </w:p>
    <w:bookmarkStart w:id="1" w:name="page2"/>
    <w:bookmarkEnd w:id="1"/>
    <w:p>
      <w:pPr>
        <w:ind w:left="5720"/>
        <w:spacing w:after="0"/>
        <w:rPr>
          <w:sz w:val="20"/>
          <w:szCs w:val="20"/>
          <w:color w:val="auto"/>
        </w:rPr>
      </w:pPr>
      <w:r>
        <w:rPr>
          <w:rFonts w:ascii="Arial" w:cs="Arial" w:eastAsia="Arial" w:hAnsi="Arial"/>
          <w:sz w:val="16"/>
          <w:szCs w:val="16"/>
          <w:color w:val="auto"/>
        </w:rPr>
        <w:t>Name:</w:t>
      </w:r>
    </w:p>
    <w:p>
      <w:pPr>
        <w:spacing w:after="0" w:line="46" w:lineRule="exact"/>
        <w:rPr>
          <w:sz w:val="20"/>
          <w:szCs w:val="20"/>
          <w:color w:val="auto"/>
        </w:rPr>
      </w:pPr>
    </w:p>
    <w:p>
      <w:pPr>
        <w:ind w:left="5720"/>
        <w:spacing w:after="0"/>
        <w:rPr>
          <w:sz w:val="20"/>
          <w:szCs w:val="20"/>
          <w:color w:val="auto"/>
        </w:rPr>
      </w:pPr>
      <w:r>
        <w:rPr>
          <w:rFonts w:ascii="Arial" w:cs="Arial" w:eastAsia="Arial" w:hAnsi="Arial"/>
          <w:sz w:val="18"/>
          <w:szCs w:val="18"/>
          <w:color w:val="auto"/>
        </w:rPr>
        <w:t>Title:</w:t>
      </w:r>
    </w:p>
    <w:p>
      <w:pPr>
        <w:spacing w:after="0" w:line="20" w:lineRule="exact"/>
        <w:rPr>
          <w:sz w:val="20"/>
          <w:szCs w:val="20"/>
          <w:color w:val="auto"/>
        </w:rPr>
      </w:pPr>
      <w:r>
        <w:rPr>
          <w:sz w:val="20"/>
          <w:szCs w:val="20"/>
          <w:color w:val="auto"/>
        </w:rPr>
        <w:br w:type="column"/>
      </w:r>
    </w:p>
    <w:p>
      <w:pPr>
        <w:spacing w:after="0"/>
        <w:rPr>
          <w:sz w:val="20"/>
          <w:szCs w:val="20"/>
          <w:color w:val="auto"/>
        </w:rPr>
      </w:pPr>
      <w:r>
        <w:rPr>
          <w:rFonts w:ascii="Arial" w:cs="Arial" w:eastAsia="Arial" w:hAnsi="Arial"/>
          <w:sz w:val="18"/>
          <w:szCs w:val="18"/>
          <w:color w:val="auto"/>
        </w:rPr>
        <w:t>Matthew K. Breitman</w:t>
      </w:r>
    </w:p>
    <w:p>
      <w:pPr>
        <w:spacing w:after="0" w:line="23" w:lineRule="exact"/>
        <w:rPr>
          <w:sz w:val="20"/>
          <w:szCs w:val="20"/>
          <w:color w:val="auto"/>
        </w:rPr>
      </w:pPr>
    </w:p>
    <w:p>
      <w:pPr>
        <w:spacing w:after="0"/>
        <w:rPr>
          <w:sz w:val="20"/>
          <w:szCs w:val="20"/>
          <w:color w:val="auto"/>
        </w:rPr>
      </w:pPr>
      <w:r>
        <w:rPr>
          <w:rFonts w:ascii="Arial" w:cs="Arial" w:eastAsia="Arial" w:hAnsi="Arial"/>
          <w:sz w:val="16"/>
          <w:szCs w:val="16"/>
          <w:color w:val="auto"/>
        </w:rPr>
        <w:t>Senior Vice President, Deputy General Counsel &amp; Corporate</w:t>
      </w:r>
    </w:p>
    <w:p>
      <w:pPr>
        <w:spacing w:after="0" w:line="32" w:lineRule="exact"/>
        <w:rPr>
          <w:sz w:val="20"/>
          <w:szCs w:val="20"/>
          <w:color w:val="auto"/>
        </w:rPr>
      </w:pPr>
    </w:p>
    <w:p>
      <w:pPr>
        <w:spacing w:after="0"/>
        <w:rPr>
          <w:sz w:val="20"/>
          <w:szCs w:val="20"/>
          <w:color w:val="auto"/>
        </w:rPr>
      </w:pPr>
      <w:r>
        <w:rPr>
          <w:rFonts w:ascii="Arial" w:cs="Arial" w:eastAsia="Arial" w:hAnsi="Arial"/>
          <w:sz w:val="18"/>
          <w:szCs w:val="18"/>
          <w:color w:val="auto"/>
        </w:rPr>
        <w:t>Secretary</w:t>
      </w:r>
    </w:p>
    <w:p>
      <w:pPr>
        <w:spacing w:after="0" w:line="200" w:lineRule="exact"/>
        <w:rPr>
          <w:sz w:val="20"/>
          <w:szCs w:val="20"/>
          <w:color w:val="auto"/>
        </w:rPr>
      </w:pPr>
    </w:p>
    <w:p>
      <w:pPr>
        <w:sectPr>
          <w:pgSz w:w="11900" w:h="16838" w:orient="portrait"/>
          <w:cols w:equalWidth="0" w:num="2">
            <w:col w:w="6200" w:space="280"/>
            <w:col w:w="4380"/>
          </w:cols>
          <w:pgMar w:left="240" w:top="125" w:right="799" w:bottom="1440" w:gutter="0" w:footer="0" w:header="0"/>
        </w:sectPr>
      </w:pPr>
    </w:p>
    <w:p>
      <w:pPr>
        <w:spacing w:after="0" w:line="11" w:lineRule="exact"/>
        <w:rPr>
          <w:sz w:val="20"/>
          <w:szCs w:val="20"/>
          <w:color w:val="auto"/>
        </w:rPr>
      </w:pPr>
    </w:p>
    <w:p>
      <w:pPr>
        <w:spacing w:after="0"/>
        <w:rPr>
          <w:sz w:val="20"/>
          <w:szCs w:val="20"/>
          <w:color w:val="auto"/>
        </w:rPr>
      </w:pPr>
      <w:r>
        <w:rPr>
          <w:rFonts w:ascii="Arial" w:cs="Arial" w:eastAsia="Arial" w:hAnsi="Arial"/>
          <w:sz w:val="18"/>
          <w:szCs w:val="18"/>
          <w:color w:val="auto"/>
        </w:rPr>
        <w:t>Date: April 24, 2018</w:t>
      </w:r>
    </w:p>
    <w:p>
      <w:pPr>
        <w:spacing w:after="0" w:line="225" w:lineRule="exact"/>
        <w:rPr>
          <w:sz w:val="20"/>
          <w:szCs w:val="20"/>
          <w:color w:val="auto"/>
        </w:rPr>
      </w:pPr>
    </w:p>
    <w:p>
      <w:pPr>
        <w:jc w:val="center"/>
        <w:ind w:right="-559"/>
        <w:spacing w:after="0"/>
        <w:rPr>
          <w:sz w:val="20"/>
          <w:szCs w:val="20"/>
          <w:color w:val="auto"/>
        </w:rPr>
      </w:pPr>
      <w:r>
        <w:rPr>
          <w:rFonts w:ascii="Arial" w:cs="Arial" w:eastAsia="Arial" w:hAnsi="Arial"/>
          <w:sz w:val="17"/>
          <w:szCs w:val="17"/>
          <w:color w:val="auto"/>
        </w:rPr>
        <w:t>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88900</wp:posOffset>
            </wp:positionV>
            <wp:extent cx="7267575" cy="2984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sectPr>
      <w:pgSz w:w="11900" w:h="16838" w:orient="portrait"/>
      <w:cols w:equalWidth="0" w:num="1">
        <w:col w:w="10860"/>
      </w:cols>
      <w:pgMar w:left="240" w:top="125" w:right="799" w:bottom="144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2019-12-06T03:49:58Z</dcterms:created>
  <dcterms:modified xsi:type="dcterms:W3CDTF">2019-12-06T03:49:58Z</dcterms:modified>
</cp:coreProperties>
</file>