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39"/>
        <w:spacing w:after="0"/>
        <w:rPr>
          <w:sz w:val="20"/>
          <w:szCs w:val="20"/>
          <w:color w:val="auto"/>
        </w:rPr>
      </w:pPr>
      <w:r>
        <w:rPr>
          <w:rFonts w:ascii="Courier New" w:cs="Courier New" w:eastAsia="Courier New" w:hAnsi="Courier New"/>
          <w:sz w:val="15"/>
          <w:szCs w:val="15"/>
          <w:color w:val="auto"/>
        </w:rPr>
        <w:t>UNITED STATES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jc w:val="center"/>
        <w:ind w:right="3239"/>
        <w:spacing w:after="0" w:line="238" w:lineRule="auto"/>
        <w:rPr>
          <w:sz w:val="20"/>
          <w:szCs w:val="20"/>
          <w:color w:val="auto"/>
        </w:rPr>
      </w:pPr>
      <w:r>
        <w:rPr>
          <w:rFonts w:ascii="Courier New" w:cs="Courier New" w:eastAsia="Courier New" w:hAnsi="Courier New"/>
          <w:sz w:val="15"/>
          <w:szCs w:val="15"/>
          <w:color w:val="auto"/>
        </w:rPr>
        <w:t>WASHINGTON, D.C. 20549</w:t>
      </w:r>
    </w:p>
    <w:p>
      <w:pPr>
        <w:spacing w:after="0" w:line="200" w:lineRule="exact"/>
        <w:rPr>
          <w:sz w:val="24"/>
          <w:szCs w:val="24"/>
          <w:color w:val="auto"/>
        </w:rPr>
      </w:pPr>
    </w:p>
    <w:p>
      <w:pPr>
        <w:spacing w:after="0" w:line="30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FORM 8-K/A</w:t>
      </w:r>
    </w:p>
    <w:p>
      <w:pPr>
        <w:jc w:val="center"/>
        <w:ind w:right="3239"/>
        <w:spacing w:after="0" w:line="237" w:lineRule="auto"/>
        <w:rPr>
          <w:sz w:val="20"/>
          <w:szCs w:val="20"/>
          <w:color w:val="auto"/>
        </w:rPr>
      </w:pPr>
      <w:r>
        <w:rPr>
          <w:rFonts w:ascii="Courier New" w:cs="Courier New" w:eastAsia="Courier New" w:hAnsi="Courier New"/>
          <w:sz w:val="15"/>
          <w:szCs w:val="15"/>
          <w:color w:val="auto"/>
        </w:rPr>
        <w:t>(Amendment No.1)</w:t>
      </w:r>
    </w:p>
    <w:p>
      <w:pPr>
        <w:spacing w:after="0" w:line="33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CURRENT REPORT</w:t>
      </w:r>
    </w:p>
    <w:p>
      <w:pPr>
        <w:spacing w:after="0" w:line="166"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Pursuant to Section 13 or 15(d) of the Securities Exchange Act of 1934</w:t>
      </w:r>
    </w:p>
    <w:p>
      <w:pPr>
        <w:spacing w:after="0" w:line="200" w:lineRule="exact"/>
        <w:rPr>
          <w:sz w:val="24"/>
          <w:szCs w:val="24"/>
          <w:color w:val="auto"/>
        </w:rPr>
      </w:pPr>
    </w:p>
    <w:p>
      <w:pPr>
        <w:spacing w:after="0" w:line="303"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5220" w:type="dxa"/>
            <w:vAlign w:val="bottom"/>
            <w:gridSpan w:val="3"/>
          </w:tcPr>
          <w:p>
            <w:pPr>
              <w:spacing w:after="0"/>
              <w:rPr>
                <w:sz w:val="20"/>
                <w:szCs w:val="20"/>
                <w:color w:val="auto"/>
              </w:rPr>
            </w:pPr>
            <w:r>
              <w:rPr>
                <w:rFonts w:ascii="Courier New" w:cs="Courier New" w:eastAsia="Courier New" w:hAnsi="Courier New"/>
                <w:sz w:val="15"/>
                <w:szCs w:val="15"/>
                <w:color w:val="auto"/>
              </w:rPr>
              <w:t>Date of Report (Date of Earliest Event Reported) :</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Dec 24, 1997</w:t>
            </w:r>
          </w:p>
        </w:tc>
      </w:tr>
      <w:tr>
        <w:trPr>
          <w:trHeight w:val="673"/>
        </w:trPr>
        <w:tc>
          <w:tcPr>
            <w:tcW w:w="2020" w:type="dxa"/>
            <w:vAlign w:val="bottom"/>
          </w:tcPr>
          <w:p>
            <w:pPr>
              <w:spacing w:after="0"/>
              <w:rPr>
                <w:sz w:val="24"/>
                <w:szCs w:val="24"/>
                <w:color w:val="auto"/>
              </w:rPr>
            </w:pPr>
          </w:p>
        </w:tc>
        <w:tc>
          <w:tcPr>
            <w:tcW w:w="3200" w:type="dxa"/>
            <w:vAlign w:val="bottom"/>
            <w:gridSpan w:val="2"/>
          </w:tcPr>
          <w:p>
            <w:pPr>
              <w:jc w:val="center"/>
              <w:ind w:right="67"/>
              <w:spacing w:after="0"/>
              <w:rPr>
                <w:sz w:val="20"/>
                <w:szCs w:val="20"/>
                <w:color w:val="auto"/>
              </w:rPr>
            </w:pPr>
            <w:r>
              <w:rPr>
                <w:rFonts w:ascii="Courier New" w:cs="Courier New" w:eastAsia="Courier New" w:hAnsi="Courier New"/>
                <w:sz w:val="15"/>
                <w:szCs w:val="15"/>
                <w:color w:val="auto"/>
                <w:w w:val="97"/>
              </w:rPr>
              <w:t>TAKE-TWO INTERACTIVE SOFTWARE, INC.</w:t>
            </w:r>
          </w:p>
        </w:tc>
        <w:tc>
          <w:tcPr>
            <w:tcW w:w="1780" w:type="dxa"/>
            <w:vAlign w:val="bottom"/>
          </w:tcPr>
          <w:p>
            <w:pPr>
              <w:spacing w:after="0"/>
              <w:rPr>
                <w:sz w:val="24"/>
                <w:szCs w:val="24"/>
                <w:color w:val="auto"/>
              </w:rPr>
            </w:pPr>
          </w:p>
        </w:tc>
      </w:tr>
      <w:tr>
        <w:trPr>
          <w:trHeight w:val="505"/>
        </w:trPr>
        <w:tc>
          <w:tcPr>
            <w:tcW w:w="2020" w:type="dxa"/>
            <w:vAlign w:val="bottom"/>
          </w:tcPr>
          <w:p>
            <w:pPr>
              <w:ind w:left="880"/>
              <w:spacing w:after="0"/>
              <w:rPr>
                <w:sz w:val="20"/>
                <w:szCs w:val="20"/>
                <w:color w:val="auto"/>
              </w:rPr>
            </w:pPr>
            <w:r>
              <w:rPr>
                <w:rFonts w:ascii="Courier New" w:cs="Courier New" w:eastAsia="Courier New" w:hAnsi="Courier New"/>
                <w:sz w:val="15"/>
                <w:szCs w:val="15"/>
                <w:color w:val="auto"/>
              </w:rPr>
              <w:t>DELAWARE</w:t>
            </w:r>
          </w:p>
        </w:tc>
        <w:tc>
          <w:tcPr>
            <w:tcW w:w="660" w:type="dxa"/>
            <w:vAlign w:val="bottom"/>
          </w:tcPr>
          <w:p>
            <w:pPr>
              <w:spacing w:after="0"/>
              <w:rPr>
                <w:sz w:val="24"/>
                <w:szCs w:val="24"/>
                <w:color w:val="auto"/>
              </w:rPr>
            </w:pPr>
          </w:p>
        </w:tc>
        <w:tc>
          <w:tcPr>
            <w:tcW w:w="2540" w:type="dxa"/>
            <w:vAlign w:val="bottom"/>
          </w:tcPr>
          <w:p>
            <w:pPr>
              <w:jc w:val="center"/>
              <w:ind w:right="727"/>
              <w:spacing w:after="0"/>
              <w:rPr>
                <w:sz w:val="20"/>
                <w:szCs w:val="20"/>
                <w:color w:val="auto"/>
              </w:rPr>
            </w:pPr>
            <w:r>
              <w:rPr>
                <w:rFonts w:ascii="Courier New" w:cs="Courier New" w:eastAsia="Courier New" w:hAnsi="Courier New"/>
                <w:sz w:val="15"/>
                <w:szCs w:val="15"/>
                <w:color w:val="auto"/>
                <w:w w:val="98"/>
              </w:rPr>
              <w:t>0-29230</w:t>
            </w:r>
          </w:p>
        </w:tc>
        <w:tc>
          <w:tcPr>
            <w:tcW w:w="17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51-0350842</w:t>
            </w:r>
          </w:p>
        </w:tc>
      </w:tr>
      <w:tr>
        <w:trPr>
          <w:trHeight w:val="168"/>
        </w:trPr>
        <w:tc>
          <w:tcPr>
            <w:tcW w:w="2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(State or other juridiction)</w:t>
            </w:r>
          </w:p>
        </w:tc>
        <w:tc>
          <w:tcPr>
            <w:tcW w:w="2540" w:type="dxa"/>
            <w:vAlign w:val="bottom"/>
          </w:tcPr>
          <w:p>
            <w:pPr>
              <w:jc w:val="center"/>
              <w:ind w:right="707"/>
              <w:spacing w:after="0" w:line="168" w:lineRule="exact"/>
              <w:rPr>
                <w:sz w:val="20"/>
                <w:szCs w:val="20"/>
                <w:color w:val="auto"/>
              </w:rPr>
            </w:pPr>
            <w:r>
              <w:rPr>
                <w:rFonts w:ascii="Courier New" w:cs="Courier New" w:eastAsia="Courier New" w:hAnsi="Courier New"/>
                <w:sz w:val="15"/>
                <w:szCs w:val="15"/>
                <w:color w:val="auto"/>
                <w:w w:val="96"/>
              </w:rPr>
              <w:t>(Commission</w:t>
            </w:r>
          </w:p>
        </w:tc>
        <w:tc>
          <w:tcPr>
            <w:tcW w:w="1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(I.R.S. Employer</w:t>
            </w:r>
          </w:p>
        </w:tc>
      </w:tr>
      <w:tr>
        <w:trPr>
          <w:trHeight w:val="168"/>
        </w:trPr>
        <w:tc>
          <w:tcPr>
            <w:tcW w:w="20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5"/>
              </w:rPr>
              <w:t>of incoropration)</w:t>
            </w:r>
          </w:p>
        </w:tc>
        <w:tc>
          <w:tcPr>
            <w:tcW w:w="660" w:type="dxa"/>
            <w:vAlign w:val="bottom"/>
          </w:tcPr>
          <w:p>
            <w:pPr>
              <w:spacing w:after="0"/>
              <w:rPr>
                <w:sz w:val="14"/>
                <w:szCs w:val="14"/>
                <w:color w:val="auto"/>
              </w:rPr>
            </w:pPr>
          </w:p>
        </w:tc>
        <w:tc>
          <w:tcPr>
            <w:tcW w:w="2540" w:type="dxa"/>
            <w:vAlign w:val="bottom"/>
          </w:tcPr>
          <w:p>
            <w:pPr>
              <w:jc w:val="center"/>
              <w:ind w:right="807"/>
              <w:spacing w:after="0" w:line="168" w:lineRule="exact"/>
              <w:rPr>
                <w:sz w:val="20"/>
                <w:szCs w:val="20"/>
                <w:color w:val="auto"/>
              </w:rPr>
            </w:pPr>
            <w:r>
              <w:rPr>
                <w:rFonts w:ascii="Courier New" w:cs="Courier New" w:eastAsia="Courier New" w:hAnsi="Courier New"/>
                <w:sz w:val="15"/>
                <w:szCs w:val="15"/>
                <w:color w:val="auto"/>
                <w:w w:val="98"/>
              </w:rPr>
              <w:t>File Number)</w:t>
            </w:r>
          </w:p>
        </w:tc>
        <w:tc>
          <w:tcPr>
            <w:tcW w:w="1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Identification No.)</w:t>
            </w:r>
          </w:p>
        </w:tc>
      </w:tr>
      <w:tr>
        <w:trPr>
          <w:trHeight w:val="505"/>
        </w:trPr>
        <w:tc>
          <w:tcPr>
            <w:tcW w:w="2020" w:type="dxa"/>
            <w:vAlign w:val="bottom"/>
          </w:tcPr>
          <w:p>
            <w:pPr>
              <w:ind w:left="880"/>
              <w:spacing w:after="0"/>
              <w:rPr>
                <w:sz w:val="20"/>
                <w:szCs w:val="20"/>
                <w:color w:val="auto"/>
              </w:rPr>
            </w:pPr>
            <w:r>
              <w:rPr>
                <w:rFonts w:ascii="Courier New" w:cs="Courier New" w:eastAsia="Courier New" w:hAnsi="Courier New"/>
                <w:sz w:val="15"/>
                <w:szCs w:val="15"/>
                <w:color w:val="auto"/>
                <w:w w:val="95"/>
              </w:rPr>
              <w:t>575 Broadway,</w:t>
            </w:r>
          </w:p>
        </w:tc>
        <w:tc>
          <w:tcPr>
            <w:tcW w:w="32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New York, NY</w:t>
            </w:r>
          </w:p>
        </w:tc>
        <w:tc>
          <w:tcPr>
            <w:tcW w:w="17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10012</w:t>
            </w:r>
          </w:p>
        </w:tc>
      </w:tr>
      <w:tr>
        <w:trPr>
          <w:trHeight w:val="168"/>
        </w:trPr>
        <w:tc>
          <w:tcPr>
            <w:tcW w:w="5220" w:type="dxa"/>
            <w:vAlign w:val="bottom"/>
            <w:gridSpan w:val="3"/>
          </w:tcPr>
          <w:p>
            <w:pPr>
              <w:ind w:left="280"/>
              <w:spacing w:after="0" w:line="168" w:lineRule="exact"/>
              <w:rPr>
                <w:sz w:val="20"/>
                <w:szCs w:val="20"/>
                <w:color w:val="auto"/>
              </w:rPr>
            </w:pPr>
            <w:r>
              <w:rPr>
                <w:rFonts w:ascii="Courier New" w:cs="Courier New" w:eastAsia="Courier New" w:hAnsi="Courier New"/>
                <w:sz w:val="15"/>
                <w:szCs w:val="15"/>
                <w:color w:val="auto"/>
              </w:rPr>
              <w:t>(Address of principal executive offices)</w:t>
            </w:r>
          </w:p>
        </w:tc>
        <w:tc>
          <w:tcPr>
            <w:tcW w:w="1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(Zip Code)</w:t>
            </w:r>
          </w:p>
        </w:tc>
      </w:tr>
      <w:tr>
        <w:trPr>
          <w:trHeight w:val="505"/>
        </w:trPr>
        <w:tc>
          <w:tcPr>
            <w:tcW w:w="5220" w:type="dxa"/>
            <w:vAlign w:val="bottom"/>
            <w:gridSpan w:val="3"/>
          </w:tcPr>
          <w:p>
            <w:pPr>
              <w:spacing w:after="0"/>
              <w:rPr>
                <w:sz w:val="20"/>
                <w:szCs w:val="20"/>
                <w:color w:val="auto"/>
              </w:rPr>
            </w:pPr>
            <w:r>
              <w:rPr>
                <w:rFonts w:ascii="Courier New" w:cs="Courier New" w:eastAsia="Courier New" w:hAnsi="Courier New"/>
                <w:sz w:val="15"/>
                <w:szCs w:val="15"/>
                <w:color w:val="auto"/>
              </w:rPr>
              <w:t>Registrant's telephone number, including area code</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(212) 941-2988</w:t>
            </w:r>
          </w:p>
        </w:tc>
      </w:tr>
      <w:tr>
        <w:trPr>
          <w:trHeight w:val="673"/>
        </w:trPr>
        <w:tc>
          <w:tcPr>
            <w:tcW w:w="2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540" w:type="dxa"/>
            <w:vAlign w:val="bottom"/>
          </w:tcPr>
          <w:p>
            <w:pPr>
              <w:jc w:val="center"/>
              <w:ind w:right="807"/>
              <w:spacing w:after="0"/>
              <w:rPr>
                <w:sz w:val="20"/>
                <w:szCs w:val="20"/>
                <w:color w:val="auto"/>
              </w:rPr>
            </w:pPr>
            <w:r>
              <w:rPr>
                <w:rFonts w:ascii="Courier New" w:cs="Courier New" w:eastAsia="Courier New" w:hAnsi="Courier New"/>
                <w:sz w:val="15"/>
                <w:szCs w:val="15"/>
                <w:color w:val="auto"/>
                <w:w w:val="96"/>
              </w:rPr>
              <w:t>Not Applicable</w:t>
            </w:r>
          </w:p>
        </w:tc>
        <w:tc>
          <w:tcPr>
            <w:tcW w:w="1780" w:type="dxa"/>
            <w:vAlign w:val="bottom"/>
          </w:tcPr>
          <w:p>
            <w:pPr>
              <w:spacing w:after="0"/>
              <w:rPr>
                <w:sz w:val="24"/>
                <w:szCs w:val="24"/>
                <w:color w:val="auto"/>
              </w:rPr>
            </w:pPr>
          </w:p>
        </w:tc>
      </w:tr>
    </w:tbl>
    <w:p>
      <w:pPr>
        <w:ind w:left="980"/>
        <w:spacing w:after="0" w:line="237" w:lineRule="auto"/>
        <w:rPr>
          <w:sz w:val="20"/>
          <w:szCs w:val="20"/>
          <w:color w:val="auto"/>
        </w:rPr>
      </w:pPr>
      <w:r>
        <w:rPr>
          <w:rFonts w:ascii="Courier New" w:cs="Courier New" w:eastAsia="Courier New" w:hAnsi="Courier New"/>
          <w:sz w:val="15"/>
          <w:szCs w:val="15"/>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Item 7. Financial Statements and Exhibits.</w:t>
      </w:r>
    </w:p>
    <w:p>
      <w:pPr>
        <w:spacing w:after="0" w:line="173" w:lineRule="exact"/>
        <w:rPr>
          <w:sz w:val="24"/>
          <w:szCs w:val="24"/>
          <w:color w:val="auto"/>
        </w:rPr>
      </w:pPr>
    </w:p>
    <w:p>
      <w:pPr>
        <w:jc w:val="both"/>
        <w:ind w:left="440" w:right="3239"/>
        <w:spacing w:after="0" w:line="258" w:lineRule="auto"/>
        <w:rPr>
          <w:sz w:val="20"/>
          <w:szCs w:val="20"/>
          <w:color w:val="auto"/>
        </w:rPr>
      </w:pPr>
      <w:r>
        <w:rPr>
          <w:rFonts w:ascii="Courier New" w:cs="Courier New" w:eastAsia="Courier New" w:hAnsi="Courier New"/>
          <w:sz w:val="14"/>
          <w:szCs w:val="14"/>
          <w:color w:val="auto"/>
        </w:rPr>
        <w:t>The following financial statements and pro forma financial information omitted from Form 8-K for the event dated December 24, 1997, in reliance upon instructions 7 (a) (4) and 7 (b) (2) of Form 8-K, are filed herewith.</w:t>
      </w:r>
    </w:p>
    <w:p>
      <w:pPr>
        <w:spacing w:after="0" w:line="155" w:lineRule="exact"/>
        <w:rPr>
          <w:sz w:val="24"/>
          <w:szCs w:val="24"/>
          <w:color w:val="auto"/>
        </w:rPr>
      </w:pPr>
    </w:p>
    <w:p>
      <w:pPr>
        <w:ind w:left="880" w:hanging="433"/>
        <w:spacing w:after="0"/>
        <w:tabs>
          <w:tab w:leader="none" w:pos="8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 of the Businesses Acquired.</w:t>
      </w:r>
    </w:p>
    <w:p>
      <w:pPr>
        <w:spacing w:after="0" w:line="172" w:lineRule="exact"/>
        <w:rPr>
          <w:rFonts w:ascii="Courier New" w:cs="Courier New" w:eastAsia="Courier New" w:hAnsi="Courier New"/>
          <w:sz w:val="15"/>
          <w:szCs w:val="15"/>
          <w:color w:val="auto"/>
        </w:rPr>
      </w:pPr>
    </w:p>
    <w:p>
      <w:pPr>
        <w:ind w:left="1320" w:right="3239" w:hanging="436"/>
        <w:spacing w:after="0" w:line="234" w:lineRule="auto"/>
        <w:tabs>
          <w:tab w:leader="none" w:pos="1320" w:val="left"/>
        </w:tabs>
        <w:numPr>
          <w:ilvl w:val="1"/>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 of L &amp; J Marketing, Inc. D/B/A Alliance Distributors</w:t>
      </w:r>
    </w:p>
    <w:p>
      <w:pPr>
        <w:spacing w:after="0" w:line="166" w:lineRule="exact"/>
        <w:rPr>
          <w:rFonts w:ascii="Courier New" w:cs="Courier New" w:eastAsia="Courier New" w:hAnsi="Courier New"/>
          <w:sz w:val="15"/>
          <w:szCs w:val="15"/>
          <w:color w:val="auto"/>
        </w:rPr>
      </w:pP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Independent Auditors' Report</w:t>
      </w:r>
    </w:p>
    <w:p>
      <w:pPr>
        <w:spacing w:after="0" w:line="4" w:lineRule="exact"/>
        <w:rPr>
          <w:rFonts w:ascii="Courier New" w:cs="Courier New" w:eastAsia="Courier New" w:hAnsi="Courier New"/>
          <w:sz w:val="15"/>
          <w:szCs w:val="15"/>
          <w:color w:val="auto"/>
        </w:rPr>
      </w:pPr>
    </w:p>
    <w:p>
      <w:pPr>
        <w:ind w:left="1320" w:right="45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Balance Sheets as of December 31, 1995 and 1996 Balance Sheet as of September 30, 1997 (unaudited)</w:t>
      </w:r>
    </w:p>
    <w:p>
      <w:pPr>
        <w:ind w:left="1760" w:right="3499" w:hanging="437"/>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Statements of Income and Retained Earnings for the years ended December 31, 1995 and 1996</w:t>
      </w:r>
    </w:p>
    <w:p>
      <w:pPr>
        <w:spacing w:after="0" w:line="5" w:lineRule="exact"/>
        <w:rPr>
          <w:rFonts w:ascii="Courier New" w:cs="Courier New" w:eastAsia="Courier New" w:hAnsi="Courier New"/>
          <w:sz w:val="15"/>
          <w:szCs w:val="15"/>
          <w:color w:val="auto"/>
        </w:rPr>
      </w:pPr>
    </w:p>
    <w:p>
      <w:pPr>
        <w:ind w:left="1760" w:right="3499" w:hanging="437"/>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Statements of Income and Retained Earnings for the nine months ended September 30, 1996 and 1997 (unaudited)</w:t>
      </w:r>
    </w:p>
    <w:p>
      <w:pPr>
        <w:spacing w:after="0" w:line="5" w:lineRule="exact"/>
        <w:rPr>
          <w:rFonts w:ascii="Courier New" w:cs="Courier New" w:eastAsia="Courier New" w:hAnsi="Courier New"/>
          <w:sz w:val="15"/>
          <w:szCs w:val="15"/>
          <w:color w:val="auto"/>
        </w:rPr>
      </w:pPr>
    </w:p>
    <w:p>
      <w:pPr>
        <w:ind w:left="1760" w:right="3499" w:hanging="437"/>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Statements of Cash Flows for the years ended December 31, 1995 and 1996</w:t>
      </w:r>
    </w:p>
    <w:p>
      <w:pPr>
        <w:spacing w:after="0" w:line="5" w:lineRule="exact"/>
        <w:rPr>
          <w:rFonts w:ascii="Courier New" w:cs="Courier New" w:eastAsia="Courier New" w:hAnsi="Courier New"/>
          <w:sz w:val="15"/>
          <w:szCs w:val="15"/>
          <w:color w:val="auto"/>
        </w:rPr>
      </w:pPr>
    </w:p>
    <w:p>
      <w:pPr>
        <w:ind w:left="1760" w:right="3319" w:hanging="437"/>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Statements of Cash Flows for the nine months ended September 30, 1996 and 1997 (unaudited)</w:t>
      </w:r>
    </w:p>
    <w:p>
      <w:pPr>
        <w:ind w:left="1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Notes to Financial Statements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Financial Information.</w:t>
      </w:r>
    </w:p>
    <w:p>
      <w:pPr>
        <w:spacing w:after="0" w:line="173" w:lineRule="exact"/>
        <w:rPr>
          <w:sz w:val="24"/>
          <w:szCs w:val="24"/>
          <w:color w:val="auto"/>
        </w:rPr>
      </w:pPr>
    </w:p>
    <w:p>
      <w:pPr>
        <w:ind w:left="440" w:right="3239"/>
        <w:spacing w:after="0" w:line="234" w:lineRule="auto"/>
        <w:rPr>
          <w:sz w:val="20"/>
          <w:szCs w:val="20"/>
          <w:color w:val="auto"/>
        </w:rPr>
      </w:pPr>
      <w:r>
        <w:rPr>
          <w:rFonts w:ascii="Courier New" w:cs="Courier New" w:eastAsia="Courier New" w:hAnsi="Courier New"/>
          <w:sz w:val="15"/>
          <w:szCs w:val="15"/>
          <w:color w:val="auto"/>
        </w:rPr>
        <w:t>Unaudited Pro Forma Consolidated Financial Statements for Take-Two Interactive Software, Inc. and Subsidiaries</w:t>
      </w:r>
    </w:p>
    <w:p>
      <w:pPr>
        <w:spacing w:after="0" w:line="173" w:lineRule="exact"/>
        <w:rPr>
          <w:sz w:val="24"/>
          <w:szCs w:val="24"/>
          <w:color w:val="auto"/>
        </w:rPr>
      </w:pPr>
    </w:p>
    <w:p>
      <w:pPr>
        <w:ind w:left="1760" w:right="3319" w:hanging="436"/>
        <w:spacing w:after="0" w:line="234" w:lineRule="auto"/>
        <w:rPr>
          <w:sz w:val="20"/>
          <w:szCs w:val="20"/>
          <w:color w:val="auto"/>
        </w:rPr>
      </w:pPr>
      <w:r>
        <w:rPr>
          <w:rFonts w:ascii="Courier New" w:cs="Courier New" w:eastAsia="Courier New" w:hAnsi="Courier New"/>
          <w:sz w:val="15"/>
          <w:szCs w:val="15"/>
          <w:color w:val="auto"/>
        </w:rPr>
        <w:t>Unaudited Pro Forma Consolidated Statement of Operations for the year ended October 31, 1997.</w:t>
      </w:r>
    </w:p>
    <w:p>
      <w:pPr>
        <w:spacing w:after="0" w:line="5" w:lineRule="exact"/>
        <w:rPr>
          <w:sz w:val="24"/>
          <w:szCs w:val="24"/>
          <w:color w:val="auto"/>
        </w:rPr>
      </w:pPr>
    </w:p>
    <w:p>
      <w:pPr>
        <w:ind w:left="1760" w:right="3499" w:hanging="436"/>
        <w:spacing w:after="0" w:line="234" w:lineRule="auto"/>
        <w:rPr>
          <w:sz w:val="20"/>
          <w:szCs w:val="20"/>
          <w:color w:val="auto"/>
        </w:rPr>
      </w:pPr>
      <w:r>
        <w:rPr>
          <w:rFonts w:ascii="Courier New" w:cs="Courier New" w:eastAsia="Courier New" w:hAnsi="Courier New"/>
          <w:sz w:val="15"/>
          <w:szCs w:val="15"/>
          <w:color w:val="auto"/>
        </w:rPr>
        <w:t>Notes to Unaudited Pro Forma Consolidated Financial Statements for the year ended October 31, 1997.</w:t>
      </w:r>
    </w:p>
    <w:p>
      <w:pPr>
        <w:spacing w:after="0" w:line="167" w:lineRule="exact"/>
        <w:rPr>
          <w:sz w:val="24"/>
          <w:szCs w:val="24"/>
          <w:color w:val="auto"/>
        </w:rPr>
      </w:pPr>
    </w:p>
    <w:p>
      <w:pPr>
        <w:ind w:left="880" w:hanging="433"/>
        <w:spacing w:after="0"/>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3" w:lineRule="exact"/>
        <w:rPr>
          <w:sz w:val="24"/>
          <w:szCs w:val="24"/>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Reference is made to the Exhibits previously filed with the Securities and Exchange Commission as Exhibits to the Company's Report on Form 8-K for the event dated December 24, 1997.</w:t>
      </w:r>
    </w:p>
    <w:p>
      <w:pPr>
        <w:sectPr>
          <w:pgSz w:w="11900" w:h="16838" w:orient="portrait"/>
          <w:cols w:equalWidth="0" w:num="1">
            <w:col w:w="10239"/>
          </w:cols>
          <w:pgMar w:left="220" w:top="393" w:right="1440" w:bottom="1440" w:gutter="0" w:footer="0" w:header="0"/>
        </w:sectPr>
      </w:pPr>
    </w:p>
    <w:bookmarkStart w:id="1" w:name="page2"/>
    <w:bookmarkEnd w:id="1"/>
    <w:p>
      <w:pPr>
        <w:ind w:left="2280"/>
        <w:spacing w:after="0"/>
        <w:rPr>
          <w:sz w:val="20"/>
          <w:szCs w:val="20"/>
          <w:color w:val="auto"/>
        </w:rPr>
      </w:pPr>
      <w:r>
        <w:rPr>
          <w:rFonts w:ascii="Courier New" w:cs="Courier New" w:eastAsia="Courier New" w:hAnsi="Courier New"/>
          <w:sz w:val="15"/>
          <w:szCs w:val="15"/>
          <w:color w:val="auto"/>
        </w:rPr>
        <w:t>Independent Auditor's Report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w:t>
      </w:r>
    </w:p>
    <w:p>
      <w:pPr>
        <w:spacing w:after="0" w:line="237" w:lineRule="auto"/>
        <w:rPr>
          <w:sz w:val="20"/>
          <w:szCs w:val="20"/>
          <w:color w:val="auto"/>
        </w:rPr>
      </w:pPr>
      <w:r>
        <w:rPr>
          <w:rFonts w:ascii="Courier New" w:cs="Courier New" w:eastAsia="Courier New" w:hAnsi="Courier New"/>
          <w:sz w:val="15"/>
          <w:szCs w:val="15"/>
          <w:color w:val="auto"/>
        </w:rPr>
        <w:t>L &amp; J Marketing, Inc.</w:t>
      </w:r>
    </w:p>
    <w:p>
      <w:pPr>
        <w:ind w:left="440"/>
        <w:spacing w:after="0" w:line="238" w:lineRule="auto"/>
        <w:rPr>
          <w:sz w:val="20"/>
          <w:szCs w:val="20"/>
          <w:color w:val="auto"/>
        </w:rPr>
      </w:pPr>
      <w:r>
        <w:rPr>
          <w:rFonts w:ascii="Courier New" w:cs="Courier New" w:eastAsia="Courier New" w:hAnsi="Courier New"/>
          <w:sz w:val="15"/>
          <w:szCs w:val="15"/>
          <w:color w:val="auto"/>
        </w:rPr>
        <w:t>D/B/A Alliance Distributors</w:t>
      </w:r>
    </w:p>
    <w:p>
      <w:pPr>
        <w:spacing w:after="0" w:line="237" w:lineRule="auto"/>
        <w:rPr>
          <w:sz w:val="20"/>
          <w:szCs w:val="20"/>
          <w:color w:val="auto"/>
        </w:rPr>
      </w:pPr>
      <w:r>
        <w:rPr>
          <w:rFonts w:ascii="Courier New" w:cs="Courier New" w:eastAsia="Courier New" w:hAnsi="Courier New"/>
          <w:sz w:val="15"/>
          <w:szCs w:val="15"/>
          <w:color w:val="auto"/>
        </w:rPr>
        <w:t>College Point, NY</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We have audited the accompanying balance sheets of L &amp; J Marketing, Inc. D/B/A Alliance Distributors as of December 31, 1996 and 1995 and the related statements of income and retained earnings, and cash flows for the years then ended. These financial statements are the responsibility of the Company's management. Our responsibility is to express an opinion on these financial statements based on our audits.</w:t>
      </w:r>
    </w:p>
    <w:p>
      <w:pPr>
        <w:spacing w:after="0" w:line="17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6"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L &amp; J Marketing, Inc. D/B/A Alliance Distributors as of December 31, 1996 and 1995, and the results of its operations and its cash flows for the years then ended in conformity with generally accepted accounting principles.</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 BERENSON &amp; COMPANY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NY</w:t>
      </w:r>
    </w:p>
    <w:p>
      <w:pPr>
        <w:spacing w:after="0" w:line="237" w:lineRule="auto"/>
        <w:rPr>
          <w:sz w:val="20"/>
          <w:szCs w:val="20"/>
          <w:color w:val="auto"/>
        </w:rPr>
      </w:pPr>
      <w:r>
        <w:rPr>
          <w:rFonts w:ascii="Courier New" w:cs="Courier New" w:eastAsia="Courier New" w:hAnsi="Courier New"/>
          <w:sz w:val="15"/>
          <w:szCs w:val="15"/>
          <w:color w:val="auto"/>
        </w:rPr>
        <w:t>February 19, 1997</w:t>
      </w:r>
    </w:p>
    <w:p>
      <w:pPr>
        <w:sectPr>
          <w:pgSz w:w="11900" w:h="16838" w:orient="portrait"/>
          <w:cols w:equalWidth="0" w:num="1">
            <w:col w:w="10239"/>
          </w:cols>
          <w:pgMar w:left="220" w:top="112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L &amp; J MARKETING, INC.</w:t>
      </w:r>
    </w:p>
    <w:p>
      <w:pPr>
        <w:spacing w:after="0" w:line="237" w:lineRule="auto"/>
        <w:rPr>
          <w:sz w:val="20"/>
          <w:szCs w:val="20"/>
          <w:color w:val="auto"/>
        </w:rPr>
      </w:pPr>
      <w:r>
        <w:rPr>
          <w:rFonts w:ascii="Courier New" w:cs="Courier New" w:eastAsia="Courier New" w:hAnsi="Courier New"/>
          <w:sz w:val="15"/>
          <w:szCs w:val="15"/>
          <w:color w:val="auto"/>
        </w:rPr>
        <w:t>D/B/A ALLIANCE DISTRIBUTORS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BALANCE SHEETS</w:t>
      </w:r>
    </w:p>
    <w:p>
      <w:pPr>
        <w:spacing w:after="0" w:line="237" w:lineRule="auto"/>
        <w:rPr>
          <w:sz w:val="20"/>
          <w:szCs w:val="20"/>
          <w:color w:val="auto"/>
        </w:rPr>
      </w:pPr>
      <w:r>
        <w:rPr>
          <w:rFonts w:ascii="Courier New" w:cs="Courier New" w:eastAsia="Courier New" w:hAnsi="Courier New"/>
          <w:sz w:val="15"/>
          <w:szCs w:val="15"/>
          <w:color w:val="auto"/>
        </w:rPr>
        <w:t>As of December 31, 1995 and 1996 and September 30, 1997 (unaudited)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00" w:type="dxa"/>
            <w:vAlign w:val="bottom"/>
          </w:tcPr>
          <w:p>
            <w:pPr>
              <w:spacing w:after="0"/>
              <w:rPr>
                <w:sz w:val="14"/>
                <w:szCs w:val="14"/>
                <w:color w:val="auto"/>
              </w:rPr>
            </w:pPr>
          </w:p>
        </w:tc>
        <w:tc>
          <w:tcPr>
            <w:tcW w:w="14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December 31,</w:t>
            </w:r>
          </w:p>
        </w:tc>
        <w:tc>
          <w:tcPr>
            <w:tcW w:w="1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December 31,</w:t>
            </w:r>
          </w:p>
        </w:tc>
        <w:tc>
          <w:tcPr>
            <w:tcW w:w="130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7"/>
              </w:rPr>
              <w:t>September 30,</w:t>
            </w:r>
          </w:p>
        </w:tc>
      </w:tr>
      <w:tr>
        <w:trPr>
          <w:trHeight w:val="168"/>
        </w:trPr>
        <w:tc>
          <w:tcPr>
            <w:tcW w:w="5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1995</w:t>
            </w:r>
          </w:p>
        </w:tc>
        <w:tc>
          <w:tcPr>
            <w:tcW w:w="14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1996</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5600" w:type="dxa"/>
            <w:vAlign w:val="bottom"/>
          </w:tcPr>
          <w:p>
            <w:pPr>
              <w:spacing w:after="0"/>
              <w:rPr>
                <w:sz w:val="14"/>
                <w:szCs w:val="14"/>
                <w:color w:val="auto"/>
              </w:rPr>
            </w:pPr>
          </w:p>
        </w:tc>
        <w:tc>
          <w:tcPr>
            <w:tcW w:w="14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5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0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(unaudited)</w:t>
            </w:r>
          </w:p>
        </w:tc>
      </w:tr>
      <w:tr>
        <w:trPr>
          <w:trHeight w:val="336"/>
        </w:trPr>
        <w:tc>
          <w:tcPr>
            <w:tcW w:w="5600" w:type="dxa"/>
            <w:vAlign w:val="bottom"/>
          </w:tcPr>
          <w:p>
            <w:pPr>
              <w:ind w:left="3240"/>
              <w:spacing w:after="0"/>
              <w:rPr>
                <w:sz w:val="20"/>
                <w:szCs w:val="20"/>
                <w:color w:val="auto"/>
              </w:rPr>
            </w:pPr>
            <w:r>
              <w:rPr>
                <w:rFonts w:ascii="Courier New" w:cs="Courier New" w:eastAsia="Courier New" w:hAnsi="Courier New"/>
                <w:sz w:val="15"/>
                <w:szCs w:val="15"/>
                <w:color w:val="auto"/>
              </w:rPr>
              <w:t>ASSETS</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05"/>
        </w:trPr>
        <w:tc>
          <w:tcPr>
            <w:tcW w:w="56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101,405</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24,593</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12,291</w:t>
            </w: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Accounts receivable, net of allowance for doubtful accounts</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5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of $30,000; $15,000-1995 (note 4)</w:t>
            </w:r>
          </w:p>
        </w:tc>
        <w:tc>
          <w:tcPr>
            <w:tcW w:w="36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1,629,774</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2,903,584</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2,594,948</w:t>
            </w: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Inventory (notes 4 and 7)</w:t>
            </w:r>
          </w:p>
        </w:tc>
        <w:tc>
          <w:tcPr>
            <w:tcW w:w="36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5,199,708</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5,237,481</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5,037,292</w:t>
            </w: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Prepaid expenses and other current assets</w:t>
            </w:r>
          </w:p>
        </w:tc>
        <w:tc>
          <w:tcPr>
            <w:tcW w:w="36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20,796</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27,947</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29,981</w:t>
            </w:r>
          </w:p>
        </w:tc>
      </w:tr>
      <w:tr>
        <w:trPr>
          <w:trHeight w:val="168"/>
        </w:trPr>
        <w:tc>
          <w:tcPr>
            <w:tcW w:w="5600" w:type="dxa"/>
            <w:vAlign w:val="bottom"/>
          </w:tcPr>
          <w:p>
            <w:pPr>
              <w:spacing w:after="0"/>
              <w:rPr>
                <w:sz w:val="14"/>
                <w:szCs w:val="14"/>
                <w:color w:val="auto"/>
              </w:rPr>
            </w:pPr>
          </w:p>
        </w:tc>
        <w:tc>
          <w:tcPr>
            <w:tcW w:w="14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36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6,951,683</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8,193,605</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7,674,512</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Property and equipment, net (note 3)</w:t>
            </w:r>
          </w:p>
        </w:tc>
        <w:tc>
          <w:tcPr>
            <w:tcW w:w="360" w:type="dxa"/>
            <w:vAlign w:val="bottom"/>
          </w:tcPr>
          <w:p>
            <w:pPr>
              <w:spacing w:after="0"/>
              <w:rPr>
                <w:sz w:val="24"/>
                <w:szCs w:val="24"/>
                <w:color w:val="auto"/>
              </w:rPr>
            </w:pP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119,604</w:t>
            </w:r>
          </w:p>
        </w:tc>
        <w:tc>
          <w:tcPr>
            <w:tcW w:w="14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105,549</w:t>
            </w:r>
          </w:p>
        </w:tc>
        <w:tc>
          <w:tcPr>
            <w:tcW w:w="13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89,938</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Security deposits</w:t>
            </w:r>
          </w:p>
        </w:tc>
        <w:tc>
          <w:tcPr>
            <w:tcW w:w="36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22,270</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22,270</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22,270</w:t>
            </w:r>
          </w:p>
        </w:tc>
      </w:tr>
      <w:tr>
        <w:trPr>
          <w:trHeight w:val="168"/>
        </w:trPr>
        <w:tc>
          <w:tcPr>
            <w:tcW w:w="5600" w:type="dxa"/>
            <w:vAlign w:val="bottom"/>
          </w:tcPr>
          <w:p>
            <w:pPr>
              <w:spacing w:after="0"/>
              <w:rPr>
                <w:sz w:val="14"/>
                <w:szCs w:val="14"/>
                <w:color w:val="auto"/>
              </w:rPr>
            </w:pPr>
          </w:p>
        </w:tc>
        <w:tc>
          <w:tcPr>
            <w:tcW w:w="14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tcPr>
          <w:p>
            <w:pPr>
              <w:spacing w:after="0"/>
              <w:rPr>
                <w:sz w:val="14"/>
                <w:szCs w:val="14"/>
                <w:color w:val="auto"/>
              </w:rPr>
            </w:pPr>
          </w:p>
        </w:tc>
        <w:tc>
          <w:tcPr>
            <w:tcW w:w="14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$7,093,557</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$8,321,424</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$7,786,720</w:t>
            </w:r>
          </w:p>
        </w:tc>
      </w:tr>
      <w:tr>
        <w:trPr>
          <w:trHeight w:val="168"/>
        </w:trPr>
        <w:tc>
          <w:tcPr>
            <w:tcW w:w="5600" w:type="dxa"/>
            <w:vAlign w:val="bottom"/>
          </w:tcPr>
          <w:p>
            <w:pPr>
              <w:spacing w:after="0"/>
              <w:rPr>
                <w:sz w:val="14"/>
                <w:szCs w:val="14"/>
                <w:color w:val="auto"/>
              </w:rPr>
            </w:pPr>
          </w:p>
        </w:tc>
        <w:tc>
          <w:tcPr>
            <w:tcW w:w="14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600" w:type="dxa"/>
            <w:vAlign w:val="bottom"/>
          </w:tcPr>
          <w:p>
            <w:pPr>
              <w:ind w:left="1940"/>
              <w:spacing w:after="0"/>
              <w:rPr>
                <w:sz w:val="20"/>
                <w:szCs w:val="20"/>
                <w:color w:val="auto"/>
              </w:rPr>
            </w:pPr>
            <w:r>
              <w:rPr>
                <w:rFonts w:ascii="Courier New" w:cs="Courier New" w:eastAsia="Courier New" w:hAnsi="Courier New"/>
                <w:sz w:val="15"/>
                <w:szCs w:val="15"/>
                <w:color w:val="auto"/>
              </w:rPr>
              <w:t>LIABILITIES AND STOCKHOLDERS' EQUITY</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Note and acceptances payable, bank (note 4)</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800,000</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$2,395,615</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$3,705,479</w:t>
            </w: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payable (note 7)</w:t>
            </w:r>
          </w:p>
        </w:tc>
        <w:tc>
          <w:tcPr>
            <w:tcW w:w="36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4,684,888</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4,198,364</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2,324,480</w:t>
            </w: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Accrued expenses</w:t>
            </w:r>
          </w:p>
        </w:tc>
        <w:tc>
          <w:tcPr>
            <w:tcW w:w="36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56,433</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74,019</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43,860</w:t>
            </w:r>
          </w:p>
        </w:tc>
      </w:tr>
      <w:tr>
        <w:trPr>
          <w:trHeight w:val="168"/>
        </w:trPr>
        <w:tc>
          <w:tcPr>
            <w:tcW w:w="5600" w:type="dxa"/>
            <w:vAlign w:val="bottom"/>
          </w:tcPr>
          <w:p>
            <w:pPr>
              <w:spacing w:after="0"/>
              <w:rPr>
                <w:sz w:val="14"/>
                <w:szCs w:val="14"/>
                <w:color w:val="auto"/>
              </w:rPr>
            </w:pPr>
          </w:p>
        </w:tc>
        <w:tc>
          <w:tcPr>
            <w:tcW w:w="14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36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5,541,321</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6,667,998</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6,073,819</w:t>
            </w:r>
          </w:p>
        </w:tc>
      </w:tr>
      <w:tr>
        <w:trPr>
          <w:trHeight w:val="168"/>
        </w:trPr>
        <w:tc>
          <w:tcPr>
            <w:tcW w:w="5600" w:type="dxa"/>
            <w:vAlign w:val="bottom"/>
          </w:tcPr>
          <w:p>
            <w:pPr>
              <w:spacing w:after="0"/>
              <w:rPr>
                <w:sz w:val="14"/>
                <w:szCs w:val="14"/>
                <w:color w:val="auto"/>
              </w:rPr>
            </w:pPr>
          </w:p>
        </w:tc>
        <w:tc>
          <w:tcPr>
            <w:tcW w:w="14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Commitment and contingency (note 6)</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Common stock, 100 shares issued and outstanding</w:t>
            </w:r>
          </w:p>
        </w:tc>
        <w:tc>
          <w:tcPr>
            <w:tcW w:w="36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1,000</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1,000</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36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282,000</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282,000</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282,000</w:t>
            </w: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Retained earnings</w:t>
            </w:r>
          </w:p>
        </w:tc>
        <w:tc>
          <w:tcPr>
            <w:tcW w:w="36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1,269,236</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1,370,426</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1,429,901</w:t>
            </w:r>
          </w:p>
        </w:tc>
      </w:tr>
      <w:tr>
        <w:trPr>
          <w:trHeight w:val="168"/>
        </w:trPr>
        <w:tc>
          <w:tcPr>
            <w:tcW w:w="5600" w:type="dxa"/>
            <w:vAlign w:val="bottom"/>
          </w:tcPr>
          <w:p>
            <w:pPr>
              <w:spacing w:after="0"/>
              <w:rPr>
                <w:sz w:val="14"/>
                <w:szCs w:val="14"/>
                <w:color w:val="auto"/>
              </w:rPr>
            </w:pPr>
          </w:p>
        </w:tc>
        <w:tc>
          <w:tcPr>
            <w:tcW w:w="14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1,552,236</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1,653,426</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1,712,901</w:t>
            </w:r>
          </w:p>
        </w:tc>
      </w:tr>
      <w:tr>
        <w:trPr>
          <w:trHeight w:val="168"/>
        </w:trPr>
        <w:tc>
          <w:tcPr>
            <w:tcW w:w="5600" w:type="dxa"/>
            <w:vAlign w:val="bottom"/>
          </w:tcPr>
          <w:p>
            <w:pPr>
              <w:spacing w:after="0"/>
              <w:rPr>
                <w:sz w:val="14"/>
                <w:szCs w:val="14"/>
                <w:color w:val="auto"/>
              </w:rPr>
            </w:pPr>
          </w:p>
        </w:tc>
        <w:tc>
          <w:tcPr>
            <w:tcW w:w="14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tcPr>
          <w:p>
            <w:pPr>
              <w:spacing w:after="0"/>
              <w:rPr>
                <w:sz w:val="14"/>
                <w:szCs w:val="14"/>
                <w:color w:val="auto"/>
              </w:rPr>
            </w:pPr>
          </w:p>
        </w:tc>
        <w:tc>
          <w:tcPr>
            <w:tcW w:w="14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$7,093,557</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$8,321,424</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$7,786,720</w:t>
            </w:r>
          </w:p>
        </w:tc>
      </w:tr>
      <w:tr>
        <w:trPr>
          <w:trHeight w:val="168"/>
        </w:trPr>
        <w:tc>
          <w:tcPr>
            <w:tcW w:w="5600" w:type="dxa"/>
            <w:vAlign w:val="bottom"/>
          </w:tcPr>
          <w:p>
            <w:pPr>
              <w:spacing w:after="0"/>
              <w:rPr>
                <w:sz w:val="14"/>
                <w:szCs w:val="14"/>
                <w:color w:val="auto"/>
              </w:rPr>
            </w:pPr>
          </w:p>
        </w:tc>
        <w:tc>
          <w:tcPr>
            <w:tcW w:w="14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ectPr>
          <w:pgSz w:w="11900" w:h="16838" w:orient="portrait"/>
          <w:cols w:equalWidth="0" w:num="1">
            <w:col w:w="10239"/>
          </w:cols>
          <w:pgMar w:left="220" w:top="6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L &amp; J MARKETING, INC.</w:t>
      </w:r>
    </w:p>
    <w:p>
      <w:pPr>
        <w:spacing w:after="0" w:line="237" w:lineRule="auto"/>
        <w:rPr>
          <w:sz w:val="20"/>
          <w:szCs w:val="20"/>
          <w:color w:val="auto"/>
        </w:rPr>
      </w:pPr>
      <w:r>
        <w:rPr>
          <w:rFonts w:ascii="Courier New" w:cs="Courier New" w:eastAsia="Courier New" w:hAnsi="Courier New"/>
          <w:sz w:val="15"/>
          <w:szCs w:val="15"/>
          <w:color w:val="auto"/>
        </w:rPr>
        <w:t>D/B/A ALLIANCE DISTRIBUTORS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STATEMENTS OF INCOME AND RETAINED EARNINGS</w:t>
      </w:r>
    </w:p>
    <w:p>
      <w:pPr>
        <w:spacing w:after="0" w:line="237" w:lineRule="auto"/>
        <w:rPr>
          <w:sz w:val="20"/>
          <w:szCs w:val="20"/>
          <w:color w:val="auto"/>
        </w:rPr>
      </w:pPr>
      <w:r>
        <w:rPr>
          <w:rFonts w:ascii="Courier New" w:cs="Courier New" w:eastAsia="Courier New" w:hAnsi="Courier New"/>
          <w:sz w:val="15"/>
          <w:szCs w:val="15"/>
          <w:color w:val="auto"/>
        </w:rPr>
        <w:t>For the years ended December 31, 1995 and 1996</w:t>
      </w:r>
    </w:p>
    <w:p>
      <w:pPr>
        <w:spacing w:after="0" w:line="238" w:lineRule="auto"/>
        <w:rPr>
          <w:sz w:val="20"/>
          <w:szCs w:val="20"/>
          <w:color w:val="auto"/>
        </w:rPr>
      </w:pPr>
      <w:r>
        <w:rPr>
          <w:rFonts w:ascii="Courier New" w:cs="Courier New" w:eastAsia="Courier New" w:hAnsi="Courier New"/>
          <w:sz w:val="15"/>
          <w:szCs w:val="15"/>
          <w:color w:val="auto"/>
        </w:rPr>
        <w:t>and the nine months ended September 30, 1996 and 1997 (unaudited)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920" w:type="dxa"/>
            <w:vAlign w:val="bottom"/>
            <w:gridSpan w:val="2"/>
          </w:tcPr>
          <w:p>
            <w:pPr>
              <w:jc w:val="right"/>
              <w:ind w:right="1107"/>
              <w:spacing w:after="0"/>
              <w:rPr>
                <w:sz w:val="20"/>
                <w:szCs w:val="20"/>
                <w:color w:val="auto"/>
              </w:rPr>
            </w:pPr>
            <w:r>
              <w:rPr>
                <w:rFonts w:ascii="Courier New" w:cs="Courier New" w:eastAsia="Courier New" w:hAnsi="Courier New"/>
                <w:sz w:val="15"/>
                <w:szCs w:val="15"/>
                <w:color w:val="auto"/>
              </w:rPr>
              <w:t>December 31,</w:t>
            </w:r>
          </w:p>
        </w:tc>
        <w:tc>
          <w:tcPr>
            <w:tcW w:w="310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September 30,</w:t>
            </w:r>
          </w:p>
        </w:tc>
      </w:tr>
      <w:tr>
        <w:trPr>
          <w:trHeight w:val="168"/>
        </w:trPr>
        <w:tc>
          <w:tcPr>
            <w:tcW w:w="4640" w:type="dxa"/>
            <w:vAlign w:val="bottom"/>
          </w:tcPr>
          <w:p>
            <w:pPr>
              <w:spacing w:after="0"/>
              <w:rPr>
                <w:sz w:val="14"/>
                <w:szCs w:val="14"/>
                <w:color w:val="auto"/>
              </w:rPr>
            </w:pPr>
          </w:p>
        </w:tc>
        <w:tc>
          <w:tcPr>
            <w:tcW w:w="2140" w:type="dxa"/>
            <w:vAlign w:val="bottom"/>
            <w:gridSpan w:val="2"/>
          </w:tcPr>
          <w:p>
            <w:pPr>
              <w:ind w:left="700"/>
              <w:spacing w:after="0"/>
              <w:rPr>
                <w:sz w:val="20"/>
                <w:szCs w:val="20"/>
                <w:color w:val="auto"/>
              </w:rPr>
            </w:pPr>
            <w:r>
              <w:rPr>
                <w:rFonts w:ascii="Courier New" w:cs="Courier New" w:eastAsia="Courier New" w:hAnsi="Courier New"/>
                <w:sz w:val="10"/>
                <w:szCs w:val="10"/>
                <w:color w:val="auto"/>
                <w:w w:val="73"/>
              </w:rPr>
              <w:t>--------------------------------</w:t>
            </w:r>
          </w:p>
        </w:tc>
        <w:tc>
          <w:tcPr>
            <w:tcW w:w="1660" w:type="dxa"/>
            <w:vAlign w:val="bottom"/>
          </w:tcPr>
          <w:p>
            <w:pPr>
              <w:spacing w:after="0"/>
              <w:rPr>
                <w:sz w:val="14"/>
                <w:szCs w:val="14"/>
                <w:color w:val="auto"/>
              </w:rPr>
            </w:pPr>
          </w:p>
        </w:tc>
        <w:tc>
          <w:tcPr>
            <w:tcW w:w="3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1995</w:t>
            </w:r>
          </w:p>
        </w:tc>
        <w:tc>
          <w:tcPr>
            <w:tcW w:w="16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1996</w:t>
            </w:r>
          </w:p>
        </w:tc>
        <w:tc>
          <w:tcPr>
            <w:tcW w:w="16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1996</w:t>
            </w:r>
          </w:p>
        </w:tc>
        <w:tc>
          <w:tcPr>
            <w:tcW w:w="14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4640" w:type="dxa"/>
            <w:vAlign w:val="bottom"/>
          </w:tcPr>
          <w:p>
            <w:pPr>
              <w:spacing w:after="0"/>
              <w:rPr>
                <w:sz w:val="14"/>
                <w:szCs w:val="14"/>
                <w:color w:val="auto"/>
              </w:rPr>
            </w:pPr>
          </w:p>
        </w:tc>
        <w:tc>
          <w:tcPr>
            <w:tcW w:w="21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100" w:type="dxa"/>
            <w:vAlign w:val="bottom"/>
            <w:gridSpan w:val="2"/>
          </w:tcPr>
          <w:p>
            <w:pPr>
              <w:jc w:val="right"/>
              <w:ind w:right="967"/>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88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5"/>
              </w:rPr>
              <w:t>25,117,915</w:t>
            </w:r>
          </w:p>
        </w:tc>
        <w:tc>
          <w:tcPr>
            <w:tcW w:w="1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$ 27,552,133</w:t>
            </w:r>
          </w:p>
        </w:tc>
        <w:tc>
          <w:tcPr>
            <w:tcW w:w="16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$ 15,588,521</w:t>
            </w:r>
          </w:p>
        </w:tc>
        <w:tc>
          <w:tcPr>
            <w:tcW w:w="1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$ 17,179,699</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goods sold (note 7)</w:t>
            </w:r>
          </w:p>
        </w:tc>
        <w:tc>
          <w:tcPr>
            <w:tcW w:w="88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22,382,492</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24,776,238</w:t>
            </w:r>
          </w:p>
        </w:tc>
        <w:tc>
          <w:tcPr>
            <w:tcW w:w="1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13,811,712</w:t>
            </w:r>
          </w:p>
        </w:tc>
        <w:tc>
          <w:tcPr>
            <w:tcW w:w="1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15,177,819</w:t>
            </w:r>
          </w:p>
        </w:tc>
      </w:tr>
      <w:tr>
        <w:trPr>
          <w:trHeight w:val="168"/>
        </w:trPr>
        <w:tc>
          <w:tcPr>
            <w:tcW w:w="4640" w:type="dxa"/>
            <w:vAlign w:val="bottom"/>
          </w:tcPr>
          <w:p>
            <w:pPr>
              <w:spacing w:after="0"/>
              <w:rPr>
                <w:sz w:val="14"/>
                <w:szCs w:val="14"/>
                <w:color w:val="auto"/>
              </w:rPr>
            </w:pPr>
          </w:p>
        </w:tc>
        <w:tc>
          <w:tcPr>
            <w:tcW w:w="21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Gross profit</w:t>
            </w:r>
          </w:p>
        </w:tc>
        <w:tc>
          <w:tcPr>
            <w:tcW w:w="88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2,735,423</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2,775,895</w:t>
            </w:r>
          </w:p>
        </w:tc>
        <w:tc>
          <w:tcPr>
            <w:tcW w:w="1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1,776,809</w:t>
            </w:r>
          </w:p>
        </w:tc>
        <w:tc>
          <w:tcPr>
            <w:tcW w:w="1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2,001,880</w:t>
            </w:r>
          </w:p>
        </w:tc>
      </w:tr>
      <w:tr>
        <w:trPr>
          <w:trHeight w:val="168"/>
        </w:trPr>
        <w:tc>
          <w:tcPr>
            <w:tcW w:w="4640" w:type="dxa"/>
            <w:vAlign w:val="bottom"/>
          </w:tcPr>
          <w:p>
            <w:pPr>
              <w:spacing w:after="0"/>
              <w:rPr>
                <w:sz w:val="14"/>
                <w:szCs w:val="14"/>
                <w:color w:val="auto"/>
              </w:rPr>
            </w:pPr>
          </w:p>
        </w:tc>
        <w:tc>
          <w:tcPr>
            <w:tcW w:w="21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8"/>
        </w:trPr>
        <w:tc>
          <w:tcPr>
            <w:tcW w:w="4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Selling</w:t>
            </w:r>
          </w:p>
        </w:tc>
        <w:tc>
          <w:tcPr>
            <w:tcW w:w="88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961,168</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1,346,824</w:t>
            </w:r>
          </w:p>
        </w:tc>
        <w:tc>
          <w:tcPr>
            <w:tcW w:w="1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817,420</w:t>
            </w:r>
          </w:p>
        </w:tc>
        <w:tc>
          <w:tcPr>
            <w:tcW w:w="1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978,349</w:t>
            </w:r>
          </w:p>
        </w:tc>
      </w:tr>
      <w:tr>
        <w:trPr>
          <w:trHeight w:val="168"/>
        </w:trPr>
        <w:tc>
          <w:tcPr>
            <w:tcW w:w="4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88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1,231,180</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1,083,523</w:t>
            </w:r>
          </w:p>
        </w:tc>
        <w:tc>
          <w:tcPr>
            <w:tcW w:w="1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746,384</w:t>
            </w:r>
          </w:p>
        </w:tc>
        <w:tc>
          <w:tcPr>
            <w:tcW w:w="1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731,761</w:t>
            </w:r>
          </w:p>
        </w:tc>
      </w:tr>
      <w:tr>
        <w:trPr>
          <w:trHeight w:val="168"/>
        </w:trPr>
        <w:tc>
          <w:tcPr>
            <w:tcW w:w="4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w:t>
            </w:r>
          </w:p>
        </w:tc>
        <w:tc>
          <w:tcPr>
            <w:tcW w:w="88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138,185</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233,558</w:t>
            </w:r>
          </w:p>
        </w:tc>
        <w:tc>
          <w:tcPr>
            <w:tcW w:w="1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149,125</w:t>
            </w:r>
          </w:p>
        </w:tc>
        <w:tc>
          <w:tcPr>
            <w:tcW w:w="1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203,942</w:t>
            </w:r>
          </w:p>
        </w:tc>
      </w:tr>
      <w:tr>
        <w:trPr>
          <w:trHeight w:val="168"/>
        </w:trPr>
        <w:tc>
          <w:tcPr>
            <w:tcW w:w="4640" w:type="dxa"/>
            <w:vAlign w:val="bottom"/>
          </w:tcPr>
          <w:p>
            <w:pPr>
              <w:spacing w:after="0"/>
              <w:rPr>
                <w:sz w:val="14"/>
                <w:szCs w:val="14"/>
                <w:color w:val="auto"/>
              </w:rPr>
            </w:pPr>
          </w:p>
        </w:tc>
        <w:tc>
          <w:tcPr>
            <w:tcW w:w="21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2,330,533</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2,663,905</w:t>
            </w:r>
          </w:p>
        </w:tc>
        <w:tc>
          <w:tcPr>
            <w:tcW w:w="1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1,712,929</w:t>
            </w:r>
          </w:p>
        </w:tc>
        <w:tc>
          <w:tcPr>
            <w:tcW w:w="1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1,914,052</w:t>
            </w:r>
          </w:p>
        </w:tc>
      </w:tr>
      <w:tr>
        <w:trPr>
          <w:trHeight w:val="336"/>
        </w:trPr>
        <w:tc>
          <w:tcPr>
            <w:tcW w:w="4640" w:type="dxa"/>
            <w:vAlign w:val="bottom"/>
          </w:tcPr>
          <w:p>
            <w:pPr>
              <w:ind w:left="440"/>
              <w:spacing w:after="0"/>
              <w:rPr>
                <w:sz w:val="20"/>
                <w:szCs w:val="20"/>
                <w:color w:val="auto"/>
              </w:rPr>
            </w:pPr>
            <w:r>
              <w:rPr>
                <w:rFonts w:ascii="Courier New" w:cs="Courier New" w:eastAsia="Courier New" w:hAnsi="Courier New"/>
                <w:sz w:val="15"/>
                <w:szCs w:val="15"/>
                <w:color w:val="auto"/>
              </w:rPr>
              <w:t>Income before provision for income taxes</w:t>
            </w:r>
          </w:p>
        </w:tc>
        <w:tc>
          <w:tcPr>
            <w:tcW w:w="880" w:type="dxa"/>
            <w:vAlign w:val="bottom"/>
          </w:tcPr>
          <w:p>
            <w:pPr>
              <w:spacing w:after="0"/>
              <w:rPr>
                <w:sz w:val="24"/>
                <w:szCs w:val="24"/>
                <w:color w:val="auto"/>
              </w:rPr>
            </w:pP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404,890</w:t>
            </w:r>
          </w:p>
        </w:tc>
        <w:tc>
          <w:tcPr>
            <w:tcW w:w="1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111,990</w:t>
            </w:r>
          </w:p>
        </w:tc>
        <w:tc>
          <w:tcPr>
            <w:tcW w:w="16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63,880</w:t>
            </w:r>
          </w:p>
        </w:tc>
        <w:tc>
          <w:tcPr>
            <w:tcW w:w="1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87,828</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880" w:type="dxa"/>
            <w:vAlign w:val="bottom"/>
          </w:tcPr>
          <w:p>
            <w:pPr>
              <w:spacing w:after="0"/>
              <w:rPr>
                <w:sz w:val="24"/>
                <w:szCs w:val="24"/>
                <w:color w:val="auto"/>
              </w:rPr>
            </w:pP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24,000</w:t>
            </w:r>
          </w:p>
        </w:tc>
        <w:tc>
          <w:tcPr>
            <w:tcW w:w="1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10,800</w:t>
            </w:r>
          </w:p>
        </w:tc>
        <w:tc>
          <w:tcPr>
            <w:tcW w:w="16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3,000</w:t>
            </w:r>
          </w:p>
        </w:tc>
        <w:tc>
          <w:tcPr>
            <w:tcW w:w="1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7,300</w:t>
            </w:r>
          </w:p>
        </w:tc>
      </w:tr>
      <w:tr>
        <w:trPr>
          <w:trHeight w:val="168"/>
        </w:trPr>
        <w:tc>
          <w:tcPr>
            <w:tcW w:w="4640" w:type="dxa"/>
            <w:vAlign w:val="bottom"/>
          </w:tcPr>
          <w:p>
            <w:pPr>
              <w:spacing w:after="0"/>
              <w:rPr>
                <w:sz w:val="14"/>
                <w:szCs w:val="14"/>
                <w:color w:val="auto"/>
              </w:rPr>
            </w:pPr>
          </w:p>
        </w:tc>
        <w:tc>
          <w:tcPr>
            <w:tcW w:w="21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880" w:type="dxa"/>
            <w:vAlign w:val="bottom"/>
          </w:tcPr>
          <w:p>
            <w:pPr>
              <w:spacing w:after="0"/>
              <w:rPr>
                <w:sz w:val="24"/>
                <w:szCs w:val="24"/>
                <w:color w:val="auto"/>
              </w:rPr>
            </w:pP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380,890</w:t>
            </w:r>
          </w:p>
        </w:tc>
        <w:tc>
          <w:tcPr>
            <w:tcW w:w="1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101,190</w:t>
            </w:r>
          </w:p>
        </w:tc>
        <w:tc>
          <w:tcPr>
            <w:tcW w:w="16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60,880</w:t>
            </w:r>
          </w:p>
        </w:tc>
        <w:tc>
          <w:tcPr>
            <w:tcW w:w="1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80,528</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Retained earnings, beginning of period</w:t>
            </w:r>
          </w:p>
        </w:tc>
        <w:tc>
          <w:tcPr>
            <w:tcW w:w="880" w:type="dxa"/>
            <w:vAlign w:val="bottom"/>
          </w:tcPr>
          <w:p>
            <w:pPr>
              <w:spacing w:after="0"/>
              <w:rPr>
                <w:sz w:val="24"/>
                <w:szCs w:val="24"/>
                <w:color w:val="auto"/>
              </w:rPr>
            </w:pP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1,034,346</w:t>
            </w:r>
          </w:p>
        </w:tc>
        <w:tc>
          <w:tcPr>
            <w:tcW w:w="1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1,269,236</w:t>
            </w:r>
          </w:p>
        </w:tc>
        <w:tc>
          <w:tcPr>
            <w:tcW w:w="16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1,269,236</w:t>
            </w:r>
          </w:p>
        </w:tc>
        <w:tc>
          <w:tcPr>
            <w:tcW w:w="1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1,370,426</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distributions</w:t>
            </w:r>
          </w:p>
        </w:tc>
        <w:tc>
          <w:tcPr>
            <w:tcW w:w="88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(146,000)</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(21,053)</w:t>
            </w:r>
          </w:p>
        </w:tc>
      </w:tr>
      <w:tr>
        <w:trPr>
          <w:trHeight w:val="168"/>
        </w:trPr>
        <w:tc>
          <w:tcPr>
            <w:tcW w:w="4640" w:type="dxa"/>
            <w:vAlign w:val="bottom"/>
          </w:tcPr>
          <w:p>
            <w:pPr>
              <w:spacing w:after="0"/>
              <w:rPr>
                <w:sz w:val="14"/>
                <w:szCs w:val="14"/>
                <w:color w:val="auto"/>
              </w:rPr>
            </w:pPr>
          </w:p>
        </w:tc>
        <w:tc>
          <w:tcPr>
            <w:tcW w:w="21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Retained earnings, end of period</w:t>
            </w:r>
          </w:p>
        </w:tc>
        <w:tc>
          <w:tcPr>
            <w:tcW w:w="8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1,269,236</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1,370,426</w:t>
            </w:r>
          </w:p>
        </w:tc>
        <w:tc>
          <w:tcPr>
            <w:tcW w:w="1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1,330,116</w:t>
            </w:r>
          </w:p>
        </w:tc>
        <w:tc>
          <w:tcPr>
            <w:tcW w:w="1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1,429,901</w:t>
            </w:r>
          </w:p>
        </w:tc>
      </w:tr>
      <w:tr>
        <w:trPr>
          <w:trHeight w:val="168"/>
        </w:trPr>
        <w:tc>
          <w:tcPr>
            <w:tcW w:w="4640" w:type="dxa"/>
            <w:vAlign w:val="bottom"/>
          </w:tcPr>
          <w:p>
            <w:pPr>
              <w:spacing w:after="0"/>
              <w:rPr>
                <w:sz w:val="14"/>
                <w:szCs w:val="14"/>
                <w:color w:val="auto"/>
              </w:rPr>
            </w:pPr>
          </w:p>
        </w:tc>
        <w:tc>
          <w:tcPr>
            <w:tcW w:w="21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ectPr>
          <w:pgSz w:w="11900" w:h="16838" w:orient="portrait"/>
          <w:cols w:equalWidth="0" w:num="1">
            <w:col w:w="11540"/>
          </w:cols>
          <w:pgMar w:left="220" w:top="617" w:right="13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L &amp; J MARKETING, INC.</w:t>
      </w:r>
    </w:p>
    <w:p>
      <w:pPr>
        <w:spacing w:after="0" w:line="237" w:lineRule="auto"/>
        <w:rPr>
          <w:sz w:val="20"/>
          <w:szCs w:val="20"/>
          <w:color w:val="auto"/>
        </w:rPr>
      </w:pPr>
      <w:r>
        <w:rPr>
          <w:rFonts w:ascii="Courier New" w:cs="Courier New" w:eastAsia="Courier New" w:hAnsi="Courier New"/>
          <w:sz w:val="15"/>
          <w:szCs w:val="15"/>
          <w:color w:val="auto"/>
        </w:rPr>
        <w:t>D/B/A ALLIANCE DISTRIBUTORS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STATEMENTS OF CASH FLOWS</w:t>
      </w:r>
    </w:p>
    <w:p>
      <w:pPr>
        <w:spacing w:after="0" w:line="237" w:lineRule="auto"/>
        <w:rPr>
          <w:sz w:val="20"/>
          <w:szCs w:val="20"/>
          <w:color w:val="auto"/>
        </w:rPr>
      </w:pPr>
      <w:r>
        <w:rPr>
          <w:rFonts w:ascii="Courier New" w:cs="Courier New" w:eastAsia="Courier New" w:hAnsi="Courier New"/>
          <w:sz w:val="15"/>
          <w:szCs w:val="15"/>
          <w:color w:val="auto"/>
        </w:rPr>
        <w:t>For the years ended December 31, 1995 and 1996 and</w:t>
      </w:r>
    </w:p>
    <w:p>
      <w:pPr>
        <w:spacing w:after="0" w:line="238" w:lineRule="auto"/>
        <w:rPr>
          <w:sz w:val="20"/>
          <w:szCs w:val="20"/>
          <w:color w:val="auto"/>
        </w:rPr>
      </w:pPr>
      <w:r>
        <w:rPr>
          <w:rFonts w:ascii="Courier New" w:cs="Courier New" w:eastAsia="Courier New" w:hAnsi="Courier New"/>
          <w:sz w:val="15"/>
          <w:szCs w:val="15"/>
          <w:color w:val="auto"/>
        </w:rPr>
        <w:t>the nine months ended September 30, 1996 and 1997 (unaudited)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580" w:type="dxa"/>
            <w:vAlign w:val="bottom"/>
            <w:gridSpan w:val="3"/>
          </w:tcPr>
          <w:p>
            <w:pPr>
              <w:jc w:val="right"/>
              <w:ind w:right="927"/>
              <w:spacing w:after="0"/>
              <w:rPr>
                <w:sz w:val="20"/>
                <w:szCs w:val="20"/>
                <w:color w:val="auto"/>
              </w:rPr>
            </w:pPr>
            <w:r>
              <w:rPr>
                <w:rFonts w:ascii="Courier New" w:cs="Courier New" w:eastAsia="Courier New" w:hAnsi="Courier New"/>
                <w:sz w:val="15"/>
                <w:szCs w:val="15"/>
                <w:color w:val="auto"/>
              </w:rPr>
              <w:t>December 31,</w:t>
            </w:r>
          </w:p>
        </w:tc>
        <w:tc>
          <w:tcPr>
            <w:tcW w:w="300" w:type="dxa"/>
            <w:vAlign w:val="bottom"/>
          </w:tcPr>
          <w:p>
            <w:pPr>
              <w:spacing w:after="0"/>
              <w:rPr>
                <w:sz w:val="14"/>
                <w:szCs w:val="14"/>
                <w:color w:val="auto"/>
              </w:rPr>
            </w:pPr>
          </w:p>
        </w:tc>
        <w:tc>
          <w:tcPr>
            <w:tcW w:w="2440" w:type="dxa"/>
            <w:vAlign w:val="bottom"/>
            <w:gridSpan w:val="3"/>
          </w:tcPr>
          <w:p>
            <w:pPr>
              <w:jc w:val="right"/>
              <w:ind w:right="607"/>
              <w:spacing w:after="0"/>
              <w:rPr>
                <w:sz w:val="20"/>
                <w:szCs w:val="20"/>
                <w:color w:val="auto"/>
              </w:rPr>
            </w:pPr>
            <w:r>
              <w:rPr>
                <w:rFonts w:ascii="Courier New" w:cs="Courier New" w:eastAsia="Courier New" w:hAnsi="Courier New"/>
                <w:sz w:val="15"/>
                <w:szCs w:val="15"/>
                <w:color w:val="auto"/>
              </w:rPr>
              <w:t>September 30,</w:t>
            </w:r>
          </w:p>
        </w:tc>
      </w:tr>
      <w:tr>
        <w:trPr>
          <w:trHeight w:val="168"/>
        </w:trPr>
        <w:tc>
          <w:tcPr>
            <w:tcW w:w="5440" w:type="dxa"/>
            <w:vAlign w:val="bottom"/>
          </w:tcPr>
          <w:p>
            <w:pPr>
              <w:spacing w:after="0"/>
              <w:rPr>
                <w:sz w:val="14"/>
                <w:szCs w:val="14"/>
                <w:color w:val="auto"/>
              </w:rPr>
            </w:pPr>
          </w:p>
        </w:tc>
        <w:tc>
          <w:tcPr>
            <w:tcW w:w="3360" w:type="dxa"/>
            <w:vAlign w:val="bottom"/>
            <w:gridSpan w:val="4"/>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74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1995</w:t>
            </w:r>
          </w:p>
        </w:tc>
        <w:tc>
          <w:tcPr>
            <w:tcW w:w="30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1996</w:t>
            </w:r>
          </w:p>
        </w:tc>
        <w:tc>
          <w:tcPr>
            <w:tcW w:w="30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1996</w:t>
            </w:r>
          </w:p>
        </w:tc>
        <w:tc>
          <w:tcPr>
            <w:tcW w:w="320" w:type="dxa"/>
            <w:vAlign w:val="bottom"/>
          </w:tcPr>
          <w:p>
            <w:pPr>
              <w:spacing w:after="0"/>
              <w:rPr>
                <w:sz w:val="14"/>
                <w:szCs w:val="14"/>
                <w:color w:val="auto"/>
              </w:rPr>
            </w:pPr>
          </w:p>
        </w:tc>
        <w:tc>
          <w:tcPr>
            <w:tcW w:w="9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5440" w:type="dxa"/>
            <w:vAlign w:val="bottom"/>
          </w:tcPr>
          <w:p>
            <w:pPr>
              <w:spacing w:after="0"/>
              <w:rPr>
                <w:sz w:val="14"/>
                <w:szCs w:val="14"/>
                <w:color w:val="auto"/>
              </w:rPr>
            </w:pPr>
          </w:p>
        </w:tc>
        <w:tc>
          <w:tcPr>
            <w:tcW w:w="18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3"/>
          </w:tcPr>
          <w:p>
            <w:pPr>
              <w:jc w:val="right"/>
              <w:ind w:right="607"/>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8"/>
        </w:trPr>
        <w:tc>
          <w:tcPr>
            <w:tcW w:w="5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income</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380,890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101,190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60,880</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80,528</w:t>
            </w:r>
          </w:p>
        </w:tc>
      </w:tr>
      <w:tr>
        <w:trPr>
          <w:trHeight w:val="168"/>
        </w:trPr>
        <w:tc>
          <w:tcPr>
            <w:tcW w:w="5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Adjustments to reconcile net income to</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5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cash used by operating activities: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54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Depreciation</w:t>
            </w:r>
          </w:p>
        </w:tc>
        <w:tc>
          <w:tcPr>
            <w:tcW w:w="78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34,354</w:t>
            </w:r>
          </w:p>
        </w:tc>
        <w:tc>
          <w:tcPr>
            <w:tcW w:w="30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33,455</w:t>
            </w:r>
          </w:p>
        </w:tc>
        <w:tc>
          <w:tcPr>
            <w:tcW w:w="30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23,750</w:t>
            </w:r>
          </w:p>
        </w:tc>
        <w:tc>
          <w:tcPr>
            <w:tcW w:w="32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18,275</w:t>
            </w:r>
          </w:p>
        </w:tc>
      </w:tr>
      <w:tr>
        <w:trPr>
          <w:trHeight w:val="168"/>
        </w:trPr>
        <w:tc>
          <w:tcPr>
            <w:tcW w:w="54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Provision for loss on accounts receivable</w:t>
            </w:r>
          </w:p>
        </w:tc>
        <w:tc>
          <w:tcPr>
            <w:tcW w:w="78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13,276</w:t>
            </w:r>
          </w:p>
        </w:tc>
        <w:tc>
          <w:tcPr>
            <w:tcW w:w="30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18,782</w:t>
            </w:r>
          </w:p>
        </w:tc>
        <w:tc>
          <w:tcPr>
            <w:tcW w:w="30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17,282</w:t>
            </w:r>
          </w:p>
        </w:tc>
      </w:tr>
      <w:tr>
        <w:trPr>
          <w:trHeight w:val="168"/>
        </w:trPr>
        <w:tc>
          <w:tcPr>
            <w:tcW w:w="54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Gain on disposition of property and equipment</w:t>
            </w:r>
          </w:p>
        </w:tc>
        <w:tc>
          <w:tcPr>
            <w:tcW w:w="7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(2,000)</w:t>
            </w:r>
          </w:p>
        </w:tc>
        <w:tc>
          <w:tcPr>
            <w:tcW w:w="30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4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Changes in assets (increase) decrease:</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544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78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398,110</w:t>
            </w:r>
          </w:p>
        </w:tc>
        <w:tc>
          <w:tcPr>
            <w:tcW w:w="3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(1,292,592)</w:t>
            </w:r>
          </w:p>
        </w:tc>
        <w:tc>
          <w:tcPr>
            <w:tcW w:w="3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(147,293)</w:t>
            </w:r>
          </w:p>
        </w:tc>
        <w:tc>
          <w:tcPr>
            <w:tcW w:w="32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291,354</w:t>
            </w:r>
          </w:p>
        </w:tc>
      </w:tr>
      <w:tr>
        <w:trPr>
          <w:trHeight w:val="168"/>
        </w:trPr>
        <w:tc>
          <w:tcPr>
            <w:tcW w:w="544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Inventory</w:t>
            </w:r>
          </w:p>
        </w:tc>
        <w:tc>
          <w:tcPr>
            <w:tcW w:w="7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(551,708)</w:t>
            </w:r>
          </w:p>
        </w:tc>
        <w:tc>
          <w:tcPr>
            <w:tcW w:w="3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(37,773)</w:t>
            </w:r>
          </w:p>
        </w:tc>
        <w:tc>
          <w:tcPr>
            <w:tcW w:w="3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(1,002,854)</w:t>
            </w:r>
          </w:p>
        </w:tc>
        <w:tc>
          <w:tcPr>
            <w:tcW w:w="32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200,189</w:t>
            </w:r>
          </w:p>
        </w:tc>
      </w:tr>
      <w:tr>
        <w:trPr>
          <w:trHeight w:val="168"/>
        </w:trPr>
        <w:tc>
          <w:tcPr>
            <w:tcW w:w="544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Prepaid expenses</w:t>
            </w:r>
          </w:p>
        </w:tc>
        <w:tc>
          <w:tcPr>
            <w:tcW w:w="78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22,101</w:t>
            </w:r>
          </w:p>
        </w:tc>
        <w:tc>
          <w:tcPr>
            <w:tcW w:w="3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(7,151)</w:t>
            </w:r>
          </w:p>
        </w:tc>
        <w:tc>
          <w:tcPr>
            <w:tcW w:w="3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(40,578)</w:t>
            </w:r>
          </w:p>
        </w:tc>
        <w:tc>
          <w:tcPr>
            <w:tcW w:w="320" w:type="dxa"/>
            <w:vAlign w:val="bottom"/>
          </w:tcPr>
          <w:p>
            <w:pPr>
              <w:spacing w:after="0"/>
              <w:rPr>
                <w:sz w:val="14"/>
                <w:szCs w:val="14"/>
                <w:color w:val="auto"/>
              </w:rPr>
            </w:pPr>
          </w:p>
        </w:tc>
        <w:tc>
          <w:tcPr>
            <w:tcW w:w="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(2,034)</w:t>
            </w:r>
          </w:p>
        </w:tc>
      </w:tr>
      <w:tr>
        <w:trPr>
          <w:trHeight w:val="168"/>
        </w:trPr>
        <w:tc>
          <w:tcPr>
            <w:tcW w:w="54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Changes in liabilities increase (decrease):</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544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Accounts payable</w:t>
            </w:r>
          </w:p>
        </w:tc>
        <w:tc>
          <w:tcPr>
            <w:tcW w:w="7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(889,853)</w:t>
            </w:r>
          </w:p>
        </w:tc>
        <w:tc>
          <w:tcPr>
            <w:tcW w:w="3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(486,524)</w:t>
            </w:r>
          </w:p>
        </w:tc>
        <w:tc>
          <w:tcPr>
            <w:tcW w:w="3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(2,036,303)</w:t>
            </w:r>
          </w:p>
        </w:tc>
        <w:tc>
          <w:tcPr>
            <w:tcW w:w="320" w:type="dxa"/>
            <w:vAlign w:val="bottom"/>
          </w:tcPr>
          <w:p>
            <w:pPr>
              <w:spacing w:after="0"/>
              <w:rPr>
                <w:sz w:val="14"/>
                <w:szCs w:val="14"/>
                <w:color w:val="auto"/>
              </w:rPr>
            </w:pPr>
          </w:p>
        </w:tc>
        <w:tc>
          <w:tcPr>
            <w:tcW w:w="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(1,873,884)</w:t>
            </w:r>
          </w:p>
        </w:tc>
      </w:tr>
      <w:tr>
        <w:trPr>
          <w:trHeight w:val="168"/>
        </w:trPr>
        <w:tc>
          <w:tcPr>
            <w:tcW w:w="544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Accrued expenses</w:t>
            </w:r>
          </w:p>
        </w:tc>
        <w:tc>
          <w:tcPr>
            <w:tcW w:w="78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25,733</w:t>
            </w:r>
          </w:p>
        </w:tc>
        <w:tc>
          <w:tcPr>
            <w:tcW w:w="30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17,586</w:t>
            </w:r>
          </w:p>
        </w:tc>
        <w:tc>
          <w:tcPr>
            <w:tcW w:w="3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(8,233)</w:t>
            </w:r>
          </w:p>
        </w:tc>
        <w:tc>
          <w:tcPr>
            <w:tcW w:w="320" w:type="dxa"/>
            <w:vAlign w:val="bottom"/>
          </w:tcPr>
          <w:p>
            <w:pPr>
              <w:spacing w:after="0"/>
              <w:rPr>
                <w:sz w:val="14"/>
                <w:szCs w:val="14"/>
                <w:color w:val="auto"/>
              </w:rPr>
            </w:pPr>
          </w:p>
        </w:tc>
        <w:tc>
          <w:tcPr>
            <w:tcW w:w="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(30,161)</w:t>
            </w:r>
          </w:p>
        </w:tc>
      </w:tr>
      <w:tr>
        <w:trPr>
          <w:trHeight w:val="168"/>
        </w:trPr>
        <w:tc>
          <w:tcPr>
            <w:tcW w:w="5440" w:type="dxa"/>
            <w:vAlign w:val="bottom"/>
          </w:tcPr>
          <w:p>
            <w:pPr>
              <w:spacing w:after="0"/>
              <w:rPr>
                <w:sz w:val="14"/>
                <w:szCs w:val="14"/>
                <w:color w:val="auto"/>
              </w:rPr>
            </w:pPr>
          </w:p>
        </w:tc>
        <w:tc>
          <w:tcPr>
            <w:tcW w:w="18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Net cash used by operating activities</w:t>
            </w:r>
          </w:p>
        </w:tc>
        <w:tc>
          <w:tcPr>
            <w:tcW w:w="7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(569,097)</w:t>
            </w:r>
          </w:p>
        </w:tc>
        <w:tc>
          <w:tcPr>
            <w:tcW w:w="3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(1,653,027)</w:t>
            </w:r>
          </w:p>
        </w:tc>
        <w:tc>
          <w:tcPr>
            <w:tcW w:w="3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(3,150,631)</w:t>
            </w:r>
          </w:p>
        </w:tc>
        <w:tc>
          <w:tcPr>
            <w:tcW w:w="320" w:type="dxa"/>
            <w:vAlign w:val="bottom"/>
          </w:tcPr>
          <w:p>
            <w:pPr>
              <w:spacing w:after="0"/>
              <w:rPr>
                <w:sz w:val="14"/>
                <w:szCs w:val="14"/>
                <w:color w:val="auto"/>
              </w:rPr>
            </w:pPr>
          </w:p>
        </w:tc>
        <w:tc>
          <w:tcPr>
            <w:tcW w:w="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(1,298,451)</w:t>
            </w:r>
          </w:p>
        </w:tc>
      </w:tr>
      <w:tr>
        <w:trPr>
          <w:trHeight w:val="168"/>
        </w:trPr>
        <w:tc>
          <w:tcPr>
            <w:tcW w:w="5440" w:type="dxa"/>
            <w:vAlign w:val="bottom"/>
          </w:tcPr>
          <w:p>
            <w:pPr>
              <w:spacing w:after="0"/>
              <w:rPr>
                <w:sz w:val="14"/>
                <w:szCs w:val="14"/>
                <w:color w:val="auto"/>
              </w:rPr>
            </w:pPr>
          </w:p>
        </w:tc>
        <w:tc>
          <w:tcPr>
            <w:tcW w:w="18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8"/>
        </w:trPr>
        <w:tc>
          <w:tcPr>
            <w:tcW w:w="5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7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(49,649)</w:t>
            </w:r>
          </w:p>
        </w:tc>
        <w:tc>
          <w:tcPr>
            <w:tcW w:w="3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(19,400)</w:t>
            </w:r>
          </w:p>
        </w:tc>
        <w:tc>
          <w:tcPr>
            <w:tcW w:w="3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(13,007)</w:t>
            </w:r>
          </w:p>
        </w:tc>
        <w:tc>
          <w:tcPr>
            <w:tcW w:w="320" w:type="dxa"/>
            <w:vAlign w:val="bottom"/>
          </w:tcPr>
          <w:p>
            <w:pPr>
              <w:spacing w:after="0"/>
              <w:rPr>
                <w:sz w:val="14"/>
                <w:szCs w:val="14"/>
                <w:color w:val="auto"/>
              </w:rPr>
            </w:pPr>
          </w:p>
        </w:tc>
        <w:tc>
          <w:tcPr>
            <w:tcW w:w="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(2,662)</w:t>
            </w:r>
          </w:p>
        </w:tc>
      </w:tr>
      <w:tr>
        <w:trPr>
          <w:trHeight w:val="168"/>
        </w:trPr>
        <w:tc>
          <w:tcPr>
            <w:tcW w:w="5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sale of truck</w:t>
            </w:r>
          </w:p>
        </w:tc>
        <w:tc>
          <w:tcPr>
            <w:tcW w:w="78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2,000</w:t>
            </w:r>
          </w:p>
        </w:tc>
        <w:tc>
          <w:tcPr>
            <w:tcW w:w="30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4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rPr>
                <w:sz w:val="14"/>
                <w:szCs w:val="14"/>
                <w:color w:val="auto"/>
              </w:rPr>
            </w:pPr>
          </w:p>
        </w:tc>
        <w:tc>
          <w:tcPr>
            <w:tcW w:w="18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Net cash used by investing activities</w:t>
            </w:r>
          </w:p>
        </w:tc>
        <w:tc>
          <w:tcPr>
            <w:tcW w:w="7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(47,649)</w:t>
            </w:r>
          </w:p>
        </w:tc>
        <w:tc>
          <w:tcPr>
            <w:tcW w:w="3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(19,400)</w:t>
            </w:r>
          </w:p>
        </w:tc>
        <w:tc>
          <w:tcPr>
            <w:tcW w:w="3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(13,007)</w:t>
            </w:r>
          </w:p>
        </w:tc>
        <w:tc>
          <w:tcPr>
            <w:tcW w:w="320" w:type="dxa"/>
            <w:vAlign w:val="bottom"/>
          </w:tcPr>
          <w:p>
            <w:pPr>
              <w:spacing w:after="0"/>
              <w:rPr>
                <w:sz w:val="14"/>
                <w:szCs w:val="14"/>
                <w:color w:val="auto"/>
              </w:rPr>
            </w:pPr>
          </w:p>
        </w:tc>
        <w:tc>
          <w:tcPr>
            <w:tcW w:w="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(2,662)</w:t>
            </w:r>
          </w:p>
        </w:tc>
      </w:tr>
      <w:tr>
        <w:trPr>
          <w:trHeight w:val="168"/>
        </w:trPr>
        <w:tc>
          <w:tcPr>
            <w:tcW w:w="5440" w:type="dxa"/>
            <w:vAlign w:val="bottom"/>
          </w:tcPr>
          <w:p>
            <w:pPr>
              <w:spacing w:after="0"/>
              <w:rPr>
                <w:sz w:val="14"/>
                <w:szCs w:val="14"/>
                <w:color w:val="auto"/>
              </w:rPr>
            </w:pPr>
          </w:p>
        </w:tc>
        <w:tc>
          <w:tcPr>
            <w:tcW w:w="18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8"/>
        </w:trPr>
        <w:tc>
          <w:tcPr>
            <w:tcW w:w="5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borrowings on note and acceptances payable, bank</w:t>
            </w:r>
          </w:p>
        </w:tc>
        <w:tc>
          <w:tcPr>
            <w:tcW w:w="78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800,000</w:t>
            </w:r>
          </w:p>
        </w:tc>
        <w:tc>
          <w:tcPr>
            <w:tcW w:w="30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1,595,615</w:t>
            </w:r>
          </w:p>
        </w:tc>
        <w:tc>
          <w:tcPr>
            <w:tcW w:w="30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3,095,000</w:t>
            </w:r>
          </w:p>
        </w:tc>
        <w:tc>
          <w:tcPr>
            <w:tcW w:w="32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1,309,864</w:t>
            </w:r>
          </w:p>
        </w:tc>
      </w:tr>
      <w:tr>
        <w:trPr>
          <w:trHeight w:val="168"/>
        </w:trPr>
        <w:tc>
          <w:tcPr>
            <w:tcW w:w="5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Distributions</w:t>
            </w:r>
          </w:p>
        </w:tc>
        <w:tc>
          <w:tcPr>
            <w:tcW w:w="7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(146,000)</w:t>
            </w:r>
          </w:p>
        </w:tc>
        <w:tc>
          <w:tcPr>
            <w:tcW w:w="30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(21,053)</w:t>
            </w:r>
          </w:p>
        </w:tc>
      </w:tr>
      <w:tr>
        <w:trPr>
          <w:trHeight w:val="168"/>
        </w:trPr>
        <w:tc>
          <w:tcPr>
            <w:tcW w:w="5440" w:type="dxa"/>
            <w:vAlign w:val="bottom"/>
          </w:tcPr>
          <w:p>
            <w:pPr>
              <w:spacing w:after="0"/>
              <w:rPr>
                <w:sz w:val="14"/>
                <w:szCs w:val="14"/>
                <w:color w:val="auto"/>
              </w:rPr>
            </w:pPr>
          </w:p>
        </w:tc>
        <w:tc>
          <w:tcPr>
            <w:tcW w:w="18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Net cash provided by financing activities</w:t>
            </w:r>
          </w:p>
        </w:tc>
        <w:tc>
          <w:tcPr>
            <w:tcW w:w="78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654,000</w:t>
            </w:r>
          </w:p>
        </w:tc>
        <w:tc>
          <w:tcPr>
            <w:tcW w:w="30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1,595,615</w:t>
            </w:r>
          </w:p>
        </w:tc>
        <w:tc>
          <w:tcPr>
            <w:tcW w:w="30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3,095,000</w:t>
            </w:r>
          </w:p>
        </w:tc>
        <w:tc>
          <w:tcPr>
            <w:tcW w:w="32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1,288,811</w:t>
            </w:r>
          </w:p>
        </w:tc>
      </w:tr>
      <w:tr>
        <w:trPr>
          <w:trHeight w:val="168"/>
        </w:trPr>
        <w:tc>
          <w:tcPr>
            <w:tcW w:w="5440" w:type="dxa"/>
            <w:vAlign w:val="bottom"/>
          </w:tcPr>
          <w:p>
            <w:pPr>
              <w:spacing w:after="0"/>
              <w:rPr>
                <w:sz w:val="14"/>
                <w:szCs w:val="14"/>
                <w:color w:val="auto"/>
              </w:rPr>
            </w:pPr>
          </w:p>
        </w:tc>
        <w:tc>
          <w:tcPr>
            <w:tcW w:w="18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w:t>
            </w:r>
          </w:p>
        </w:tc>
        <w:tc>
          <w:tcPr>
            <w:tcW w:w="780" w:type="dxa"/>
            <w:vAlign w:val="bottom"/>
          </w:tcPr>
          <w:p>
            <w:pPr>
              <w:spacing w:after="0"/>
              <w:rPr>
                <w:sz w:val="24"/>
                <w:szCs w:val="24"/>
                <w:color w:val="auto"/>
              </w:rPr>
            </w:pP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37,254</w:t>
            </w:r>
          </w:p>
        </w:tc>
        <w:tc>
          <w:tcPr>
            <w:tcW w:w="300" w:type="dxa"/>
            <w:vAlign w:val="bottom"/>
          </w:tcPr>
          <w:p>
            <w:pPr>
              <w:spacing w:after="0"/>
              <w:rPr>
                <w:sz w:val="24"/>
                <w:szCs w:val="2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(76,812)</w:t>
            </w:r>
          </w:p>
        </w:tc>
        <w:tc>
          <w:tcPr>
            <w:tcW w:w="300" w:type="dxa"/>
            <w:vAlign w:val="bottom"/>
          </w:tcPr>
          <w:p>
            <w:pPr>
              <w:spacing w:after="0"/>
              <w:rPr>
                <w:sz w:val="24"/>
                <w:szCs w:val="2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(68,638)</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(12,302)</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beginning of period</w:t>
            </w:r>
          </w:p>
        </w:tc>
        <w:tc>
          <w:tcPr>
            <w:tcW w:w="78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64,151</w:t>
            </w:r>
          </w:p>
        </w:tc>
        <w:tc>
          <w:tcPr>
            <w:tcW w:w="30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101,405</w:t>
            </w:r>
          </w:p>
        </w:tc>
        <w:tc>
          <w:tcPr>
            <w:tcW w:w="30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101,405</w:t>
            </w:r>
          </w:p>
        </w:tc>
        <w:tc>
          <w:tcPr>
            <w:tcW w:w="32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24,593</w:t>
            </w:r>
          </w:p>
        </w:tc>
      </w:tr>
      <w:tr>
        <w:trPr>
          <w:trHeight w:val="168"/>
        </w:trPr>
        <w:tc>
          <w:tcPr>
            <w:tcW w:w="5440" w:type="dxa"/>
            <w:vAlign w:val="bottom"/>
          </w:tcPr>
          <w:p>
            <w:pPr>
              <w:spacing w:after="0"/>
              <w:rPr>
                <w:sz w:val="14"/>
                <w:szCs w:val="14"/>
                <w:color w:val="auto"/>
              </w:rPr>
            </w:pPr>
          </w:p>
        </w:tc>
        <w:tc>
          <w:tcPr>
            <w:tcW w:w="18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end of period</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101,405</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24,593</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32,767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12,291</w:t>
            </w:r>
          </w:p>
        </w:tc>
      </w:tr>
      <w:tr>
        <w:trPr>
          <w:trHeight w:val="168"/>
        </w:trPr>
        <w:tc>
          <w:tcPr>
            <w:tcW w:w="5440" w:type="dxa"/>
            <w:vAlign w:val="bottom"/>
          </w:tcPr>
          <w:p>
            <w:pPr>
              <w:spacing w:after="0"/>
              <w:rPr>
                <w:sz w:val="14"/>
                <w:szCs w:val="14"/>
                <w:color w:val="auto"/>
              </w:rPr>
            </w:pPr>
          </w:p>
        </w:tc>
        <w:tc>
          <w:tcPr>
            <w:tcW w:w="18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440" w:type="dxa"/>
            <w:vAlign w:val="bottom"/>
          </w:tcPr>
          <w:p>
            <w:pPr>
              <w:spacing w:after="0"/>
              <w:rPr>
                <w:sz w:val="20"/>
                <w:szCs w:val="20"/>
                <w:color w:val="auto"/>
              </w:rPr>
            </w:pPr>
            <w:r>
              <w:rPr>
                <w:rFonts w:ascii="Courier New" w:cs="Courier New" w:eastAsia="Courier New" w:hAnsi="Courier New"/>
                <w:sz w:val="15"/>
                <w:szCs w:val="15"/>
                <w:color w:val="auto"/>
              </w:rPr>
              <w:t>Supplemental disclosures  of cash flow  information:</w:t>
            </w: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8"/>
        </w:trPr>
        <w:tc>
          <w:tcPr>
            <w:tcW w:w="5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 paid  during the year for:</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5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133,150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236,057</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149,125</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203,942</w:t>
            </w:r>
          </w:p>
        </w:tc>
      </w:tr>
      <w:tr>
        <w:trPr>
          <w:trHeight w:val="168"/>
        </w:trPr>
        <w:tc>
          <w:tcPr>
            <w:tcW w:w="5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Income taxes</w:t>
            </w:r>
          </w:p>
        </w:tc>
        <w:tc>
          <w:tcPr>
            <w:tcW w:w="78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40,063</w:t>
            </w:r>
          </w:p>
        </w:tc>
        <w:tc>
          <w:tcPr>
            <w:tcW w:w="30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4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ectPr>
          <w:pgSz w:w="11900" w:h="16838" w:orient="portrait"/>
          <w:cols w:equalWidth="0" w:num="1">
            <w:col w:w="11540"/>
          </w:cols>
          <w:pgMar w:left="220" w:top="617" w:right="139" w:bottom="1440" w:gutter="0" w:footer="0" w:header="0"/>
        </w:sectPr>
      </w:pPr>
    </w:p>
    <w:bookmarkStart w:id="5" w:name="page6"/>
    <w:bookmarkEnd w:id="5"/>
    <w:p>
      <w:pPr>
        <w:jc w:val="center"/>
        <w:ind w:right="3149"/>
        <w:spacing w:after="0"/>
        <w:rPr>
          <w:sz w:val="20"/>
          <w:szCs w:val="20"/>
          <w:color w:val="auto"/>
        </w:rPr>
      </w:pPr>
      <w:r>
        <w:rPr>
          <w:rFonts w:ascii="Courier New" w:cs="Courier New" w:eastAsia="Courier New" w:hAnsi="Courier New"/>
          <w:sz w:val="15"/>
          <w:szCs w:val="15"/>
          <w:color w:val="auto"/>
        </w:rPr>
        <w:t>L &amp; J MARKETING, INC.</w:t>
      </w:r>
    </w:p>
    <w:p>
      <w:pPr>
        <w:jc w:val="center"/>
        <w:ind w:right="3149"/>
        <w:spacing w:after="0" w:line="237" w:lineRule="auto"/>
        <w:rPr>
          <w:sz w:val="20"/>
          <w:szCs w:val="20"/>
          <w:color w:val="auto"/>
        </w:rPr>
      </w:pPr>
      <w:r>
        <w:rPr>
          <w:rFonts w:ascii="Courier New" w:cs="Courier New" w:eastAsia="Courier New" w:hAnsi="Courier New"/>
          <w:sz w:val="15"/>
          <w:szCs w:val="15"/>
          <w:color w:val="auto"/>
        </w:rPr>
        <w:t>D/B/A ALLIANCE DISTRIBUTORS</w:t>
      </w:r>
    </w:p>
    <w:p>
      <w:pPr>
        <w:spacing w:after="0" w:line="167" w:lineRule="exact"/>
        <w:rPr>
          <w:sz w:val="20"/>
          <w:szCs w:val="20"/>
          <w:color w:val="auto"/>
        </w:rPr>
      </w:pPr>
    </w:p>
    <w:p>
      <w:pPr>
        <w:ind w:left="2270"/>
        <w:spacing w:after="0"/>
        <w:rPr>
          <w:sz w:val="20"/>
          <w:szCs w:val="20"/>
          <w:color w:val="auto"/>
        </w:rPr>
      </w:pPr>
      <w:r>
        <w:rPr>
          <w:rFonts w:ascii="Courier New" w:cs="Courier New" w:eastAsia="Courier New" w:hAnsi="Courier New"/>
          <w:sz w:val="15"/>
          <w:szCs w:val="15"/>
          <w:color w:val="auto"/>
        </w:rPr>
        <w:t>NOTES TO FINANCIAL STATEMENTS</w:t>
      </w:r>
    </w:p>
    <w:p>
      <w:pPr>
        <w:spacing w:after="0" w:line="166" w:lineRule="exact"/>
        <w:rPr>
          <w:sz w:val="20"/>
          <w:szCs w:val="20"/>
          <w:color w:val="auto"/>
        </w:rPr>
      </w:pPr>
    </w:p>
    <w:p>
      <w:pPr>
        <w:ind w:left="2370"/>
        <w:spacing w:after="0"/>
        <w:rPr>
          <w:sz w:val="20"/>
          <w:szCs w:val="20"/>
          <w:color w:val="auto"/>
        </w:rPr>
      </w:pPr>
      <w:r>
        <w:rPr>
          <w:rFonts w:ascii="Courier New" w:cs="Courier New" w:eastAsia="Courier New" w:hAnsi="Courier New"/>
          <w:sz w:val="15"/>
          <w:szCs w:val="15"/>
          <w:color w:val="auto"/>
        </w:rPr>
        <w:t>DECEMBER 31, 1996 AND 1995</w:t>
      </w:r>
    </w:p>
    <w:p>
      <w:pPr>
        <w:spacing w:after="0" w:line="335" w:lineRule="exact"/>
        <w:rPr>
          <w:sz w:val="20"/>
          <w:szCs w:val="20"/>
          <w:color w:val="auto"/>
        </w:rPr>
      </w:pPr>
    </w:p>
    <w:p>
      <w:pPr>
        <w:ind w:left="430" w:hanging="430"/>
        <w:spacing w:after="0"/>
        <w:tabs>
          <w:tab w:leader="none" w:pos="43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Nature of business:</w:t>
      </w:r>
    </w:p>
    <w:p>
      <w:pPr>
        <w:spacing w:after="0" w:line="172" w:lineRule="exact"/>
        <w:rPr>
          <w:rFonts w:ascii="Courier New" w:cs="Courier New" w:eastAsia="Courier New" w:hAnsi="Courier New"/>
          <w:sz w:val="15"/>
          <w:szCs w:val="15"/>
          <w:color w:val="auto"/>
        </w:rPr>
      </w:pPr>
    </w:p>
    <w:p>
      <w:pPr>
        <w:jc w:val="both"/>
        <w:ind w:left="430" w:right="34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located in New York, is a distributor of home entertainment and consumer electronic products. The Company grants credit primarily to retailers in the New York metropolitan area.</w:t>
      </w:r>
    </w:p>
    <w:p>
      <w:pPr>
        <w:spacing w:after="0" w:line="167"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accounting policies:</w:t>
      </w:r>
    </w:p>
    <w:p>
      <w:pPr>
        <w:spacing w:after="0" w:line="166" w:lineRule="exact"/>
        <w:rPr>
          <w:rFonts w:ascii="Courier New" w:cs="Courier New" w:eastAsia="Courier New" w:hAnsi="Courier New"/>
          <w:sz w:val="15"/>
          <w:szCs w:val="15"/>
          <w:color w:val="auto"/>
        </w:rPr>
      </w:pPr>
    </w:p>
    <w:p>
      <w:pPr>
        <w:ind w:left="870" w:hanging="433"/>
        <w:spacing w:after="0"/>
        <w:tabs>
          <w:tab w:leader="none" w:pos="87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Inventory:</w:t>
      </w:r>
    </w:p>
    <w:p>
      <w:pPr>
        <w:spacing w:after="0" w:line="172" w:lineRule="exact"/>
        <w:rPr>
          <w:rFonts w:ascii="Courier New" w:cs="Courier New" w:eastAsia="Courier New" w:hAnsi="Courier New"/>
          <w:sz w:val="15"/>
          <w:szCs w:val="15"/>
          <w:color w:val="auto"/>
        </w:rPr>
      </w:pPr>
    </w:p>
    <w:p>
      <w:pPr>
        <w:ind w:left="870" w:right="357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Inventory, consisting of finished goods, is stated at the lower of cost (first-in, first-out basis) or market.</w:t>
      </w:r>
    </w:p>
    <w:p>
      <w:pPr>
        <w:spacing w:after="0" w:line="166" w:lineRule="exact"/>
        <w:rPr>
          <w:rFonts w:ascii="Courier New" w:cs="Courier New" w:eastAsia="Courier New" w:hAnsi="Courier New"/>
          <w:sz w:val="15"/>
          <w:szCs w:val="15"/>
          <w:color w:val="auto"/>
        </w:rPr>
      </w:pPr>
    </w:p>
    <w:p>
      <w:pPr>
        <w:ind w:left="870" w:hanging="433"/>
        <w:spacing w:after="0"/>
        <w:tabs>
          <w:tab w:leader="none" w:pos="87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and equipment:</w:t>
      </w:r>
    </w:p>
    <w:p>
      <w:pPr>
        <w:spacing w:after="0" w:line="172" w:lineRule="exact"/>
        <w:rPr>
          <w:rFonts w:ascii="Courier New" w:cs="Courier New" w:eastAsia="Courier New" w:hAnsi="Courier New"/>
          <w:sz w:val="15"/>
          <w:szCs w:val="15"/>
          <w:color w:val="auto"/>
        </w:rPr>
      </w:pPr>
    </w:p>
    <w:p>
      <w:pPr>
        <w:ind w:left="870" w:right="323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Property and equipment are stated at cost and depreciation is computed by various methods over the estimated useful lives of the assets.</w:t>
      </w:r>
    </w:p>
    <w:p>
      <w:pPr>
        <w:spacing w:after="0" w:line="153" w:lineRule="exact"/>
        <w:rPr>
          <w:rFonts w:ascii="Courier New" w:cs="Courier New" w:eastAsia="Courier New" w:hAnsi="Courier New"/>
          <w:sz w:val="15"/>
          <w:szCs w:val="15"/>
          <w:color w:val="auto"/>
        </w:rPr>
      </w:pPr>
    </w:p>
    <w:p>
      <w:pPr>
        <w:ind w:left="870" w:hanging="433"/>
        <w:spacing w:after="0"/>
        <w:tabs>
          <w:tab w:leader="none" w:pos="87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2" w:lineRule="exact"/>
        <w:rPr>
          <w:rFonts w:ascii="Courier New" w:cs="Courier New" w:eastAsia="Courier New" w:hAnsi="Courier New"/>
          <w:sz w:val="15"/>
          <w:szCs w:val="15"/>
          <w:color w:val="auto"/>
        </w:rPr>
      </w:pPr>
    </w:p>
    <w:p>
      <w:pPr>
        <w:ind w:left="87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with the consent of its stockholders, has elected to have its Federal and State income taxed as an S corporation, which provides that, in lieu of corporate income taxes, the stockholders are taxed on their proportionate share of the Company's taxable income. Therefore, no provision or liability for Federal income taxes is reflected in these financial statements. New York State and New Jersey impose a minimum tax on S corporations based upon the maximum personal rate and the differential it would have paid if it were a C corporation; accordingly, any material provision for state income taxes is reflected in the financial statements. Provision for New York City income taxes is based on statutory rates.</w:t>
      </w:r>
    </w:p>
    <w:p>
      <w:pPr>
        <w:spacing w:after="0" w:line="158" w:lineRule="exact"/>
        <w:rPr>
          <w:rFonts w:ascii="Courier New" w:cs="Courier New" w:eastAsia="Courier New" w:hAnsi="Courier New"/>
          <w:sz w:val="15"/>
          <w:szCs w:val="15"/>
          <w:color w:val="auto"/>
        </w:rPr>
      </w:pPr>
    </w:p>
    <w:p>
      <w:pPr>
        <w:ind w:left="870" w:hanging="433"/>
        <w:spacing w:after="0"/>
        <w:tabs>
          <w:tab w:leader="none" w:pos="87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w:t>
      </w:r>
    </w:p>
    <w:p>
      <w:pPr>
        <w:spacing w:after="0" w:line="172" w:lineRule="exact"/>
        <w:rPr>
          <w:rFonts w:ascii="Courier New" w:cs="Courier New" w:eastAsia="Courier New" w:hAnsi="Courier New"/>
          <w:sz w:val="15"/>
          <w:szCs w:val="15"/>
          <w:color w:val="auto"/>
        </w:rPr>
      </w:pPr>
    </w:p>
    <w:p>
      <w:pPr>
        <w:ind w:left="870" w:right="367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maintains its cash accounts in two commercial banks located in New York. The cash balances are insured by the Federal Deposit Insurance Corporation (FDIC) up to $100,000 at each bank.</w:t>
      </w:r>
    </w:p>
    <w:p>
      <w:pPr>
        <w:spacing w:after="0" w:line="154" w:lineRule="exact"/>
        <w:rPr>
          <w:rFonts w:ascii="Courier New" w:cs="Courier New" w:eastAsia="Courier New" w:hAnsi="Courier New"/>
          <w:sz w:val="15"/>
          <w:szCs w:val="15"/>
          <w:color w:val="auto"/>
        </w:rPr>
      </w:pPr>
    </w:p>
    <w:p>
      <w:pPr>
        <w:ind w:left="870" w:hanging="433"/>
        <w:spacing w:after="0"/>
        <w:tabs>
          <w:tab w:leader="none" w:pos="87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Estimates:</w:t>
      </w:r>
    </w:p>
    <w:p>
      <w:pPr>
        <w:spacing w:after="0" w:line="172" w:lineRule="exact"/>
        <w:rPr>
          <w:rFonts w:ascii="Courier New" w:cs="Courier New" w:eastAsia="Courier New" w:hAnsi="Courier New"/>
          <w:sz w:val="15"/>
          <w:szCs w:val="15"/>
          <w:color w:val="auto"/>
        </w:rPr>
      </w:pPr>
    </w:p>
    <w:p>
      <w:pPr>
        <w:ind w:left="87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year. Actual results could differ from those estimates.</w:t>
      </w:r>
    </w:p>
    <w:p>
      <w:pPr>
        <w:spacing w:after="0" w:line="169" w:lineRule="exact"/>
        <w:rPr>
          <w:rFonts w:ascii="Courier New" w:cs="Courier New" w:eastAsia="Courier New" w:hAnsi="Courier New"/>
          <w:sz w:val="15"/>
          <w:szCs w:val="15"/>
          <w:color w:val="auto"/>
        </w:rPr>
      </w:pPr>
    </w:p>
    <w:p>
      <w:pPr>
        <w:ind w:left="870" w:hanging="433"/>
        <w:spacing w:after="0"/>
        <w:tabs>
          <w:tab w:leader="none" w:pos="87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Advertising costs:</w:t>
      </w:r>
    </w:p>
    <w:p>
      <w:pPr>
        <w:spacing w:after="0" w:line="172" w:lineRule="exact"/>
        <w:rPr>
          <w:rFonts w:ascii="Courier New" w:cs="Courier New" w:eastAsia="Courier New" w:hAnsi="Courier New"/>
          <w:sz w:val="15"/>
          <w:szCs w:val="15"/>
          <w:color w:val="auto"/>
        </w:rPr>
      </w:pPr>
    </w:p>
    <w:p>
      <w:pPr>
        <w:jc w:val="both"/>
        <w:ind w:left="87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Advertising costs are expensed as incurred. Advertising costs for the years ended December 31, 1996 and 1995 were approximately $92,000 and $106,000, respectively.</w:t>
      </w:r>
    </w:p>
    <w:p>
      <w:pPr>
        <w:sectPr>
          <w:pgSz w:w="11900" w:h="16838" w:orient="portrait"/>
          <w:cols w:equalWidth="0" w:num="1">
            <w:col w:w="10229"/>
          </w:cols>
          <w:pgMar w:left="230" w:top="785"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20"/>
                <w:szCs w:val="20"/>
                <w:color w:val="auto"/>
              </w:rPr>
            </w:pPr>
            <w:r>
              <w:rPr>
                <w:rFonts w:ascii="Courier New" w:cs="Courier New" w:eastAsia="Courier New" w:hAnsi="Courier New"/>
                <w:sz w:val="15"/>
                <w:szCs w:val="15"/>
                <w:color w:val="auto"/>
              </w:rPr>
              <w:t>3.   Property and equipment:</w:t>
            </w:r>
          </w:p>
        </w:tc>
        <w:tc>
          <w:tcPr>
            <w:tcW w:w="20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6"/>
        </w:trPr>
        <w:tc>
          <w:tcPr>
            <w:tcW w:w="3900" w:type="dxa"/>
            <w:vAlign w:val="bottom"/>
          </w:tcPr>
          <w:p>
            <w:pPr>
              <w:spacing w:after="0"/>
              <w:rPr>
                <w:sz w:val="24"/>
                <w:szCs w:val="24"/>
                <w:color w:val="auto"/>
              </w:rPr>
            </w:pPr>
          </w:p>
        </w:tc>
        <w:tc>
          <w:tcPr>
            <w:tcW w:w="2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1996</w:t>
            </w:r>
          </w:p>
        </w:tc>
        <w:tc>
          <w:tcPr>
            <w:tcW w:w="10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3900" w:type="dxa"/>
            <w:vAlign w:val="bottom"/>
          </w:tcPr>
          <w:p>
            <w:pPr>
              <w:spacing w:after="0"/>
              <w:rPr>
                <w:sz w:val="14"/>
                <w:szCs w:val="14"/>
                <w:color w:val="auto"/>
              </w:rPr>
            </w:pPr>
          </w:p>
        </w:tc>
        <w:tc>
          <w:tcPr>
            <w:tcW w:w="2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00" w:type="dxa"/>
            <w:vAlign w:val="bottom"/>
          </w:tcPr>
          <w:p>
            <w:pPr>
              <w:ind w:left="440"/>
              <w:spacing w:after="0"/>
              <w:rPr>
                <w:sz w:val="20"/>
                <w:szCs w:val="20"/>
                <w:color w:val="auto"/>
              </w:rPr>
            </w:pPr>
            <w:r>
              <w:rPr>
                <w:rFonts w:ascii="Courier New" w:cs="Courier New" w:eastAsia="Courier New" w:hAnsi="Courier New"/>
                <w:sz w:val="15"/>
                <w:szCs w:val="15"/>
                <w:color w:val="auto"/>
              </w:rPr>
              <w:t>Auto and trucks</w:t>
            </w:r>
          </w:p>
        </w:tc>
        <w:tc>
          <w:tcPr>
            <w:tcW w:w="2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$ 42,278</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$ 42,278</w:t>
            </w:r>
          </w:p>
        </w:tc>
      </w:tr>
      <w:tr>
        <w:trPr>
          <w:trHeight w:val="168"/>
        </w:trPr>
        <w:tc>
          <w:tcPr>
            <w:tcW w:w="3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Furniture and fixtures</w:t>
            </w:r>
          </w:p>
        </w:tc>
        <w:tc>
          <w:tcPr>
            <w:tcW w:w="2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90,258</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87,481</w:t>
            </w:r>
          </w:p>
        </w:tc>
      </w:tr>
      <w:tr>
        <w:trPr>
          <w:trHeight w:val="168"/>
        </w:trPr>
        <w:tc>
          <w:tcPr>
            <w:tcW w:w="3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Computer equipment</w:t>
            </w:r>
          </w:p>
        </w:tc>
        <w:tc>
          <w:tcPr>
            <w:tcW w:w="2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69,784</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57,011</w:t>
            </w:r>
          </w:p>
        </w:tc>
      </w:tr>
      <w:tr>
        <w:trPr>
          <w:trHeight w:val="168"/>
        </w:trPr>
        <w:tc>
          <w:tcPr>
            <w:tcW w:w="3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Leasehold improvements</w:t>
            </w:r>
          </w:p>
        </w:tc>
        <w:tc>
          <w:tcPr>
            <w:tcW w:w="2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53,652</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49,802</w:t>
            </w:r>
          </w:p>
        </w:tc>
      </w:tr>
      <w:tr>
        <w:trPr>
          <w:trHeight w:val="168"/>
        </w:trPr>
        <w:tc>
          <w:tcPr>
            <w:tcW w:w="3900" w:type="dxa"/>
            <w:vAlign w:val="bottom"/>
          </w:tcPr>
          <w:p>
            <w:pPr>
              <w:spacing w:after="0"/>
              <w:rPr>
                <w:sz w:val="14"/>
                <w:szCs w:val="14"/>
                <w:color w:val="auto"/>
              </w:rPr>
            </w:pPr>
          </w:p>
        </w:tc>
        <w:tc>
          <w:tcPr>
            <w:tcW w:w="2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rPr>
                <w:sz w:val="14"/>
                <w:szCs w:val="14"/>
                <w:color w:val="auto"/>
              </w:rPr>
            </w:pPr>
          </w:p>
        </w:tc>
        <w:tc>
          <w:tcPr>
            <w:tcW w:w="2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255,972</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236,572</w:t>
            </w:r>
          </w:p>
        </w:tc>
      </w:tr>
      <w:tr>
        <w:trPr>
          <w:trHeight w:val="336"/>
        </w:trPr>
        <w:tc>
          <w:tcPr>
            <w:tcW w:w="3900" w:type="dxa"/>
            <w:vAlign w:val="bottom"/>
          </w:tcPr>
          <w:p>
            <w:pPr>
              <w:ind w:left="440"/>
              <w:spacing w:after="0"/>
              <w:rPr>
                <w:sz w:val="20"/>
                <w:szCs w:val="20"/>
                <w:color w:val="auto"/>
              </w:rPr>
            </w:pPr>
            <w:r>
              <w:rPr>
                <w:rFonts w:ascii="Courier New" w:cs="Courier New" w:eastAsia="Courier New" w:hAnsi="Courier New"/>
                <w:sz w:val="15"/>
                <w:szCs w:val="15"/>
                <w:color w:val="auto"/>
              </w:rPr>
              <w:t>Less accumulated depreciation</w:t>
            </w:r>
          </w:p>
        </w:tc>
        <w:tc>
          <w:tcPr>
            <w:tcW w:w="2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150,423</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116,968</w:t>
            </w:r>
          </w:p>
        </w:tc>
      </w:tr>
      <w:tr>
        <w:trPr>
          <w:trHeight w:val="168"/>
        </w:trPr>
        <w:tc>
          <w:tcPr>
            <w:tcW w:w="3900" w:type="dxa"/>
            <w:vAlign w:val="bottom"/>
          </w:tcPr>
          <w:p>
            <w:pPr>
              <w:spacing w:after="0"/>
              <w:rPr>
                <w:sz w:val="14"/>
                <w:szCs w:val="14"/>
                <w:color w:val="auto"/>
              </w:rPr>
            </w:pPr>
          </w:p>
        </w:tc>
        <w:tc>
          <w:tcPr>
            <w:tcW w:w="2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rPr>
                <w:sz w:val="14"/>
                <w:szCs w:val="14"/>
                <w:color w:val="auto"/>
              </w:rPr>
            </w:pPr>
          </w:p>
        </w:tc>
        <w:tc>
          <w:tcPr>
            <w:tcW w:w="2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$105,549</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$119,604</w:t>
            </w:r>
          </w:p>
        </w:tc>
      </w:tr>
      <w:tr>
        <w:trPr>
          <w:trHeight w:val="168"/>
        </w:trPr>
        <w:tc>
          <w:tcPr>
            <w:tcW w:w="3900" w:type="dxa"/>
            <w:vAlign w:val="bottom"/>
          </w:tcPr>
          <w:p>
            <w:pPr>
              <w:spacing w:after="0"/>
              <w:rPr>
                <w:sz w:val="14"/>
                <w:szCs w:val="14"/>
                <w:color w:val="auto"/>
              </w:rPr>
            </w:pPr>
          </w:p>
        </w:tc>
        <w:tc>
          <w:tcPr>
            <w:tcW w:w="2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440" w:hanging="430"/>
        <w:spacing w:after="0"/>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Note and acceptances payable, bank:</w:t>
      </w:r>
    </w:p>
    <w:p>
      <w:pPr>
        <w:spacing w:after="0" w:line="172" w:lineRule="exact"/>
        <w:rPr>
          <w:rFonts w:ascii="Courier New" w:cs="Courier New" w:eastAsia="Courier New" w:hAnsi="Courier New"/>
          <w:sz w:val="15"/>
          <w:szCs w:val="15"/>
          <w:color w:val="auto"/>
        </w:rPr>
      </w:pPr>
    </w:p>
    <w:p>
      <w:pPr>
        <w:ind w:left="440" w:right="323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currently has available a $5,000,000 line of credit with a bank maturing June 30, 1997. Interest on direct borrowings is charged at 1% over prime. The Company has pledged, as collateral, all Company assets, as defined, in addition to personal guarantees of the stockholders.</w:t>
      </w:r>
    </w:p>
    <w:p>
      <w:pPr>
        <w:spacing w:after="0" w:line="164" w:lineRule="exact"/>
        <w:rPr>
          <w:rFonts w:ascii="Courier New" w:cs="Courier New" w:eastAsia="Courier New" w:hAnsi="Courier New"/>
          <w:sz w:val="15"/>
          <w:szCs w:val="15"/>
          <w:color w:val="auto"/>
        </w:rPr>
      </w:pPr>
    </w:p>
    <w:p>
      <w:pPr>
        <w:ind w:left="44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line of credit agreement includes covenants which require the Company to maintain, among other things, certain working capital and net worth relationships. The Company is in compliance with all of the loan covenants as of December 31, 1996.</w:t>
      </w:r>
    </w:p>
    <w:p>
      <w:pPr>
        <w:spacing w:after="0" w:line="168"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Pension plan:</w:t>
      </w:r>
    </w:p>
    <w:p>
      <w:pPr>
        <w:spacing w:after="0" w:line="172" w:lineRule="exact"/>
        <w:rPr>
          <w:rFonts w:ascii="Courier New" w:cs="Courier New" w:eastAsia="Courier New" w:hAnsi="Courier New"/>
          <w:sz w:val="15"/>
          <w:szCs w:val="15"/>
          <w:color w:val="auto"/>
        </w:rPr>
      </w:pPr>
    </w:p>
    <w:p>
      <w:pPr>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 profit-sharing plan which covers all employees who meet the eligibility requirements based on age and years of service. Contributions to the plan are made at the discretion of the Company's principals. For the years ended December 31, 1996 and 1995, pension expense was $0 and $34,810, respectively.</w:t>
      </w:r>
    </w:p>
    <w:p>
      <w:pPr>
        <w:spacing w:after="0" w:line="167"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 and contingency:</w:t>
      </w:r>
    </w:p>
    <w:p>
      <w:pPr>
        <w:spacing w:after="0" w:line="173" w:lineRule="exact"/>
        <w:rPr>
          <w:sz w:val="20"/>
          <w:szCs w:val="20"/>
          <w:color w:val="auto"/>
        </w:rPr>
      </w:pPr>
    </w:p>
    <w:p>
      <w:pPr>
        <w:ind w:left="880" w:right="3319" w:hanging="433"/>
        <w:spacing w:after="0" w:line="261" w:lineRule="auto"/>
        <w:tabs>
          <w:tab w:leader="none" w:pos="8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 obligated to make minimum rental payments under operating leases for showroom, office and warehouse space as follows:</w:t>
      </w:r>
    </w:p>
    <w:p>
      <w:pPr>
        <w:spacing w:after="0" w:line="153" w:lineRule="exact"/>
        <w:rPr>
          <w:sz w:val="20"/>
          <w:szCs w:val="20"/>
          <w:color w:val="auto"/>
        </w:rPr>
      </w:pPr>
    </w:p>
    <w:tbl>
      <w:tblPr>
        <w:tblLayout w:type="fixed"/>
        <w:tblInd w:w="1320" w:type="dxa"/>
        <w:tblCellMar>
          <w:top w:w="0" w:type="dxa"/>
          <w:left w:w="0" w:type="dxa"/>
          <w:bottom w:w="0" w:type="dxa"/>
          <w:right w:w="0" w:type="dxa"/>
        </w:tblCellMar>
      </w:tblPr>
      <w:tr>
        <w:trPr>
          <w:trHeight w:val="170"/>
        </w:trPr>
        <w:tc>
          <w:tcPr>
            <w:tcW w:w="2840" w:type="dxa"/>
            <w:vAlign w:val="bottom"/>
          </w:tcPr>
          <w:p>
            <w:pPr>
              <w:spacing w:after="0"/>
              <w:rPr>
                <w:sz w:val="20"/>
                <w:szCs w:val="20"/>
                <w:color w:val="auto"/>
              </w:rPr>
            </w:pPr>
            <w:r>
              <w:rPr>
                <w:rFonts w:ascii="Courier New" w:cs="Courier New" w:eastAsia="Courier New" w:hAnsi="Courier New"/>
                <w:sz w:val="15"/>
                <w:szCs w:val="15"/>
                <w:color w:val="auto"/>
              </w:rPr>
              <w:t>Years ending December 31, 1997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$ 96,000</w:t>
            </w:r>
          </w:p>
        </w:tc>
      </w:tr>
    </w:tbl>
    <w:p>
      <w:pPr>
        <w:spacing w:after="0" w:line="166" w:lineRule="exact"/>
        <w:rPr>
          <w:sz w:val="20"/>
          <w:szCs w:val="20"/>
          <w:color w:val="auto"/>
        </w:rPr>
      </w:pPr>
    </w:p>
    <w:p>
      <w:pPr>
        <w:ind w:left="3600"/>
        <w:spacing w:after="0"/>
        <w:tabs>
          <w:tab w:leader="none" w:pos="454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96,000</w:t>
      </w:r>
    </w:p>
    <w:p>
      <w:pPr>
        <w:spacing w:after="0" w:line="166" w:lineRule="exact"/>
        <w:rPr>
          <w:sz w:val="20"/>
          <w:szCs w:val="20"/>
          <w:color w:val="auto"/>
        </w:rPr>
      </w:pPr>
    </w:p>
    <w:p>
      <w:pPr>
        <w:ind w:left="3600"/>
        <w:spacing w:after="0"/>
        <w:tabs>
          <w:tab w:leader="none" w:pos="4540"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96,000</w:t>
      </w:r>
    </w:p>
    <w:p>
      <w:pPr>
        <w:spacing w:after="0" w:line="166" w:lineRule="exact"/>
        <w:rPr>
          <w:sz w:val="20"/>
          <w:szCs w:val="20"/>
          <w:color w:val="auto"/>
        </w:rPr>
      </w:pPr>
    </w:p>
    <w:p>
      <w:pPr>
        <w:ind w:left="3600"/>
        <w:spacing w:after="0"/>
        <w:tabs>
          <w:tab w:leader="none" w:pos="454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96,000</w:t>
      </w:r>
    </w:p>
    <w:p>
      <w:pPr>
        <w:spacing w:after="0" w:line="166" w:lineRule="exact"/>
        <w:rPr>
          <w:sz w:val="20"/>
          <w:szCs w:val="20"/>
          <w:color w:val="auto"/>
        </w:rPr>
      </w:pPr>
    </w:p>
    <w:p>
      <w:pPr>
        <w:ind w:left="3600"/>
        <w:spacing w:after="0"/>
        <w:tabs>
          <w:tab w:leader="none" w:pos="4540" w:val="left"/>
        </w:tabs>
        <w:rPr>
          <w:sz w:val="20"/>
          <w:szCs w:val="20"/>
          <w:color w:val="auto"/>
        </w:rPr>
      </w:pP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56,000</w:t>
      </w:r>
    </w:p>
    <w:p>
      <w:pPr>
        <w:spacing w:after="0" w:line="173" w:lineRule="exact"/>
        <w:rPr>
          <w:sz w:val="20"/>
          <w:szCs w:val="20"/>
          <w:color w:val="auto"/>
        </w:rPr>
      </w:pPr>
    </w:p>
    <w:p>
      <w:pPr>
        <w:ind w:left="880" w:right="3579"/>
        <w:spacing w:after="0" w:line="235" w:lineRule="auto"/>
        <w:rPr>
          <w:sz w:val="20"/>
          <w:szCs w:val="20"/>
          <w:color w:val="auto"/>
        </w:rPr>
      </w:pPr>
      <w:r>
        <w:rPr>
          <w:rFonts w:ascii="Courier New" w:cs="Courier New" w:eastAsia="Courier New" w:hAnsi="Courier New"/>
          <w:sz w:val="15"/>
          <w:szCs w:val="15"/>
          <w:color w:val="auto"/>
        </w:rPr>
        <w:t>The leases provide for payment of real estate taxes and other operating expenses. Rent and occupancy expense for the years ended December 31, 1996 and 1995 was approximately $96,000 and $102,000, respectively.</w:t>
      </w:r>
    </w:p>
    <w:p>
      <w:pPr>
        <w:spacing w:after="0" w:line="175" w:lineRule="exact"/>
        <w:rPr>
          <w:sz w:val="20"/>
          <w:szCs w:val="20"/>
          <w:color w:val="auto"/>
        </w:rPr>
      </w:pPr>
    </w:p>
    <w:p>
      <w:pPr>
        <w:ind w:left="880" w:right="4019" w:hanging="433"/>
        <w:spacing w:after="0" w:line="234" w:lineRule="auto"/>
        <w:tabs>
          <w:tab w:leader="none" w:pos="88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contingently liable for a letter of credit for approximately $228,000 expiring April 30, 1997.</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Major supplier:</w:t>
      </w:r>
    </w:p>
    <w:p>
      <w:pPr>
        <w:spacing w:after="0" w:line="172" w:lineRule="exact"/>
        <w:rPr>
          <w:rFonts w:ascii="Courier New" w:cs="Courier New" w:eastAsia="Courier New" w:hAnsi="Courier New"/>
          <w:sz w:val="15"/>
          <w:szCs w:val="15"/>
          <w:color w:val="auto"/>
        </w:rPr>
      </w:pPr>
    </w:p>
    <w:p>
      <w:pPr>
        <w:jc w:val="both"/>
        <w:ind w:left="440" w:right="339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For the year ended December 31, 1996, the Company purchased approximately 24% of its merchandise from one supplier. Included in accounts payable at December 31, 1996 was approximately $1,439,000 due to this supplier.</w:t>
      </w:r>
    </w:p>
    <w:p>
      <w:pPr>
        <w:spacing w:after="0" w:line="161" w:lineRule="exact"/>
        <w:rPr>
          <w:rFonts w:ascii="Courier New" w:cs="Courier New" w:eastAsia="Courier New" w:hAnsi="Courier New"/>
          <w:sz w:val="15"/>
          <w:szCs w:val="15"/>
          <w:color w:val="auto"/>
        </w:rPr>
      </w:pPr>
    </w:p>
    <w:p>
      <w:pPr>
        <w:ind w:left="4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purchased approximately 12% of its merchandise from a different supplier during 1995 and the amount due on these purchases was approximately $282,000 at December 31, 1995.</w:t>
      </w:r>
    </w:p>
    <w:p>
      <w:pPr>
        <w:sectPr>
          <w:pgSz w:w="11900" w:h="16838" w:orient="portrait"/>
          <w:cols w:equalWidth="0" w:num="1">
            <w:col w:w="10239"/>
          </w:cols>
          <w:pgMar w:left="220" w:top="785" w:right="1440" w:bottom="1440" w:gutter="0" w:footer="0" w:header="0"/>
        </w:sectPr>
      </w:pPr>
    </w:p>
    <w:bookmarkStart w:id="7" w:name="page8"/>
    <w:bookmarkEnd w:id="7"/>
    <w:p>
      <w:pPr>
        <w:jc w:val="center"/>
        <w:ind w:right="3239"/>
        <w:spacing w:after="0"/>
        <w:rPr>
          <w:sz w:val="20"/>
          <w:szCs w:val="20"/>
          <w:color w:val="auto"/>
        </w:rPr>
      </w:pPr>
      <w:r>
        <w:rPr>
          <w:rFonts w:ascii="Courier New" w:cs="Courier New" w:eastAsia="Courier New" w:hAnsi="Courier New"/>
          <w:sz w:val="15"/>
          <w:szCs w:val="15"/>
          <w:color w:val="auto"/>
        </w:rPr>
        <w:t>Unaudited Pro Forma Consolidated Financial Information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following unaudited pro forma consolidated statement of operations, for the year ended October 31, 1997, including the note thereto, give effect to the acquisitions of GameTek (UK) Limited ("GameTek"), Alternative Reality Technologies, Inc. ("ART"), Inventory Management Systems Inc. ("IMSI"), Creative Alliance Group, Inc. ("CAG"), and L &amp; J Marketing, Inc. D/B/A Alliance Distributors ("Alliance"), by Take-Two Interactive Software, Inc. and subsidiaries (the "Company") as if the acquisitions had occurred as of November 1, 1996.</w:t>
      </w:r>
    </w:p>
    <w:p>
      <w:pPr>
        <w:spacing w:after="0" w:line="177"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On July 31, 1997, the Company acquired all the outstanding stock of IMSI and CAG. IMSI and CAG are engaged in the wholesale distribution of interactive software games. To effect the acquisition, all of the outstanding shares of common stock of each of IMSI and CAG were exchanged for 900,000 shares of restricted common stock of the Company. The acquisition has been accounted for as a pooling of interests in accordance with APB No. 16 and accordingly, the Company's financial statements for the year ended October 31, 1997, have been restated to include the results of operations of IMSI and CAG.</w:t>
      </w:r>
    </w:p>
    <w:p>
      <w:pPr>
        <w:spacing w:after="0" w:line="16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All other acquisitions were accounted for under purchase accounting. As a result, the assets and liabilities of the acquired businesses are adjusted from their historical amount to their estimated fair value. Purchase accounting adjustments have been preliminarily estimated by the Company's management based upon available information and are believed by management to be reasonable. There can be no assurance, however, that the final purchase accounting adjustments that will ultimately be determined by the Company's management will not differ from these estimates.</w:t>
      </w:r>
    </w:p>
    <w:p>
      <w:pPr>
        <w:spacing w:after="0" w:line="177"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unaudited pro forma consolidated statement of operations for the year ended October 31, 1997 has been prepared based on the audited historical consolidated statement of operations of the Company for the year ended October 31, 1997 which includes Take-Two, Mission, IMSI, CAG and GameTek/ART from July 29, 1997, the date of its acquisition; the unaudited historical statement of operations of GameTek for the period from November 1, 1996 to July 28, 1997; the historical statement of operations for ART, prior to its acquisition, is immaterial and has not been included in the unaudited pro forma consolidated statement of operations; and the unaudited historical statement of operations of Alliance for the period from October 1, 1996 to September 30, 1997.</w:t>
      </w:r>
    </w:p>
    <w:p>
      <w:pPr>
        <w:spacing w:after="0" w:line="16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unaudited pro forma consolidated financial information presented for informational purposes only, is not necessarily indicative of the actual results of operations of the Company that would have been reported if the acquisitions of GameTek, IMSI, CAG, and Alliance had occurred as of November 1, 1996, nor does such information purport to indicate results of future operations or financial condition. In the opinion of management, all adjustments necessary to present fairly such pro forma financial information have been made to the financial statements, and are reflected in the accompanying notes. The unaudited pro forma consolidated financial information should be read in conjunction with the Company's Annual Report on Form 10-KSB and with the financial statements included in this filing.</w:t>
      </w:r>
    </w:p>
    <w:p>
      <w:pPr>
        <w:sectPr>
          <w:pgSz w:w="11900" w:h="16838" w:orient="portrait"/>
          <w:cols w:equalWidth="0" w:num="1">
            <w:col w:w="10239"/>
          </w:cols>
          <w:pgMar w:left="220" w:top="785"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Historical</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Pro Forma</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900" w:type="dxa"/>
            <w:vAlign w:val="bottom"/>
          </w:tcPr>
          <w:p>
            <w:pPr>
              <w:spacing w:after="0"/>
              <w:rPr>
                <w:sz w:val="14"/>
                <w:szCs w:val="14"/>
                <w:color w:val="auto"/>
              </w:rPr>
            </w:pPr>
          </w:p>
        </w:tc>
        <w:tc>
          <w:tcPr>
            <w:tcW w:w="1760" w:type="dxa"/>
            <w:vAlign w:val="bottom"/>
            <w:gridSpan w:val="2"/>
          </w:tcPr>
          <w:p>
            <w:pPr>
              <w:ind w:left="480"/>
              <w:spacing w:after="0"/>
              <w:rPr>
                <w:sz w:val="20"/>
                <w:szCs w:val="20"/>
                <w:color w:val="auto"/>
              </w:rPr>
            </w:pPr>
            <w:r>
              <w:rPr>
                <w:rFonts w:ascii="Courier New" w:cs="Courier New" w:eastAsia="Courier New" w:hAnsi="Courier New"/>
                <w:sz w:val="6"/>
                <w:szCs w:val="6"/>
                <w:color w:val="auto"/>
                <w:w w:val="79"/>
              </w:rPr>
              <w:t>--------------------------------------------</w:t>
            </w: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94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Company(1)</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GameTek(2)</w:t>
            </w:r>
          </w:p>
        </w:tc>
        <w:tc>
          <w:tcPr>
            <w:tcW w:w="200" w:type="dxa"/>
            <w:vAlign w:val="bottom"/>
          </w:tcPr>
          <w:p>
            <w:pPr>
              <w:spacing w:after="0"/>
              <w:rPr>
                <w:sz w:val="14"/>
                <w:szCs w:val="14"/>
                <w:color w:val="auto"/>
              </w:rPr>
            </w:pP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Alliance(3)</w:t>
            </w:r>
          </w:p>
        </w:tc>
        <w:tc>
          <w:tcPr>
            <w:tcW w:w="18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Adjustments</w:t>
            </w:r>
          </w:p>
        </w:tc>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As adjusted</w:t>
            </w:r>
          </w:p>
        </w:tc>
      </w:tr>
      <w:tr>
        <w:trPr>
          <w:trHeight w:val="168"/>
        </w:trPr>
        <w:tc>
          <w:tcPr>
            <w:tcW w:w="3900" w:type="dxa"/>
            <w:vAlign w:val="bottom"/>
          </w:tcPr>
          <w:p>
            <w:pPr>
              <w:spacing w:after="0"/>
              <w:rPr>
                <w:sz w:val="14"/>
                <w:szCs w:val="14"/>
                <w:color w:val="auto"/>
              </w:rPr>
            </w:pPr>
          </w:p>
        </w:tc>
        <w:tc>
          <w:tcPr>
            <w:tcW w:w="17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580" w:type="dxa"/>
            <w:vAlign w:val="bottom"/>
          </w:tcPr>
          <w:p>
            <w:pPr>
              <w:ind w:left="480"/>
              <w:spacing w:after="0"/>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19,014,083</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3,081,054</w:t>
            </w:r>
          </w:p>
        </w:tc>
        <w:tc>
          <w:tcPr>
            <w:tcW w:w="13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$ 29,143,311</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(95,110)(4)</w:t>
            </w:r>
          </w:p>
        </w:tc>
        <w:tc>
          <w:tcPr>
            <w:tcW w:w="11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4"/>
              </w:rPr>
              <w:t>$ 51,143,338</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w:t>
            </w:r>
          </w:p>
        </w:tc>
        <w:tc>
          <w:tcPr>
            <w:tcW w:w="5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12,459,189</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3,727,094</w:t>
            </w:r>
          </w:p>
        </w:tc>
        <w:tc>
          <w:tcPr>
            <w:tcW w:w="200" w:type="dxa"/>
            <w:vAlign w:val="bottom"/>
          </w:tcPr>
          <w:p>
            <w:pPr>
              <w:spacing w:after="0"/>
              <w:rPr>
                <w:sz w:val="14"/>
                <w:szCs w:val="14"/>
                <w:color w:val="auto"/>
              </w:rPr>
            </w:pP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26,142,345</w:t>
            </w:r>
          </w:p>
        </w:tc>
        <w:tc>
          <w:tcPr>
            <w:tcW w:w="360" w:type="dxa"/>
            <w:vAlign w:val="bottom"/>
          </w:tcPr>
          <w:p>
            <w:pPr>
              <w:spacing w:after="0"/>
              <w:rPr>
                <w:sz w:val="14"/>
                <w:szCs w:val="14"/>
                <w:color w:val="auto"/>
              </w:rPr>
            </w:pP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(95,110)(4)</w:t>
            </w:r>
          </w:p>
        </w:tc>
        <w:tc>
          <w:tcPr>
            <w:tcW w:w="12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42,233,518</w:t>
            </w:r>
          </w:p>
        </w:tc>
      </w:tr>
      <w:tr>
        <w:trPr>
          <w:trHeight w:val="168"/>
        </w:trPr>
        <w:tc>
          <w:tcPr>
            <w:tcW w:w="3900" w:type="dxa"/>
            <w:vAlign w:val="bottom"/>
          </w:tcPr>
          <w:p>
            <w:pPr>
              <w:spacing w:after="0"/>
              <w:rPr>
                <w:sz w:val="14"/>
                <w:szCs w:val="14"/>
                <w:color w:val="auto"/>
              </w:rPr>
            </w:pPr>
          </w:p>
        </w:tc>
        <w:tc>
          <w:tcPr>
            <w:tcW w:w="17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39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Gross profit</w:t>
            </w:r>
          </w:p>
        </w:tc>
        <w:tc>
          <w:tcPr>
            <w:tcW w:w="5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6,554,894</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(646,040)</w:t>
            </w:r>
          </w:p>
        </w:tc>
        <w:tc>
          <w:tcPr>
            <w:tcW w:w="200" w:type="dxa"/>
            <w:vAlign w:val="bottom"/>
          </w:tcPr>
          <w:p>
            <w:pPr>
              <w:spacing w:after="0"/>
              <w:rPr>
                <w:sz w:val="14"/>
                <w:szCs w:val="14"/>
                <w:color w:val="auto"/>
              </w:rPr>
            </w:pP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3,000,966</w:t>
            </w:r>
          </w:p>
        </w:tc>
        <w:tc>
          <w:tcPr>
            <w:tcW w:w="360" w:type="dxa"/>
            <w:vAlign w:val="bottom"/>
          </w:tcPr>
          <w:p>
            <w:pPr>
              <w:spacing w:after="0"/>
              <w:rPr>
                <w:sz w:val="14"/>
                <w:szCs w:val="14"/>
                <w:color w:val="auto"/>
              </w:rPr>
            </w:pPr>
          </w:p>
        </w:tc>
        <w:tc>
          <w:tcPr>
            <w:tcW w:w="14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8,909,820</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39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5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1,248,258</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1,248,258</w:t>
            </w:r>
          </w:p>
        </w:tc>
      </w:tr>
      <w:tr>
        <w:trPr>
          <w:trHeight w:val="168"/>
        </w:trPr>
        <w:tc>
          <w:tcPr>
            <w:tcW w:w="39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Selling and marketing</w:t>
            </w:r>
          </w:p>
        </w:tc>
        <w:tc>
          <w:tcPr>
            <w:tcW w:w="5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4,203,984</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736,377</w:t>
            </w:r>
          </w:p>
        </w:tc>
        <w:tc>
          <w:tcPr>
            <w:tcW w:w="200" w:type="dxa"/>
            <w:vAlign w:val="bottom"/>
          </w:tcPr>
          <w:p>
            <w:pPr>
              <w:spacing w:after="0"/>
              <w:rPr>
                <w:sz w:val="14"/>
                <w:szCs w:val="14"/>
                <w:color w:val="auto"/>
              </w:rPr>
            </w:pP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1,507,753</w:t>
            </w:r>
          </w:p>
        </w:tc>
        <w:tc>
          <w:tcPr>
            <w:tcW w:w="360" w:type="dxa"/>
            <w:vAlign w:val="bottom"/>
          </w:tcPr>
          <w:p>
            <w:pPr>
              <w:spacing w:after="0"/>
              <w:rPr>
                <w:sz w:val="14"/>
                <w:szCs w:val="14"/>
                <w:color w:val="auto"/>
              </w:rPr>
            </w:pP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84,431(7)</w:t>
            </w:r>
          </w:p>
        </w:tc>
        <w:tc>
          <w:tcPr>
            <w:tcW w:w="12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6,532,545</w:t>
            </w:r>
          </w:p>
        </w:tc>
      </w:tr>
      <w:tr>
        <w:trPr>
          <w:trHeight w:val="168"/>
        </w:trPr>
        <w:tc>
          <w:tcPr>
            <w:tcW w:w="39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5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3,385,481</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2,539,249</w:t>
            </w:r>
          </w:p>
        </w:tc>
        <w:tc>
          <w:tcPr>
            <w:tcW w:w="200" w:type="dxa"/>
            <w:vAlign w:val="bottom"/>
          </w:tcPr>
          <w:p>
            <w:pPr>
              <w:spacing w:after="0"/>
              <w:rPr>
                <w:sz w:val="14"/>
                <w:szCs w:val="14"/>
                <w:color w:val="auto"/>
              </w:rPr>
            </w:pP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1,040,920</w:t>
            </w:r>
          </w:p>
        </w:tc>
        <w:tc>
          <w:tcPr>
            <w:tcW w:w="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6,965,650</w:t>
            </w:r>
          </w:p>
        </w:tc>
      </w:tr>
      <w:tr>
        <w:trPr>
          <w:trHeight w:val="168"/>
        </w:trPr>
        <w:tc>
          <w:tcPr>
            <w:tcW w:w="39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5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844,221</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58,627</w:t>
            </w:r>
          </w:p>
        </w:tc>
        <w:tc>
          <w:tcPr>
            <w:tcW w:w="200" w:type="dxa"/>
            <w:vAlign w:val="bottom"/>
          </w:tcPr>
          <w:p>
            <w:pPr>
              <w:spacing w:after="0"/>
              <w:rPr>
                <w:sz w:val="14"/>
                <w:szCs w:val="14"/>
                <w:color w:val="auto"/>
              </w:rPr>
            </w:pP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27,980</w:t>
            </w:r>
          </w:p>
        </w:tc>
        <w:tc>
          <w:tcPr>
            <w:tcW w:w="360" w:type="dxa"/>
            <w:vAlign w:val="bottom"/>
          </w:tcPr>
          <w:p>
            <w:pPr>
              <w:spacing w:after="0"/>
              <w:rPr>
                <w:sz w:val="14"/>
                <w:szCs w:val="14"/>
                <w:color w:val="auto"/>
              </w:rPr>
            </w:pP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283,024(5)</w:t>
            </w:r>
          </w:p>
        </w:tc>
        <w:tc>
          <w:tcPr>
            <w:tcW w:w="12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1,414,664</w:t>
            </w:r>
          </w:p>
        </w:tc>
      </w:tr>
      <w:tr>
        <w:trPr>
          <w:trHeight w:val="168"/>
        </w:trPr>
        <w:tc>
          <w:tcPr>
            <w:tcW w:w="3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200,812(6)</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900" w:type="dxa"/>
            <w:vAlign w:val="bottom"/>
          </w:tcPr>
          <w:p>
            <w:pPr>
              <w:spacing w:after="0"/>
              <w:rPr>
                <w:sz w:val="14"/>
                <w:szCs w:val="14"/>
                <w:color w:val="auto"/>
              </w:rPr>
            </w:pPr>
          </w:p>
        </w:tc>
        <w:tc>
          <w:tcPr>
            <w:tcW w:w="17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39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operating expenses</w:t>
            </w:r>
          </w:p>
        </w:tc>
        <w:tc>
          <w:tcPr>
            <w:tcW w:w="5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9,681,944</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3,334,253</w:t>
            </w:r>
          </w:p>
        </w:tc>
        <w:tc>
          <w:tcPr>
            <w:tcW w:w="200" w:type="dxa"/>
            <w:vAlign w:val="bottom"/>
          </w:tcPr>
          <w:p>
            <w:pPr>
              <w:spacing w:after="0"/>
              <w:rPr>
                <w:sz w:val="14"/>
                <w:szCs w:val="14"/>
                <w:color w:val="auto"/>
              </w:rPr>
            </w:pP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2,576,653</w:t>
            </w:r>
          </w:p>
        </w:tc>
        <w:tc>
          <w:tcPr>
            <w:tcW w:w="360" w:type="dxa"/>
            <w:vAlign w:val="bottom"/>
          </w:tcPr>
          <w:p>
            <w:pPr>
              <w:spacing w:after="0"/>
              <w:rPr>
                <w:sz w:val="14"/>
                <w:szCs w:val="14"/>
                <w:color w:val="auto"/>
              </w:rPr>
            </w:pPr>
          </w:p>
        </w:tc>
        <w:tc>
          <w:tcPr>
            <w:tcW w:w="14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568,267</w:t>
            </w:r>
          </w:p>
        </w:tc>
        <w:tc>
          <w:tcPr>
            <w:tcW w:w="12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16,161,117</w:t>
            </w:r>
          </w:p>
        </w:tc>
      </w:tr>
      <w:tr>
        <w:trPr>
          <w:trHeight w:val="336"/>
        </w:trPr>
        <w:tc>
          <w:tcPr>
            <w:tcW w:w="3900" w:type="dxa"/>
            <w:vAlign w:val="bottom"/>
          </w:tcPr>
          <w:p>
            <w:pPr>
              <w:ind w:left="540"/>
              <w:spacing w:after="0"/>
              <w:rPr>
                <w:sz w:val="20"/>
                <w:szCs w:val="20"/>
                <w:color w:val="auto"/>
              </w:rPr>
            </w:pPr>
            <w:r>
              <w:rPr>
                <w:rFonts w:ascii="Courier New" w:cs="Courier New" w:eastAsia="Courier New" w:hAnsi="Courier New"/>
                <w:sz w:val="15"/>
                <w:szCs w:val="15"/>
                <w:color w:val="auto"/>
              </w:rPr>
              <w:t>Income (loss) from operations</w:t>
            </w:r>
          </w:p>
        </w:tc>
        <w:tc>
          <w:tcPr>
            <w:tcW w:w="580" w:type="dxa"/>
            <w:vAlign w:val="bottom"/>
          </w:tcPr>
          <w:p>
            <w:pPr>
              <w:spacing w:after="0"/>
              <w:rPr>
                <w:sz w:val="24"/>
                <w:szCs w:val="24"/>
                <w:color w:val="auto"/>
              </w:rPr>
            </w:pP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(3,127,050)</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(3,980,293)</w:t>
            </w:r>
          </w:p>
        </w:tc>
        <w:tc>
          <w:tcPr>
            <w:tcW w:w="200" w:type="dxa"/>
            <w:vAlign w:val="bottom"/>
          </w:tcPr>
          <w:p>
            <w:pPr>
              <w:spacing w:after="0"/>
              <w:rPr>
                <w:sz w:val="24"/>
                <w:szCs w:val="2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424,313</w:t>
            </w:r>
          </w:p>
        </w:tc>
        <w:tc>
          <w:tcPr>
            <w:tcW w:w="360" w:type="dxa"/>
            <w:vAlign w:val="bottom"/>
          </w:tcPr>
          <w:p>
            <w:pPr>
              <w:spacing w:after="0"/>
              <w:rPr>
                <w:sz w:val="24"/>
                <w:szCs w:val="24"/>
                <w:color w:val="auto"/>
              </w:rPr>
            </w:pP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(568,267)</w:t>
            </w: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(7,251,297)</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Interest and other expenses</w:t>
            </w:r>
          </w:p>
        </w:tc>
        <w:tc>
          <w:tcPr>
            <w:tcW w:w="580" w:type="dxa"/>
            <w:vAlign w:val="bottom"/>
          </w:tcPr>
          <w:p>
            <w:pPr>
              <w:spacing w:after="0"/>
              <w:rPr>
                <w:sz w:val="24"/>
                <w:szCs w:val="2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1,016,612</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43,772</w:t>
            </w:r>
          </w:p>
        </w:tc>
        <w:tc>
          <w:tcPr>
            <w:tcW w:w="200" w:type="dxa"/>
            <w:vAlign w:val="bottom"/>
          </w:tcPr>
          <w:p>
            <w:pPr>
              <w:spacing w:after="0"/>
              <w:rPr>
                <w:sz w:val="24"/>
                <w:szCs w:val="2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288,375</w:t>
            </w:r>
          </w:p>
        </w:tc>
        <w:tc>
          <w:tcPr>
            <w:tcW w:w="360" w:type="dxa"/>
            <w:vAlign w:val="bottom"/>
          </w:tcPr>
          <w:p>
            <w:pPr>
              <w:spacing w:after="0"/>
              <w:rPr>
                <w:sz w:val="24"/>
                <w:szCs w:val="24"/>
                <w:color w:val="auto"/>
              </w:rPr>
            </w:pPr>
          </w:p>
        </w:tc>
        <w:tc>
          <w:tcPr>
            <w:tcW w:w="14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30,000(8)</w:t>
            </w:r>
          </w:p>
        </w:tc>
        <w:tc>
          <w:tcPr>
            <w:tcW w:w="120" w:type="dxa"/>
            <w:vAlign w:val="bottom"/>
          </w:tcPr>
          <w:p>
            <w:pPr>
              <w:spacing w:after="0"/>
              <w:rPr>
                <w:sz w:val="24"/>
                <w:szCs w:val="2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1,378,759</w:t>
            </w:r>
          </w:p>
        </w:tc>
      </w:tr>
      <w:tr>
        <w:trPr>
          <w:trHeight w:val="168"/>
        </w:trPr>
        <w:tc>
          <w:tcPr>
            <w:tcW w:w="3900" w:type="dxa"/>
            <w:vAlign w:val="bottom"/>
          </w:tcPr>
          <w:p>
            <w:pPr>
              <w:spacing w:after="0"/>
              <w:rPr>
                <w:sz w:val="14"/>
                <w:szCs w:val="14"/>
                <w:color w:val="auto"/>
              </w:rPr>
            </w:pPr>
          </w:p>
        </w:tc>
        <w:tc>
          <w:tcPr>
            <w:tcW w:w="17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3900" w:type="dxa"/>
            <w:vAlign w:val="bottom"/>
          </w:tcPr>
          <w:p>
            <w:pPr>
              <w:ind w:left="540"/>
              <w:spacing w:after="0"/>
              <w:rPr>
                <w:sz w:val="20"/>
                <w:szCs w:val="20"/>
                <w:color w:val="auto"/>
              </w:rPr>
            </w:pPr>
            <w:r>
              <w:rPr>
                <w:rFonts w:ascii="Courier New" w:cs="Courier New" w:eastAsia="Courier New" w:hAnsi="Courier New"/>
                <w:sz w:val="15"/>
                <w:szCs w:val="15"/>
                <w:color w:val="auto"/>
              </w:rPr>
              <w:t>Income (loss) before income taxes</w:t>
            </w:r>
          </w:p>
        </w:tc>
        <w:tc>
          <w:tcPr>
            <w:tcW w:w="580" w:type="dxa"/>
            <w:vAlign w:val="bottom"/>
          </w:tcPr>
          <w:p>
            <w:pPr>
              <w:spacing w:after="0"/>
              <w:rPr>
                <w:sz w:val="24"/>
                <w:szCs w:val="24"/>
                <w:color w:val="auto"/>
              </w:rPr>
            </w:pP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(4,143,662)</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(4,024,065)</w:t>
            </w:r>
          </w:p>
        </w:tc>
        <w:tc>
          <w:tcPr>
            <w:tcW w:w="200" w:type="dxa"/>
            <w:vAlign w:val="bottom"/>
          </w:tcPr>
          <w:p>
            <w:pPr>
              <w:spacing w:after="0"/>
              <w:rPr>
                <w:sz w:val="24"/>
                <w:szCs w:val="2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135,938</w:t>
            </w:r>
          </w:p>
        </w:tc>
        <w:tc>
          <w:tcPr>
            <w:tcW w:w="360" w:type="dxa"/>
            <w:vAlign w:val="bottom"/>
          </w:tcPr>
          <w:p>
            <w:pPr>
              <w:spacing w:after="0"/>
              <w:rPr>
                <w:sz w:val="24"/>
                <w:szCs w:val="24"/>
                <w:color w:val="auto"/>
              </w:rPr>
            </w:pP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(598,267)</w:t>
            </w: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(8,630,056)</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Provision for income taxes (benefit)</w:t>
            </w:r>
          </w:p>
        </w:tc>
        <w:tc>
          <w:tcPr>
            <w:tcW w:w="580" w:type="dxa"/>
            <w:vAlign w:val="bottom"/>
          </w:tcPr>
          <w:p>
            <w:pPr>
              <w:spacing w:after="0"/>
              <w:rPr>
                <w:sz w:val="24"/>
                <w:szCs w:val="2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18,421</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(247,610)</w:t>
            </w:r>
          </w:p>
        </w:tc>
        <w:tc>
          <w:tcPr>
            <w:tcW w:w="200" w:type="dxa"/>
            <w:vAlign w:val="bottom"/>
          </w:tcPr>
          <w:p>
            <w:pPr>
              <w:spacing w:after="0"/>
              <w:rPr>
                <w:sz w:val="24"/>
                <w:szCs w:val="2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15,100</w:t>
            </w: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(214,089)</w:t>
            </w:r>
          </w:p>
        </w:tc>
      </w:tr>
      <w:tr>
        <w:trPr>
          <w:trHeight w:val="168"/>
        </w:trPr>
        <w:tc>
          <w:tcPr>
            <w:tcW w:w="3900" w:type="dxa"/>
            <w:vAlign w:val="bottom"/>
          </w:tcPr>
          <w:p>
            <w:pPr>
              <w:spacing w:after="0"/>
              <w:rPr>
                <w:sz w:val="14"/>
                <w:szCs w:val="14"/>
                <w:color w:val="auto"/>
              </w:rPr>
            </w:pPr>
          </w:p>
        </w:tc>
        <w:tc>
          <w:tcPr>
            <w:tcW w:w="17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3900" w:type="dxa"/>
            <w:vAlign w:val="bottom"/>
          </w:tcPr>
          <w:p>
            <w:pPr>
              <w:ind w:left="540"/>
              <w:spacing w:after="0"/>
              <w:rPr>
                <w:sz w:val="20"/>
                <w:szCs w:val="20"/>
                <w:color w:val="auto"/>
              </w:rPr>
            </w:pPr>
            <w:r>
              <w:rPr>
                <w:rFonts w:ascii="Courier New" w:cs="Courier New" w:eastAsia="Courier New" w:hAnsi="Courier New"/>
                <w:sz w:val="15"/>
                <w:szCs w:val="15"/>
                <w:color w:val="auto"/>
              </w:rPr>
              <w:t>Net income (loss)</w:t>
            </w:r>
          </w:p>
        </w:tc>
        <w:tc>
          <w:tcPr>
            <w:tcW w:w="580" w:type="dxa"/>
            <w:vAlign w:val="bottom"/>
          </w:tcPr>
          <w:p>
            <w:pPr>
              <w:spacing w:after="0"/>
              <w:rPr>
                <w:sz w:val="24"/>
                <w:szCs w:val="24"/>
                <w:color w:val="auto"/>
              </w:rPr>
            </w:pP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(4,162,083)</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(3,776,455)</w:t>
            </w:r>
          </w:p>
        </w:tc>
        <w:tc>
          <w:tcPr>
            <w:tcW w:w="200" w:type="dxa"/>
            <w:vAlign w:val="bottom"/>
          </w:tcPr>
          <w:p>
            <w:pPr>
              <w:spacing w:after="0"/>
              <w:rPr>
                <w:sz w:val="24"/>
                <w:szCs w:val="2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120,838</w:t>
            </w:r>
          </w:p>
        </w:tc>
        <w:tc>
          <w:tcPr>
            <w:tcW w:w="360" w:type="dxa"/>
            <w:vAlign w:val="bottom"/>
          </w:tcPr>
          <w:p>
            <w:pPr>
              <w:spacing w:after="0"/>
              <w:rPr>
                <w:sz w:val="24"/>
                <w:szCs w:val="24"/>
                <w:color w:val="auto"/>
              </w:rPr>
            </w:pP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(598,267)</w:t>
            </w: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(8,415,967)</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Preferred dividends</w:t>
            </w:r>
          </w:p>
        </w:tc>
        <w:tc>
          <w:tcPr>
            <w:tcW w:w="580" w:type="dxa"/>
            <w:vAlign w:val="bottom"/>
          </w:tcPr>
          <w:p>
            <w:pPr>
              <w:spacing w:after="0"/>
              <w:rPr>
                <w:sz w:val="24"/>
                <w:szCs w:val="24"/>
                <w:color w:val="auto"/>
              </w:rPr>
            </w:pP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(135,416)</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24"/>
                <w:szCs w:val="2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(135,416)</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Distributions paid to S</w:t>
            </w: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corporation</w:t>
            </w: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9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shareholders prior to</w:t>
            </w: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9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acquisition</w:t>
            </w:r>
          </w:p>
        </w:tc>
        <w:tc>
          <w:tcPr>
            <w:tcW w:w="58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(202,092)</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(202,092)</w:t>
            </w:r>
          </w:p>
        </w:tc>
      </w:tr>
      <w:tr>
        <w:trPr>
          <w:trHeight w:val="168"/>
        </w:trPr>
        <w:tc>
          <w:tcPr>
            <w:tcW w:w="3900" w:type="dxa"/>
            <w:vAlign w:val="bottom"/>
          </w:tcPr>
          <w:p>
            <w:pPr>
              <w:spacing w:after="0"/>
              <w:rPr>
                <w:sz w:val="14"/>
                <w:szCs w:val="14"/>
                <w:color w:val="auto"/>
              </w:rPr>
            </w:pPr>
          </w:p>
        </w:tc>
        <w:tc>
          <w:tcPr>
            <w:tcW w:w="17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3900" w:type="dxa"/>
            <w:vAlign w:val="bottom"/>
          </w:tcPr>
          <w:p>
            <w:pPr>
              <w:ind w:left="540"/>
              <w:spacing w:after="0"/>
              <w:rPr>
                <w:sz w:val="20"/>
                <w:szCs w:val="20"/>
                <w:color w:val="auto"/>
              </w:rPr>
            </w:pPr>
            <w:r>
              <w:rPr>
                <w:rFonts w:ascii="Courier New" w:cs="Courier New" w:eastAsia="Courier New" w:hAnsi="Courier New"/>
                <w:sz w:val="15"/>
                <w:szCs w:val="15"/>
                <w:color w:val="auto"/>
              </w:rPr>
              <w:t>Net income (loss)</w:t>
            </w: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39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attributable to</w:t>
            </w: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9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common stockholders'</w:t>
            </w:r>
          </w:p>
        </w:tc>
        <w:tc>
          <w:tcPr>
            <w:tcW w:w="5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(4,499,591)</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(3,776,455)</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120,838</w:t>
            </w:r>
          </w:p>
        </w:tc>
        <w:tc>
          <w:tcPr>
            <w:tcW w:w="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(598,267)</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 (8,753,475)</w:t>
            </w:r>
          </w:p>
        </w:tc>
      </w:tr>
      <w:tr>
        <w:trPr>
          <w:trHeight w:val="168"/>
        </w:trPr>
        <w:tc>
          <w:tcPr>
            <w:tcW w:w="3900" w:type="dxa"/>
            <w:vAlign w:val="bottom"/>
          </w:tcPr>
          <w:p>
            <w:pPr>
              <w:spacing w:after="0"/>
              <w:rPr>
                <w:sz w:val="14"/>
                <w:szCs w:val="14"/>
                <w:color w:val="auto"/>
              </w:rPr>
            </w:pPr>
          </w:p>
        </w:tc>
        <w:tc>
          <w:tcPr>
            <w:tcW w:w="17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Net loss per share</w:t>
            </w: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6"/>
        </w:trPr>
        <w:tc>
          <w:tcPr>
            <w:tcW w:w="3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(0.96)</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Weighted average shares</w:t>
            </w: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w:t>
            </w:r>
          </w:p>
        </w:tc>
        <w:tc>
          <w:tcPr>
            <w:tcW w:w="120" w:type="dxa"/>
            <w:vAlign w:val="bottom"/>
          </w:tcPr>
          <w:p>
            <w:pPr>
              <w:spacing w:after="0"/>
              <w:rPr>
                <w:sz w:val="24"/>
                <w:szCs w:val="2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9,141,029</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w:t>
            </w: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bl>
    <w:p>
      <w:pPr>
        <w:sectPr>
          <w:pgSz w:w="11900" w:h="16838" w:orient="portrait"/>
          <w:cols w:equalWidth="0" w:num="1">
            <w:col w:w="11300"/>
          </w:cols>
          <w:pgMar w:left="220" w:top="1122" w:right="379" w:bottom="1440" w:gutter="0" w:footer="0" w:header="0"/>
        </w:sectPr>
      </w:pPr>
    </w:p>
    <w:bookmarkStart w:id="9" w:name="page10"/>
    <w:bookmarkEnd w:id="9"/>
    <w:p>
      <w:pPr>
        <w:jc w:val="center"/>
        <w:ind w:right="3239"/>
        <w:spacing w:after="0"/>
        <w:rPr>
          <w:sz w:val="20"/>
          <w:szCs w:val="20"/>
          <w:color w:val="auto"/>
        </w:rPr>
      </w:pPr>
      <w:r>
        <w:rPr>
          <w:rFonts w:ascii="Courier New" w:cs="Courier New" w:eastAsia="Courier New" w:hAnsi="Courier New"/>
          <w:sz w:val="15"/>
          <w:szCs w:val="15"/>
          <w:color w:val="auto"/>
        </w:rPr>
        <w:t>Notes to Unaudited Pro Forma Consolidated Financial Statements</w:t>
      </w:r>
    </w:p>
    <w:p>
      <w:pPr>
        <w:jc w:val="center"/>
        <w:ind w:right="3139"/>
        <w:spacing w:after="0" w:line="237" w:lineRule="auto"/>
        <w:rPr>
          <w:sz w:val="20"/>
          <w:szCs w:val="20"/>
          <w:color w:val="auto"/>
        </w:rPr>
      </w:pPr>
      <w:r>
        <w:rPr>
          <w:rFonts w:ascii="Courier New" w:cs="Courier New" w:eastAsia="Courier New" w:hAnsi="Courier New"/>
          <w:sz w:val="15"/>
          <w:szCs w:val="15"/>
          <w:color w:val="auto"/>
        </w:rPr>
        <w:t>for the year ended October 31, 1997</w:t>
      </w:r>
    </w:p>
    <w:p>
      <w:pPr>
        <w:spacing w:after="0" w:line="173" w:lineRule="exact"/>
        <w:rPr>
          <w:sz w:val="20"/>
          <w:szCs w:val="20"/>
          <w:color w:val="auto"/>
        </w:rPr>
      </w:pPr>
    </w:p>
    <w:p>
      <w:pPr>
        <w:ind w:left="440" w:right="3239" w:hanging="430"/>
        <w:spacing w:after="0" w:line="235" w:lineRule="auto"/>
        <w:tabs>
          <w:tab w:leader="none" w:pos="4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Company's audited historical financial statements for the year ended October 31, 1997, which includes the operations of Take-Two, Mission, IMSI, CAG, and GameTek / ART from July 29, 1997, the date of its acquisition.</w:t>
      </w:r>
    </w:p>
    <w:p>
      <w:pPr>
        <w:spacing w:after="0" w:line="175" w:lineRule="exact"/>
        <w:rPr>
          <w:rFonts w:ascii="Courier New" w:cs="Courier New" w:eastAsia="Courier New" w:hAnsi="Courier New"/>
          <w:sz w:val="15"/>
          <w:szCs w:val="15"/>
          <w:color w:val="auto"/>
        </w:rPr>
      </w:pPr>
    </w:p>
    <w:p>
      <w:pPr>
        <w:ind w:left="440" w:right="3239" w:hanging="430"/>
        <w:spacing w:after="0" w:line="234" w:lineRule="auto"/>
        <w:tabs>
          <w:tab w:leader="none" w:pos="4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GameTek's unaudited historical financial statements for the period from November 1, 1996 to July 28, 1997.</w:t>
      </w:r>
    </w:p>
    <w:p>
      <w:pPr>
        <w:spacing w:after="0" w:line="173" w:lineRule="exact"/>
        <w:rPr>
          <w:rFonts w:ascii="Courier New" w:cs="Courier New" w:eastAsia="Courier New" w:hAnsi="Courier New"/>
          <w:sz w:val="15"/>
          <w:szCs w:val="15"/>
          <w:color w:val="auto"/>
        </w:rPr>
      </w:pPr>
    </w:p>
    <w:p>
      <w:pPr>
        <w:ind w:left="440" w:right="3759" w:hanging="430"/>
        <w:spacing w:after="0" w:line="234" w:lineRule="auto"/>
        <w:tabs>
          <w:tab w:leader="none" w:pos="4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Alliance's unaudited historical financial statements for the period from October 1, 1996 to September 30, 1997.</w:t>
      </w:r>
    </w:p>
    <w:p>
      <w:pPr>
        <w:spacing w:after="0" w:line="173" w:lineRule="exact"/>
        <w:rPr>
          <w:rFonts w:ascii="Courier New" w:cs="Courier New" w:eastAsia="Courier New" w:hAnsi="Courier New"/>
          <w:sz w:val="15"/>
          <w:szCs w:val="15"/>
          <w:color w:val="auto"/>
        </w:rPr>
      </w:pPr>
    </w:p>
    <w:p>
      <w:pPr>
        <w:ind w:left="440" w:right="3579" w:hanging="430"/>
        <w:spacing w:after="0" w:line="234" w:lineRule="auto"/>
        <w:tabs>
          <w:tab w:leader="none" w:pos="4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inter-company transactions between IMSI and Alliance.</w:t>
      </w:r>
    </w:p>
    <w:p>
      <w:pPr>
        <w:spacing w:after="0" w:line="173" w:lineRule="exact"/>
        <w:rPr>
          <w:rFonts w:ascii="Courier New" w:cs="Courier New" w:eastAsia="Courier New" w:hAnsi="Courier New"/>
          <w:sz w:val="15"/>
          <w:szCs w:val="15"/>
          <w:color w:val="auto"/>
        </w:rPr>
      </w:pPr>
    </w:p>
    <w:p>
      <w:pPr>
        <w:ind w:left="440" w:right="3319" w:hanging="430"/>
        <w:spacing w:after="0" w:line="235" w:lineRule="auto"/>
        <w:tabs>
          <w:tab w:leader="none" w:pos="4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adjustment of $283,024, which represents the amortization of the intangible assets acquired in connection with the GameTek acquisition. The acquired intangible asset is being amortized over the estimated useful life of 10 years.</w:t>
      </w:r>
    </w:p>
    <w:p>
      <w:pPr>
        <w:spacing w:after="0" w:line="175" w:lineRule="exact"/>
        <w:rPr>
          <w:rFonts w:ascii="Courier New" w:cs="Courier New" w:eastAsia="Courier New" w:hAnsi="Courier New"/>
          <w:sz w:val="15"/>
          <w:szCs w:val="15"/>
          <w:color w:val="auto"/>
        </w:rPr>
      </w:pPr>
    </w:p>
    <w:p>
      <w:pPr>
        <w:ind w:left="440" w:right="3239" w:hanging="430"/>
        <w:spacing w:after="0" w:line="235" w:lineRule="auto"/>
        <w:tabs>
          <w:tab w:leader="none" w:pos="4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adjustment of $200,812, which represents the amortization of intangible assets acquired in connection with the Alliance acquisition. The acquired intangible asset is being amortized over the estimated useful life of 10 years.</w:t>
      </w:r>
    </w:p>
    <w:p>
      <w:pPr>
        <w:spacing w:after="0" w:line="175" w:lineRule="exact"/>
        <w:rPr>
          <w:sz w:val="20"/>
          <w:szCs w:val="20"/>
          <w:color w:val="auto"/>
        </w:rPr>
      </w:pPr>
    </w:p>
    <w:p>
      <w:pPr>
        <w:ind w:left="440" w:right="3679"/>
        <w:spacing w:after="0" w:line="261" w:lineRule="auto"/>
        <w:rPr>
          <w:sz w:val="20"/>
          <w:szCs w:val="20"/>
          <w:color w:val="auto"/>
        </w:rPr>
      </w:pPr>
      <w:r>
        <w:rPr>
          <w:rFonts w:ascii="Courier New" w:cs="Courier New" w:eastAsia="Courier New" w:hAnsi="Courier New"/>
          <w:sz w:val="14"/>
          <w:szCs w:val="14"/>
          <w:color w:val="auto"/>
        </w:rPr>
        <w:t>The cost of the acquisition was allocated to the assets acquired and liabilities assumed based upon their estimated fair values as follows:</w:t>
      </w:r>
    </w:p>
    <w:p>
      <w:pPr>
        <w:spacing w:after="0" w:line="153" w:lineRule="exact"/>
        <w:rPr>
          <w:sz w:val="20"/>
          <w:szCs w:val="20"/>
          <w:color w:val="auto"/>
        </w:rPr>
      </w:pPr>
    </w:p>
    <w:tbl>
      <w:tblPr>
        <w:tblLayout w:type="fixed"/>
        <w:tblInd w:w="1320" w:type="dxa"/>
        <w:tblCellMar>
          <w:top w:w="0" w:type="dxa"/>
          <w:left w:w="0" w:type="dxa"/>
          <w:bottom w:w="0" w:type="dxa"/>
          <w:right w:w="0" w:type="dxa"/>
        </w:tblCellMar>
      </w:tblP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$ 1,010,007</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Equipment</w:t>
            </w:r>
          </w:p>
        </w:tc>
        <w:tc>
          <w:tcPr>
            <w:tcW w:w="1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97,580</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Intangibles</w:t>
            </w:r>
          </w:p>
        </w:tc>
        <w:tc>
          <w:tcPr>
            <w:tcW w:w="1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2,008,119</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compensation</w:t>
            </w:r>
          </w:p>
        </w:tc>
        <w:tc>
          <w:tcPr>
            <w:tcW w:w="1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253,294</w:t>
            </w:r>
          </w:p>
        </w:tc>
      </w:tr>
      <w:tr>
        <w:trPr>
          <w:trHeight w:val="168"/>
        </w:trPr>
        <w:tc>
          <w:tcPr>
            <w:tcW w:w="2460" w:type="dxa"/>
            <w:vAlign w:val="bottom"/>
          </w:tcPr>
          <w:p>
            <w:pPr>
              <w:spacing w:after="0"/>
              <w:rPr>
                <w:sz w:val="14"/>
                <w:szCs w:val="14"/>
                <w:color w:val="auto"/>
              </w:rPr>
            </w:pPr>
          </w:p>
        </w:tc>
        <w:tc>
          <w:tcPr>
            <w:tcW w:w="1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spacing w:after="0"/>
              <w:rPr>
                <w:sz w:val="14"/>
                <w:szCs w:val="14"/>
                <w:color w:val="auto"/>
              </w:rPr>
            </w:pPr>
          </w:p>
        </w:tc>
        <w:tc>
          <w:tcPr>
            <w:tcW w:w="1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$ 3,369,000</w:t>
            </w:r>
          </w:p>
        </w:tc>
      </w:tr>
      <w:tr>
        <w:trPr>
          <w:trHeight w:val="168"/>
        </w:trPr>
        <w:tc>
          <w:tcPr>
            <w:tcW w:w="2460" w:type="dxa"/>
            <w:vAlign w:val="bottom"/>
          </w:tcPr>
          <w:p>
            <w:pPr>
              <w:spacing w:after="0"/>
              <w:rPr>
                <w:sz w:val="14"/>
                <w:szCs w:val="14"/>
                <w:color w:val="auto"/>
              </w:rPr>
            </w:pPr>
          </w:p>
        </w:tc>
        <w:tc>
          <w:tcPr>
            <w:tcW w:w="1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left="440" w:right="3319" w:hanging="430"/>
        <w:spacing w:after="0" w:line="236" w:lineRule="auto"/>
        <w:tabs>
          <w:tab w:leader="none" w:pos="4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adjustment of $84,431, which represents the amortization of deferred compensation as a result of the issuance of non-qualified options to Alliance employees at an exercise price of $2.00 per share. The options vest over a period of three years. The difference between the exercise price and the fair value of the options at the measurement date is being amortized over the vesting period.</w:t>
      </w:r>
    </w:p>
    <w:p>
      <w:pPr>
        <w:spacing w:after="0" w:line="168"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additional interest expense incurred in connection with the</w:t>
      </w:r>
    </w:p>
    <w:p>
      <w:pPr>
        <w:spacing w:after="0" w:line="4" w:lineRule="exact"/>
        <w:rPr>
          <w:rFonts w:ascii="Courier New" w:cs="Courier New" w:eastAsia="Courier New" w:hAnsi="Courier New"/>
          <w:sz w:val="15"/>
          <w:szCs w:val="15"/>
          <w:color w:val="auto"/>
        </w:rPr>
      </w:pPr>
    </w:p>
    <w:p>
      <w:pPr>
        <w:ind w:left="440" w:right="357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$500,000 promissory note, bearing interest at 8.0% per annum, issued in connection with the GameTek acquisition.</w:t>
      </w:r>
    </w:p>
    <w:p>
      <w:pPr>
        <w:spacing w:after="0" w:line="173" w:lineRule="exact"/>
        <w:rPr>
          <w:rFonts w:ascii="Courier New" w:cs="Courier New" w:eastAsia="Courier New" w:hAnsi="Courier New"/>
          <w:sz w:val="15"/>
          <w:szCs w:val="15"/>
          <w:color w:val="auto"/>
        </w:rPr>
      </w:pPr>
    </w:p>
    <w:p>
      <w:pPr>
        <w:ind w:left="440" w:right="3239" w:hanging="430"/>
        <w:spacing w:after="0" w:line="256" w:lineRule="auto"/>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Company's historical weighted average shares outstanding, plus 900,000 shares issued in connection with the acquisition of IMSI and CAG, plus 406,553 shares issued in connection with the acquisition of GameTek, plus 500,000 shares issued in connection with the acquisition of Alliance.</w:t>
      </w:r>
    </w:p>
    <w:p>
      <w:pPr>
        <w:sectPr>
          <w:pgSz w:w="11900" w:h="16838" w:orient="portrait"/>
          <w:cols w:equalWidth="0" w:num="1">
            <w:col w:w="10239"/>
          </w:cols>
          <w:pgMar w:left="220" w:top="785"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jc w:val="both"/>
        <w:ind w:right="3939"/>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March 2, 1998</w:t>
      </w:r>
    </w:p>
    <w:p>
      <w:pPr>
        <w:spacing w:after="0" w:line="341"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4"/>
          <w:szCs w:val="14"/>
          <w:color w:val="auto"/>
        </w:rPr>
        <w:t>Take-Two Interactive Software, Inc.</w:t>
      </w:r>
    </w:p>
    <w:p>
      <w:pPr>
        <w:spacing w:after="0" w:line="200" w:lineRule="exact"/>
        <w:rPr>
          <w:sz w:val="20"/>
          <w:szCs w:val="20"/>
          <w:color w:val="auto"/>
        </w:rPr>
      </w:pPr>
    </w:p>
    <w:p>
      <w:pPr>
        <w:spacing w:after="0" w:line="30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By:/s/ Ryan A. Brant</w:t>
      </w:r>
    </w:p>
    <w:p>
      <w:pPr>
        <w:ind w:left="3780"/>
        <w:spacing w:after="0" w:line="237" w:lineRule="auto"/>
        <w:rPr>
          <w:sz w:val="20"/>
          <w:szCs w:val="20"/>
          <w:color w:val="auto"/>
        </w:rPr>
      </w:pPr>
      <w:r>
        <w:rPr>
          <w:rFonts w:ascii="Courier New" w:cs="Courier New" w:eastAsia="Courier New" w:hAnsi="Courier New"/>
          <w:sz w:val="15"/>
          <w:szCs w:val="15"/>
          <w:color w:val="auto"/>
        </w:rPr>
        <w:t>---------------------------</w:t>
      </w:r>
    </w:p>
    <w:p>
      <w:pPr>
        <w:ind w:left="4120"/>
        <w:spacing w:after="0" w:line="238" w:lineRule="auto"/>
        <w:rPr>
          <w:sz w:val="20"/>
          <w:szCs w:val="20"/>
          <w:color w:val="auto"/>
        </w:rPr>
      </w:pPr>
      <w:r>
        <w:rPr>
          <w:rFonts w:ascii="Courier New" w:cs="Courier New" w:eastAsia="Courier New" w:hAnsi="Courier New"/>
          <w:sz w:val="15"/>
          <w:szCs w:val="15"/>
          <w:color w:val="auto"/>
        </w:rPr>
        <w:t>Ryan A. Brant</w:t>
      </w:r>
    </w:p>
    <w:p>
      <w:pPr>
        <w:ind w:left="4120"/>
        <w:spacing w:after="0" w:line="237" w:lineRule="auto"/>
        <w:rPr>
          <w:sz w:val="20"/>
          <w:szCs w:val="20"/>
          <w:color w:val="auto"/>
        </w:rPr>
      </w:pPr>
      <w:r>
        <w:rPr>
          <w:rFonts w:ascii="Courier New" w:cs="Courier New" w:eastAsia="Courier New" w:hAnsi="Courier New"/>
          <w:sz w:val="15"/>
          <w:szCs w:val="15"/>
          <w:color w:val="auto"/>
        </w:rPr>
        <w:t>Chief Executive Officer</w:t>
      </w:r>
    </w:p>
    <w:sectPr>
      <w:pgSz w:w="11900" w:h="16838" w:orient="portrait"/>
      <w:cols w:equalWidth="0" w:num="1">
        <w:col w:w="10239"/>
      </w:cols>
      <w:pgMar w:left="220" w:top="7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Letter"/>
      <w:start w:val="1"/>
    </w:lvl>
    <w:lvl w:ilvl="1">
      <w:lvlJc w:val="left"/>
      <w:lvlText w:val="%2."/>
      <w:numFmt w:val="decimal"/>
      <w:start w:val="1"/>
    </w:lvl>
  </w:abstractNum>
  <w:abstractNum w:abstractNumId="1">
    <w:nsid w:val="3D1B58BA"/>
    <w:multiLevelType w:val="hybridMultilevel"/>
    <w:lvl w:ilvl="0">
      <w:lvlJc w:val="left"/>
      <w:lvlText w:val="(%1)"/>
      <w:numFmt w:val="lowerLetter"/>
      <w:start w:val="3"/>
    </w:lvl>
  </w:abstractNum>
  <w:abstractNum w:abstractNumId="2">
    <w:nsid w:val="507ED7AB"/>
    <w:multiLevelType w:val="hybridMultilevel"/>
    <w:lvl w:ilvl="0">
      <w:lvlJc w:val="left"/>
      <w:lvlText w:val="%1."/>
      <w:numFmt w:val="decimal"/>
      <w:start w:val="1"/>
    </w:lvl>
    <w:lvl w:ilvl="1">
      <w:lvlJc w:val="left"/>
      <w:lvlText w:val="%2."/>
      <w:numFmt w:val="lowerLetter"/>
      <w:start w:val="1"/>
    </w:lvl>
  </w:abstractNum>
  <w:abstractNum w:abstractNumId="3">
    <w:nsid w:val="2EB141F2"/>
    <w:multiLevelType w:val="hybridMultilevel"/>
    <w:lvl w:ilvl="0">
      <w:lvlJc w:val="left"/>
      <w:lvlText w:val="%1."/>
      <w:numFmt w:val="decimal"/>
      <w:start w:val="4"/>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decimal"/>
      <w:start w:val="1"/>
    </w:lvl>
    <w:lvl w:ilvl="1">
      <w:lvlJc w:val="left"/>
      <w:lvlText w:val="%2."/>
      <w:numFmt w:val="lowerLetter"/>
      <w:start w:val="2"/>
    </w:lvl>
  </w:abstractNum>
  <w:abstractNum w:abstractNumId="6">
    <w:nsid w:val="7545E146"/>
    <w:multiLevelType w:val="hybridMultilevel"/>
    <w:lvl w:ilvl="0">
      <w:lvlJc w:val="left"/>
      <w:lvlText w:val="%1."/>
      <w:numFmt w:val="decimal"/>
      <w:start w:val="7"/>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2019-12-14T05:53:47Z</dcterms:created>
  <dcterms:modified xsi:type="dcterms:W3CDTF">2019-12-14T05:53:47Z</dcterms:modified>
</cp:coreProperties>
</file>