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460" w:type="dxa"/>
            <w:vAlign w:val="bottom"/>
          </w:tcPr>
          <w:p>
            <w:pPr>
              <w:spacing w:after="0"/>
              <w:rPr>
                <w:sz w:val="17"/>
                <w:szCs w:val="17"/>
                <w:color w:val="auto"/>
              </w:rPr>
            </w:pPr>
          </w:p>
        </w:tc>
      </w:tr>
      <w:tr>
        <w:trPr>
          <w:trHeight w:val="511"/>
        </w:trPr>
        <w:tc>
          <w:tcPr>
            <w:tcW w:w="3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8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tc>
      </w:tr>
      <w:tr>
        <w:trPr>
          <w:trHeight w:val="238"/>
        </w:trPr>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File No. 333-284748</w:t>
            </w:r>
          </w:p>
        </w:tc>
      </w:tr>
      <w:tr>
        <w:trPr>
          <w:trHeight w:val="507"/>
        </w:trPr>
        <w:tc>
          <w:tcPr>
            <w:tcW w:w="300" w:type="dxa"/>
            <w:vAlign w:val="bottom"/>
            <w:textDirection w:val="btLr"/>
          </w:tcPr>
          <w:p>
            <w:pPr>
              <w:ind w:left="93"/>
              <w:spacing w:after="0"/>
              <w:rPr>
                <w:sz w:val="20"/>
                <w:szCs w:val="20"/>
                <w:color w:val="auto"/>
              </w:rPr>
            </w:pPr>
            <w:r>
              <w:rPr>
                <w:rFonts w:ascii="Times New Roman" w:cs="Times New Roman" w:eastAsia="Times New Roman" w:hAnsi="Times New Roman"/>
                <w:sz w:val="18"/>
                <w:szCs w:val="18"/>
                <w:b w:val="1"/>
                <w:bCs w:val="1"/>
                <w:color w:val="FF4338"/>
              </w:rPr>
              <w:t>and</w:t>
            </w:r>
          </w:p>
        </w:tc>
        <w:tc>
          <w:tcPr>
            <w:tcW w:w="2380" w:type="dxa"/>
            <w:vAlign w:val="bottom"/>
            <w:gridSpan w:val="2"/>
            <w:textDirection w:val="btLr"/>
          </w:tcPr>
          <w:p>
            <w:pPr>
              <w:ind w:left="41"/>
              <w:spacing w:after="0"/>
              <w:rPr>
                <w:sz w:val="20"/>
                <w:szCs w:val="20"/>
                <w:color w:val="auto"/>
              </w:rPr>
            </w:pPr>
            <w:r>
              <w:rPr>
                <w:rFonts w:ascii="Times New Roman" w:cs="Times New Roman" w:eastAsia="Times New Roman" w:hAnsi="Times New Roman"/>
                <w:sz w:val="18"/>
                <w:szCs w:val="18"/>
                <w:b w:val="1"/>
                <w:bCs w:val="1"/>
                <w:color w:val="FF4338"/>
                <w:w w:val="95"/>
              </w:rPr>
              <w:t>not</w:t>
            </w:r>
          </w:p>
        </w:tc>
        <w:tc>
          <w:tcPr>
            <w:tcW w:w="8460" w:type="dxa"/>
            <w:vAlign w:val="bottom"/>
          </w:tcPr>
          <w:p>
            <w:pPr>
              <w:jc w:val="right"/>
              <w:ind w:right="3797"/>
              <w:spacing w:after="0"/>
              <w:rPr>
                <w:sz w:val="20"/>
                <w:szCs w:val="20"/>
                <w:color w:val="auto"/>
              </w:rPr>
            </w:pPr>
            <w:r>
              <w:rPr>
                <w:rFonts w:ascii="Times New Roman" w:cs="Times New Roman" w:eastAsia="Times New Roman" w:hAnsi="Times New Roman"/>
                <w:sz w:val="18"/>
                <w:szCs w:val="18"/>
                <w:b w:val="1"/>
                <w:bCs w:val="1"/>
                <w:color w:val="FF4338"/>
              </w:rPr>
              <w:t>Subject to completion, dated May 20, 2025</w:t>
            </w:r>
          </w:p>
        </w:tc>
      </w:tr>
      <w:tr>
        <w:trPr>
          <w:trHeight w:val="121"/>
        </w:trPr>
        <w:tc>
          <w:tcPr>
            <w:tcW w:w="300" w:type="dxa"/>
            <w:vAlign w:val="bottom"/>
            <w:textDirection w:val="btLr"/>
          </w:tcPr>
          <w:p>
            <w:pPr>
              <w:ind w:left="289"/>
              <w:spacing w:after="0"/>
              <w:rPr>
                <w:sz w:val="20"/>
                <w:szCs w:val="20"/>
                <w:color w:val="auto"/>
              </w:rPr>
            </w:pPr>
            <w:r>
              <w:rPr>
                <w:rFonts w:ascii="Times New Roman" w:cs="Times New Roman" w:eastAsia="Times New Roman" w:hAnsi="Times New Roman"/>
                <w:sz w:val="1"/>
                <w:szCs w:val="1"/>
                <w:b w:val="1"/>
                <w:bCs w:val="1"/>
                <w:color w:val="FF4338"/>
                <w:w w:val="58"/>
              </w:rPr>
              <w:t>changed.Thispreliminaryprospectussupplement</w:t>
            </w:r>
          </w:p>
        </w:tc>
        <w:tc>
          <w:tcPr>
            <w:tcW w:w="2380" w:type="dxa"/>
            <w:vAlign w:val="bottom"/>
            <w:gridSpan w:val="2"/>
            <w:textDirection w:val="btLr"/>
          </w:tcPr>
          <w:p>
            <w:pPr>
              <w:ind w:left="237"/>
              <w:spacing w:after="0"/>
              <w:rPr>
                <w:sz w:val="20"/>
                <w:szCs w:val="20"/>
                <w:color w:val="auto"/>
              </w:rPr>
            </w:pPr>
            <w:r>
              <w:rPr>
                <w:rFonts w:ascii="Times New Roman" w:cs="Times New Roman" w:eastAsia="Times New Roman" w:hAnsi="Times New Roman"/>
                <w:sz w:val="1"/>
                <w:szCs w:val="1"/>
                <w:b w:val="1"/>
                <w:bCs w:val="1"/>
                <w:color w:val="FF4338"/>
                <w:w w:val="63"/>
              </w:rPr>
              <w:t>stockinanyjurisdictionwheretheofferorsaleis</w:t>
            </w:r>
          </w:p>
        </w:tc>
        <w:tc>
          <w:tcPr>
            <w:tcW w:w="8460" w:type="dxa"/>
            <w:vAlign w:val="bottom"/>
          </w:tcPr>
          <w:p>
            <w:pPr>
              <w:jc w:val="right"/>
              <w:ind w:right="4597"/>
              <w:spacing w:after="0" w:line="121" w:lineRule="exact"/>
              <w:rPr>
                <w:sz w:val="20"/>
                <w:szCs w:val="20"/>
                <w:color w:val="auto"/>
              </w:rPr>
            </w:pPr>
            <w:r>
              <w:rPr>
                <w:rFonts w:ascii="Times New Roman" w:cs="Times New Roman" w:eastAsia="Times New Roman" w:hAnsi="Times New Roman"/>
                <w:sz w:val="13"/>
                <w:szCs w:val="13"/>
                <w:b w:val="1"/>
                <w:bCs w:val="1"/>
                <w:color w:val="auto"/>
              </w:rPr>
              <w:t>Common Stock</w:t>
            </w:r>
          </w:p>
        </w:tc>
      </w:tr>
    </w:tbl>
    <w:p>
      <w:pPr>
        <w:ind w:left="8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7"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(To Prospectus dated February 7, 2025)</w:t>
      </w:r>
    </w:p>
    <w:p>
      <w:pPr>
        <w:spacing w:after="0" w:line="1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3091180</wp:posOffset>
            </wp:positionH>
            <wp:positionV relativeFrom="paragraph">
              <wp:posOffset>182245</wp:posOffset>
            </wp:positionV>
            <wp:extent cx="96012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12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200" w:lineRule="exact"/>
        <w:rPr>
          <w:sz w:val="24"/>
          <w:szCs w:val="24"/>
          <w:color w:val="auto"/>
        </w:rPr>
      </w:pPr>
    </w:p>
    <w:p>
      <w:pPr>
        <w:spacing w:after="0" w:line="367" w:lineRule="exact"/>
        <w:rPr>
          <w:sz w:val="24"/>
          <w:szCs w:val="24"/>
          <w:color w:val="auto"/>
        </w:rPr>
      </w:pPr>
    </w:p>
    <w:tbl>
      <w:tblPr>
        <w:tblLayout w:type="fixed"/>
        <w:tblInd w:w="120" w:type="dxa"/>
        <w:tblCellMar>
          <w:top w:w="0" w:type="dxa"/>
          <w:left w:w="0" w:type="dxa"/>
          <w:bottom w:w="0" w:type="dxa"/>
          <w:right w:w="0" w:type="dxa"/>
        </w:tblCellMar>
      </w:tblPr>
      <w:tr>
        <w:trPr>
          <w:trHeight w:val="353"/>
        </w:trPr>
        <w:tc>
          <w:tcPr>
            <w:tcW w:w="520" w:type="dxa"/>
            <w:vAlign w:val="bottom"/>
            <w:vMerge w:val="restart"/>
            <w:textDirection w:val="btLr"/>
          </w:tcPr>
          <w:p>
            <w:pPr>
              <w:ind w:left="382"/>
              <w:spacing w:after="0"/>
              <w:rPr>
                <w:sz w:val="20"/>
                <w:szCs w:val="20"/>
                <w:color w:val="auto"/>
              </w:rPr>
            </w:pPr>
            <w:r>
              <w:rPr>
                <w:rFonts w:ascii="Times New Roman" w:cs="Times New Roman" w:eastAsia="Times New Roman" w:hAnsi="Times New Roman"/>
                <w:sz w:val="4"/>
                <w:szCs w:val="4"/>
                <w:b w:val="1"/>
                <w:bCs w:val="1"/>
                <w:color w:val="FF4338"/>
                <w:w w:val="95"/>
              </w:rPr>
              <w:t>notcompleteandmaybeoffertobuyourcommon</w:t>
            </w:r>
          </w:p>
        </w:tc>
        <w:tc>
          <w:tcPr>
            <w:tcW w:w="398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20" w:type="dxa"/>
            <w:vAlign w:val="bottom"/>
            <w:vMerge w:val="continue"/>
          </w:tcPr>
          <w:p>
            <w:pPr>
              <w:spacing w:after="0"/>
              <w:rPr>
                <w:sz w:val="24"/>
                <w:szCs w:val="24"/>
                <w:color w:val="auto"/>
              </w:rPr>
            </w:pPr>
          </w:p>
        </w:tc>
        <w:tc>
          <w:tcPr>
            <w:tcW w:w="9740" w:type="dxa"/>
            <w:vAlign w:val="bottom"/>
            <w:gridSpan w:val="3"/>
            <w:vMerge w:val="restart"/>
          </w:tcPr>
          <w:p>
            <w:pPr>
              <w:ind w:left="540"/>
              <w:spacing w:after="0"/>
              <w:rPr>
                <w:sz w:val="20"/>
                <w:szCs w:val="20"/>
                <w:color w:val="auto"/>
              </w:rPr>
            </w:pPr>
            <w:r>
              <w:rPr>
                <w:rFonts w:ascii="Times New Roman" w:cs="Times New Roman" w:eastAsia="Times New Roman" w:hAnsi="Times New Roman"/>
                <w:sz w:val="18"/>
                <w:szCs w:val="18"/>
                <w:color w:val="auto"/>
              </w:rPr>
              <w:t>We are offering $1,000,000,000 of shares of our common stock, par value $0.01 per share (“common stock”).</w:t>
            </w:r>
          </w:p>
        </w:tc>
        <w:tc>
          <w:tcPr>
            <w:tcW w:w="0" w:type="dxa"/>
            <w:vAlign w:val="bottom"/>
          </w:tcPr>
          <w:p>
            <w:pPr>
              <w:spacing w:after="0"/>
              <w:rPr>
                <w:sz w:val="1"/>
                <w:szCs w:val="1"/>
                <w:color w:val="auto"/>
              </w:rPr>
            </w:pPr>
          </w:p>
        </w:tc>
      </w:tr>
      <w:tr>
        <w:trPr>
          <w:trHeight w:val="54"/>
        </w:trPr>
        <w:tc>
          <w:tcPr>
            <w:tcW w:w="520" w:type="dxa"/>
            <w:vAlign w:val="bottom"/>
          </w:tcPr>
          <w:p>
            <w:pPr>
              <w:spacing w:after="0"/>
              <w:rPr>
                <w:sz w:val="4"/>
                <w:szCs w:val="4"/>
                <w:color w:val="auto"/>
              </w:rPr>
            </w:pPr>
          </w:p>
        </w:tc>
        <w:tc>
          <w:tcPr>
            <w:tcW w:w="9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97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99"/>
              </w:rPr>
              <w:t>Our common stock is listed on the Nasdaq Global Select Market (“Nasdaq”) under the symbol “TTWO.” On May 19, 2025, the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97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last reported sales price of our common stock was $234.66 per share.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222885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tbl>
      <w:tblPr>
        <w:tblLayout w:type="fixed"/>
        <w:tblInd w:w="120" w:type="dxa"/>
        <w:tblCellMar>
          <w:top w:w="0" w:type="dxa"/>
          <w:left w:w="0" w:type="dxa"/>
          <w:bottom w:w="0" w:type="dxa"/>
          <w:right w:w="0" w:type="dxa"/>
        </w:tblCellMar>
      </w:tblPr>
      <w:tr>
        <w:trPr>
          <w:trHeight w:val="275"/>
        </w:trPr>
        <w:tc>
          <w:tcPr>
            <w:tcW w:w="180" w:type="dxa"/>
            <w:vAlign w:val="bottom"/>
            <w:vMerge w:val="restart"/>
            <w:textDirection w:val="btLr"/>
          </w:tcPr>
          <w:p>
            <w:pPr>
              <w:ind w:left="111"/>
              <w:spacing w:after="0"/>
              <w:rPr>
                <w:sz w:val="20"/>
                <w:szCs w:val="20"/>
                <w:color w:val="auto"/>
              </w:rPr>
            </w:pPr>
            <w:r>
              <w:rPr>
                <w:rFonts w:ascii="Times New Roman" w:cs="Times New Roman" w:eastAsia="Times New Roman" w:hAnsi="Times New Roman"/>
                <w:sz w:val="6"/>
                <w:szCs w:val="6"/>
                <w:b w:val="1"/>
                <w:bCs w:val="1"/>
                <w:color w:val="FF4338"/>
                <w:w w:val="81"/>
              </w:rPr>
              <w:t>prospectussupplementis</w:t>
            </w:r>
          </w:p>
        </w:tc>
        <w:tc>
          <w:tcPr>
            <w:tcW w:w="220" w:type="dxa"/>
            <w:vAlign w:val="bottom"/>
            <w:vMerge w:val="restart"/>
            <w:textDirection w:val="btLr"/>
          </w:tcPr>
          <w:p>
            <w:pPr>
              <w:ind w:left="140"/>
              <w:spacing w:after="0"/>
              <w:rPr>
                <w:sz w:val="20"/>
                <w:szCs w:val="20"/>
                <w:color w:val="auto"/>
              </w:rPr>
            </w:pPr>
            <w:r>
              <w:rPr>
                <w:rFonts w:ascii="Times New Roman" w:cs="Times New Roman" w:eastAsia="Times New Roman" w:hAnsi="Times New Roman"/>
                <w:sz w:val="7"/>
                <w:szCs w:val="7"/>
                <w:b w:val="1"/>
                <w:bCs w:val="1"/>
                <w:color w:val="FF4338"/>
                <w:w w:val="75"/>
              </w:rPr>
              <w:t>tosellnordotheyseekan</w:t>
            </w: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20" w:type="dxa"/>
            <w:vAlign w:val="bottom"/>
            <w:gridSpan w:val="10"/>
          </w:tcPr>
          <w:p>
            <w:pPr>
              <w:ind w:left="380"/>
              <w:spacing w:after="0"/>
              <w:rPr>
                <w:sz w:val="20"/>
                <w:szCs w:val="20"/>
                <w:color w:val="auto"/>
              </w:rPr>
            </w:pPr>
            <w:r>
              <w:rPr>
                <w:rFonts w:ascii="Times New Roman" w:cs="Times New Roman" w:eastAsia="Times New Roman" w:hAnsi="Times New Roman"/>
                <w:sz w:val="22"/>
                <w:szCs w:val="22"/>
                <w:b w:val="1"/>
                <w:bCs w:val="1"/>
                <w:color w:val="auto"/>
              </w:rPr>
              <w:t>Investing in our common stock involves risks. Before making an investment decision, you should</w:t>
            </w:r>
          </w:p>
        </w:tc>
        <w:tc>
          <w:tcPr>
            <w:tcW w:w="0" w:type="dxa"/>
            <w:vAlign w:val="bottom"/>
          </w:tcPr>
          <w:p>
            <w:pPr>
              <w:spacing w:after="0"/>
              <w:rPr>
                <w:sz w:val="1"/>
                <w:szCs w:val="1"/>
                <w:color w:val="auto"/>
              </w:rPr>
            </w:pPr>
          </w:p>
        </w:tc>
      </w:tr>
      <w:tr>
        <w:trPr>
          <w:trHeight w:val="234"/>
        </w:trPr>
        <w:tc>
          <w:tcPr>
            <w:tcW w:w="1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660" w:type="dxa"/>
            <w:vAlign w:val="bottom"/>
            <w:gridSpan w:val="11"/>
          </w:tcPr>
          <w:p>
            <w:pPr>
              <w:ind w:left="40"/>
              <w:spacing w:after="0" w:line="233" w:lineRule="exact"/>
              <w:rPr>
                <w:sz w:val="20"/>
                <w:szCs w:val="20"/>
                <w:color w:val="auto"/>
              </w:rPr>
            </w:pPr>
            <w:r>
              <w:rPr>
                <w:rFonts w:ascii="Times New Roman" w:cs="Times New Roman" w:eastAsia="Times New Roman" w:hAnsi="Times New Roman"/>
                <w:sz w:val="22"/>
                <w:szCs w:val="22"/>
                <w:b w:val="1"/>
                <w:bCs w:val="1"/>
                <w:color w:val="auto"/>
              </w:rPr>
              <w:t>carefully consider the risks described under “</w:t>
            </w:r>
            <w:r>
              <w:rPr>
                <w:rFonts w:ascii="Times New Roman" w:cs="Times New Roman" w:eastAsia="Times New Roman" w:hAnsi="Times New Roman"/>
                <w:sz w:val="22"/>
                <w:szCs w:val="22"/>
                <w:b w:val="1"/>
                <w:bCs w:val="1"/>
                <w:color w:val="0000EE"/>
              </w:rPr>
              <w:t>Risk Factors</w:t>
            </w:r>
            <w:r>
              <w:rPr>
                <w:rFonts w:ascii="Times New Roman" w:cs="Times New Roman" w:eastAsia="Times New Roman" w:hAnsi="Times New Roman"/>
                <w:sz w:val="22"/>
                <w:szCs w:val="22"/>
                <w:b w:val="1"/>
                <w:bCs w:val="1"/>
                <w:color w:val="auto"/>
              </w:rPr>
              <w:t>” beginning on page S-4 of this prospectus</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40" w:type="dxa"/>
            <w:vAlign w:val="bottom"/>
            <w:gridSpan w:val="4"/>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6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auto"/>
                <w:w w:val="98"/>
              </w:rPr>
              <w:t>reference into this prospectus supplement and</w:t>
            </w:r>
          </w:p>
        </w:tc>
        <w:tc>
          <w:tcPr>
            <w:tcW w:w="0" w:type="dxa"/>
            <w:vAlign w:val="bottom"/>
          </w:tcPr>
          <w:p>
            <w:pPr>
              <w:spacing w:after="0" w:line="20" w:lineRule="exact"/>
              <w:rPr>
                <w:sz w:val="1"/>
                <w:szCs w:val="1"/>
                <w:color w:val="auto"/>
              </w:rPr>
            </w:pPr>
          </w:p>
        </w:tc>
      </w:tr>
      <w:tr>
        <w:trPr>
          <w:trHeight w:val="232"/>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0" w:type="dxa"/>
            <w:vAlign w:val="bottom"/>
            <w:gridSpan w:val="5"/>
          </w:tcPr>
          <w:p>
            <w:pPr>
              <w:ind w:left="40"/>
              <w:spacing w:after="0" w:line="232" w:lineRule="exact"/>
              <w:rPr>
                <w:sz w:val="20"/>
                <w:szCs w:val="20"/>
                <w:color w:val="auto"/>
              </w:rPr>
            </w:pPr>
            <w:r>
              <w:rPr>
                <w:rFonts w:ascii="Times New Roman" w:cs="Times New Roman" w:eastAsia="Times New Roman" w:hAnsi="Times New Roman"/>
                <w:sz w:val="22"/>
                <w:szCs w:val="22"/>
                <w:b w:val="1"/>
                <w:bCs w:val="1"/>
                <w:color w:val="auto"/>
              </w:rPr>
              <w:t>supplement, as well as in the documents incorporated by</w:t>
            </w:r>
          </w:p>
        </w:tc>
        <w:tc>
          <w:tcPr>
            <w:tcW w:w="426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60" w:type="dxa"/>
            <w:vAlign w:val="bottom"/>
            <w:gridSpan w:val="6"/>
          </w:tcPr>
          <w:p>
            <w:pPr>
              <w:ind w:left="40"/>
              <w:spacing w:after="0"/>
              <w:rPr>
                <w:sz w:val="20"/>
                <w:szCs w:val="20"/>
                <w:color w:val="auto"/>
              </w:rPr>
            </w:pPr>
            <w:r>
              <w:rPr>
                <w:rFonts w:ascii="Times New Roman" w:cs="Times New Roman" w:eastAsia="Times New Roman" w:hAnsi="Times New Roman"/>
                <w:sz w:val="22"/>
                <w:szCs w:val="22"/>
                <w:b w:val="1"/>
                <w:bCs w:val="1"/>
                <w:color w:val="auto"/>
              </w:rPr>
              <w:t>the accompanying prospectus.</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80" w:type="dxa"/>
            <w:vAlign w:val="bottom"/>
          </w:tcPr>
          <w:p>
            <w:pPr>
              <w:spacing w:after="0"/>
              <w:rPr>
                <w:sz w:val="24"/>
                <w:szCs w:val="24"/>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9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5"/>
                <w:szCs w:val="25"/>
                <w:color w:val="auto"/>
                <w:vertAlign w:val="superscript"/>
              </w:rPr>
              <w:t>(1)</w:t>
            </w: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extDirection w:val="btLr"/>
          </w:tcPr>
          <w:p>
            <w:pPr>
              <w:ind w:left="54"/>
              <w:spacing w:after="0"/>
              <w:rPr>
                <w:sz w:val="20"/>
                <w:szCs w:val="20"/>
                <w:color w:val="auto"/>
              </w:rPr>
            </w:pPr>
            <w:r>
              <w:rPr>
                <w:rFonts w:ascii="Times New Roman" w:cs="Times New Roman" w:eastAsia="Times New Roman" w:hAnsi="Times New Roman"/>
                <w:sz w:val="11"/>
                <w:szCs w:val="11"/>
                <w:b w:val="1"/>
                <w:bCs w:val="1"/>
                <w:color w:val="FF4338"/>
                <w:w w:val="74"/>
              </w:rPr>
              <w:t>preliminary</w:t>
            </w:r>
          </w:p>
        </w:tc>
        <w:tc>
          <w:tcPr>
            <w:tcW w:w="220" w:type="dxa"/>
            <w:vAlign w:val="bottom"/>
            <w:vMerge w:val="restart"/>
            <w:textDirection w:val="btLr"/>
          </w:tcPr>
          <w:p>
            <w:pPr>
              <w:ind w:left="94"/>
              <w:spacing w:after="0"/>
              <w:rPr>
                <w:sz w:val="20"/>
                <w:szCs w:val="20"/>
                <w:color w:val="auto"/>
              </w:rPr>
            </w:pPr>
            <w:r>
              <w:rPr>
                <w:rFonts w:ascii="Times New Roman" w:cs="Times New Roman" w:eastAsia="Times New Roman" w:hAnsi="Times New Roman"/>
                <w:sz w:val="11"/>
                <w:szCs w:val="11"/>
                <w:b w:val="1"/>
                <w:bCs w:val="1"/>
                <w:color w:val="FF4338"/>
                <w:w w:val="72"/>
              </w:rPr>
              <w:t>notanoffer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16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140" w:type="dxa"/>
            <w:vAlign w:val="bottom"/>
            <w:gridSpan w:val="2"/>
          </w:tcPr>
          <w:p>
            <w:pPr>
              <w:spacing w:after="0"/>
              <w:rPr>
                <w:sz w:val="12"/>
                <w:szCs w:val="12"/>
                <w:color w:val="auto"/>
              </w:rPr>
            </w:pPr>
          </w:p>
        </w:tc>
        <w:tc>
          <w:tcPr>
            <w:tcW w:w="1160" w:type="dxa"/>
            <w:vAlign w:val="bottom"/>
          </w:tcPr>
          <w:p>
            <w:pPr>
              <w:spacing w:after="0"/>
              <w:rPr>
                <w:sz w:val="12"/>
                <w:szCs w:val="12"/>
                <w:color w:val="auto"/>
              </w:rPr>
            </w:pPr>
          </w:p>
        </w:tc>
        <w:tc>
          <w:tcPr>
            <w:tcW w:w="42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80" w:type="dxa"/>
            <w:vAlign w:val="bottom"/>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9620" w:type="dxa"/>
            <w:vAlign w:val="bottom"/>
            <w:gridSpan w:val="10"/>
          </w:tcPr>
          <w:p>
            <w:pPr>
              <w:ind w:left="380"/>
              <w:spacing w:after="0" w:line="36" w:lineRule="exact"/>
              <w:rPr>
                <w:sz w:val="20"/>
                <w:szCs w:val="20"/>
                <w:color w:val="auto"/>
              </w:rPr>
            </w:pPr>
            <w:r>
              <w:rPr>
                <w:rFonts w:ascii="Times New Roman" w:cs="Times New Roman" w:eastAsia="Times New Roman" w:hAnsi="Times New Roman"/>
                <w:sz w:val="4"/>
                <w:szCs w:val="4"/>
                <w:color w:val="auto"/>
              </w:rPr>
              <w:t>We have granted the underwriters an option for a period of 30 days to purchase up to an additional $150,000,000 of shares of</w:t>
            </w:r>
          </w:p>
        </w:tc>
        <w:tc>
          <w:tcPr>
            <w:tcW w:w="0" w:type="dxa"/>
            <w:vAlign w:val="bottom"/>
          </w:tcPr>
          <w:p>
            <w:pPr>
              <w:spacing w:after="0" w:line="20" w:lineRule="exact"/>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(1)  See “Underwriting” for a description of compensation payable to the underwriters.</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0"/>
        </w:trPr>
        <w:tc>
          <w:tcPr>
            <w:tcW w:w="180" w:type="dxa"/>
            <w:vAlign w:val="bottom"/>
            <w:vMerge w:val="restart"/>
            <w:textDirection w:val="btLr"/>
          </w:tcPr>
          <w:p>
            <w:pPr>
              <w:spacing w:after="0"/>
              <w:rPr>
                <w:sz w:val="20"/>
                <w:szCs w:val="20"/>
                <w:color w:val="auto"/>
              </w:rPr>
            </w:pPr>
            <w:r>
              <w:rPr>
                <w:rFonts w:ascii="Times New Roman" w:cs="Times New Roman" w:eastAsia="Times New Roman" w:hAnsi="Times New Roman"/>
                <w:sz w:val="18"/>
                <w:szCs w:val="18"/>
                <w:b w:val="1"/>
                <w:bCs w:val="1"/>
                <w:color w:val="FF4338"/>
                <w:w w:val="99"/>
              </w:rPr>
              <w:t>this</w:t>
            </w:r>
          </w:p>
        </w:tc>
        <w:tc>
          <w:tcPr>
            <w:tcW w:w="220" w:type="dxa"/>
            <w:vAlign w:val="bottom"/>
            <w:vMerge w:val="restart"/>
            <w:textDirection w:val="btLr"/>
          </w:tcPr>
          <w:p>
            <w:pPr>
              <w:ind w:left="13"/>
              <w:spacing w:after="0"/>
              <w:rPr>
                <w:sz w:val="20"/>
                <w:szCs w:val="20"/>
                <w:color w:val="auto"/>
              </w:rPr>
            </w:pPr>
            <w:r>
              <w:rPr>
                <w:rFonts w:ascii="Times New Roman" w:cs="Times New Roman" w:eastAsia="Times New Roman" w:hAnsi="Times New Roman"/>
                <w:sz w:val="18"/>
                <w:szCs w:val="18"/>
                <w:b w:val="1"/>
                <w:bCs w:val="1"/>
                <w:color w:val="FF4338"/>
              </w:rPr>
              <w:t>are</w:t>
            </w:r>
          </w:p>
        </w:tc>
        <w:tc>
          <w:tcPr>
            <w:tcW w:w="240" w:type="dxa"/>
            <w:vAlign w:val="bottom"/>
          </w:tcPr>
          <w:p>
            <w:pPr>
              <w:spacing w:after="0"/>
              <w:rPr>
                <w:sz w:val="24"/>
                <w:szCs w:val="24"/>
                <w:color w:val="auto"/>
              </w:rPr>
            </w:pPr>
          </w:p>
        </w:tc>
        <w:tc>
          <w:tcPr>
            <w:tcW w:w="966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our common stock. If the underwriters exercise their option in full, the total underwriting discounts and commissions payable by us</w:t>
            </w:r>
          </w:p>
        </w:tc>
        <w:tc>
          <w:tcPr>
            <w:tcW w:w="0" w:type="dxa"/>
            <w:vAlign w:val="bottom"/>
          </w:tcPr>
          <w:p>
            <w:pPr>
              <w:spacing w:after="0"/>
              <w:rPr>
                <w:sz w:val="1"/>
                <w:szCs w:val="1"/>
                <w:color w:val="auto"/>
              </w:rPr>
            </w:pPr>
          </w:p>
        </w:tc>
      </w:tr>
      <w:tr>
        <w:trPr>
          <w:trHeight w:val="90"/>
        </w:trPr>
        <w:tc>
          <w:tcPr>
            <w:tcW w:w="1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32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color w:val="auto"/>
              </w:rPr>
              <w:t>will be $            , and the total proceeds to us, before expenses, will be $            .</w:t>
            </w: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80" w:type="dxa"/>
            <w:vAlign w:val="bottom"/>
            <w:vMerge w:val="restart"/>
            <w:textDirection w:val="btLr"/>
          </w:tcPr>
          <w:p>
            <w:pPr>
              <w:ind w:left="111"/>
              <w:spacing w:after="0"/>
              <w:rPr>
                <w:sz w:val="20"/>
                <w:szCs w:val="20"/>
                <w:color w:val="auto"/>
              </w:rPr>
            </w:pPr>
            <w:r>
              <w:rPr>
                <w:rFonts w:ascii="Times New Roman" w:cs="Times New Roman" w:eastAsia="Times New Roman" w:hAnsi="Times New Roman"/>
                <w:sz w:val="6"/>
                <w:szCs w:val="6"/>
                <w:b w:val="1"/>
                <w:bCs w:val="1"/>
                <w:color w:val="FF4338"/>
                <w:w w:val="73"/>
              </w:rPr>
              <w:t>Theinformationcontainedin</w:t>
            </w:r>
          </w:p>
        </w:tc>
        <w:tc>
          <w:tcPr>
            <w:tcW w:w="220" w:type="dxa"/>
            <w:vAlign w:val="bottom"/>
            <w:vMerge w:val="restart"/>
            <w:textDirection w:val="btLr"/>
          </w:tcPr>
          <w:p>
            <w:pPr>
              <w:ind w:left="151"/>
              <w:spacing w:after="0"/>
              <w:rPr>
                <w:sz w:val="20"/>
                <w:szCs w:val="20"/>
                <w:color w:val="auto"/>
              </w:rPr>
            </w:pPr>
            <w:r>
              <w:rPr>
                <w:rFonts w:ascii="Times New Roman" w:cs="Times New Roman" w:eastAsia="Times New Roman" w:hAnsi="Times New Roman"/>
                <w:sz w:val="6"/>
                <w:szCs w:val="6"/>
                <w:b w:val="1"/>
                <w:bCs w:val="1"/>
                <w:color w:val="FF4338"/>
                <w:w w:val="71"/>
              </w:rPr>
              <w:t>theaccompanyingprospectus</w:t>
            </w:r>
          </w:p>
        </w:tc>
        <w:tc>
          <w:tcPr>
            <w:tcW w:w="240" w:type="dxa"/>
            <w:vAlign w:val="bottom"/>
            <w:vMerge w:val="restart"/>
            <w:textDirection w:val="btLr"/>
          </w:tcPr>
          <w:p>
            <w:pPr>
              <w:ind w:left="56"/>
              <w:spacing w:after="0"/>
              <w:rPr>
                <w:sz w:val="20"/>
                <w:szCs w:val="20"/>
                <w:color w:val="auto"/>
              </w:rPr>
            </w:pPr>
            <w:r>
              <w:rPr>
                <w:rFonts w:ascii="Times New Roman" w:cs="Times New Roman" w:eastAsia="Times New Roman" w:hAnsi="Times New Roman"/>
                <w:sz w:val="16"/>
                <w:szCs w:val="16"/>
                <w:b w:val="1"/>
                <w:bCs w:val="1"/>
                <w:color w:val="FF4338"/>
                <w:w w:val="72"/>
              </w:rPr>
              <w:t>permitted.</w:t>
            </w:r>
          </w:p>
        </w:tc>
        <w:tc>
          <w:tcPr>
            <w:tcW w:w="7320" w:type="dxa"/>
            <w:vAlign w:val="bottom"/>
            <w:gridSpan w:val="8"/>
            <w:vMerge w:val="continue"/>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180" w:type="dxa"/>
            <w:vAlign w:val="bottom"/>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gridSpan w:val="10"/>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w:t>
            </w:r>
          </w:p>
        </w:tc>
        <w:tc>
          <w:tcPr>
            <w:tcW w:w="0" w:type="dxa"/>
            <w:vAlign w:val="bottom"/>
          </w:tcPr>
          <w:p>
            <w:pPr>
              <w:spacing w:after="0"/>
              <w:rPr>
                <w:sz w:val="1"/>
                <w:szCs w:val="1"/>
                <w:color w:val="auto"/>
              </w:rPr>
            </w:pPr>
          </w:p>
        </w:tc>
      </w:tr>
      <w:tr>
        <w:trPr>
          <w:trHeight w:val="32"/>
        </w:trPr>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20" w:type="dxa"/>
            <w:vAlign w:val="bottom"/>
            <w:gridSpan w:val="10"/>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6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these securities or passed upon the adequacy or accuracy of this prospectus or any applicable prospectus supplement. Any</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representation to the contrary is a criminal offense.</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7"/>
              </w:rPr>
              <w:t>The underwriters expects to deliver the shares to purchasers on or about </w:t>
            </w:r>
          </w:p>
        </w:tc>
        <w:tc>
          <w:tcPr>
            <w:tcW w:w="40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9"/>
              </w:rPr>
              <w:t>         , 2025 through the book-entry facilities of The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Depository Trust Company.</w:t>
            </w:r>
          </w:p>
        </w:tc>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1"/>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20" w:type="dxa"/>
            <w:vAlign w:val="bottom"/>
            <w:gridSpan w:val="5"/>
          </w:tcPr>
          <w:p>
            <w:pPr>
              <w:ind w:left="2340"/>
              <w:spacing w:after="0"/>
              <w:rPr>
                <w:sz w:val="20"/>
                <w:szCs w:val="20"/>
                <w:color w:val="auto"/>
              </w:rPr>
            </w:pPr>
            <w:r>
              <w:rPr>
                <w:rFonts w:ascii="Times New Roman" w:cs="Times New Roman" w:eastAsia="Times New Roman" w:hAnsi="Times New Roman"/>
                <w:sz w:val="22"/>
                <w:szCs w:val="22"/>
                <w:b w:val="1"/>
                <w:bCs w:val="1"/>
                <w:i w:val="1"/>
                <w:iCs w:val="1"/>
                <w:color w:val="auto"/>
              </w:rPr>
              <w:t>Lead Bookrunning Managers</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3"/>
          </w:tcPr>
          <w:p>
            <w:pPr>
              <w:ind w:left="26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400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0" w:type="dxa"/>
            <w:vAlign w:val="bottom"/>
          </w:tcPr>
          <w:p>
            <w:pPr>
              <w:spacing w:after="0"/>
              <w:rPr>
                <w:sz w:val="1"/>
                <w:szCs w:val="1"/>
                <w:color w:val="auto"/>
              </w:rPr>
            </w:pPr>
          </w:p>
        </w:tc>
      </w:tr>
    </w:tbl>
    <w:p>
      <w:pPr>
        <w:spacing w:after="0" w:line="182" w:lineRule="exact"/>
        <w:rPr>
          <w:sz w:val="24"/>
          <w:szCs w:val="24"/>
          <w:color w:val="auto"/>
        </w:rPr>
      </w:pPr>
    </w:p>
    <w:p>
      <w:pPr>
        <w:sectPr>
          <w:pgSz w:w="11900" w:h="16838" w:orient="portrait"/>
          <w:cols w:equalWidth="0" w:num="1">
            <w:col w:w="11140"/>
          </w:cols>
          <w:pgMar w:left="320" w:top="216" w:right="439" w:bottom="1440" w:gutter="0" w:footer="0" w:header="0"/>
        </w:sectPr>
      </w:pPr>
    </w:p>
    <w:p>
      <w:pPr>
        <w:jc w:val="center"/>
        <w:ind w:right="-119"/>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The date of this prospectus supplement is          </w:t>
        <w:tab/>
        <w:t>, 2025.</w:t>
      </w:r>
    </w:p>
    <w:p>
      <w:pPr>
        <w:sectPr>
          <w:pgSz w:w="11900" w:h="16838" w:orient="portrait"/>
          <w:cols w:equalWidth="0" w:num="1">
            <w:col w:w="11140"/>
          </w:cols>
          <w:pgMar w:left="320" w:top="21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5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60" w:type="dxa"/>
            <w:vAlign w:val="bottom"/>
            <w:gridSpan w:val="5"/>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60" w:type="dxa"/>
            <w:vAlign w:val="bottom"/>
            <w:gridSpan w:val="5"/>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020" w:type="dxa"/>
            <w:vAlign w:val="bottom"/>
            <w:gridSpan w:val="6"/>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9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ON FORWARD-LOOKING STATEMENTS</w:t>
            </w:r>
          </w:p>
        </w:tc>
        <w:tc>
          <w:tcPr>
            <w:tcW w:w="4480" w:type="dxa"/>
            <w:vAlign w:val="bottom"/>
            <w:gridSpan w:val="4"/>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1"/>
          </w:tcPr>
          <w:p>
            <w:pPr>
              <w:spacing w:after="0"/>
              <w:rPr>
                <w:sz w:val="17"/>
                <w:szCs w:val="17"/>
                <w:color w:val="auto"/>
              </w:rPr>
            </w:pPr>
          </w:p>
        </w:tc>
        <w:tc>
          <w:tcPr>
            <w:tcW w:w="618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880" w:type="dxa"/>
            <w:vAlign w:val="bottom"/>
            <w:gridSpan w:val="14"/>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7980" w:type="dxa"/>
            <w:vAlign w:val="bottom"/>
            <w:gridSpan w:val="15"/>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TO NON-U.S. HOLDERS</w:t>
            </w:r>
          </w:p>
        </w:tc>
        <w:tc>
          <w:tcPr>
            <w:tcW w:w="27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6"/>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4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5060" w:type="dxa"/>
            <w:vAlign w:val="bottom"/>
            <w:gridSpan w:val="5"/>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S-22</w:t>
            </w:r>
          </w:p>
        </w:tc>
        <w:tc>
          <w:tcPr>
            <w:tcW w:w="0" w:type="dxa"/>
            <w:vAlign w:val="bottom"/>
          </w:tcPr>
          <w:p>
            <w:pPr>
              <w:spacing w:after="0"/>
              <w:rPr>
                <w:sz w:val="1"/>
                <w:szCs w:val="1"/>
                <w:color w:val="auto"/>
              </w:rPr>
            </w:pPr>
          </w:p>
        </w:tc>
      </w:tr>
      <w:tr>
        <w:trPr>
          <w:trHeight w:val="668"/>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946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2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9460" w:type="dxa"/>
            <w:vAlign w:val="bottom"/>
            <w:gridSpan w:val="21"/>
            <w:vMerge w:val="continue"/>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12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8180" w:type="dxa"/>
            <w:vAlign w:val="bottom"/>
            <w:gridSpan w:val="18"/>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880" w:type="dxa"/>
            <w:vAlign w:val="bottom"/>
            <w:gridSpan w:val="14"/>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6560" w:type="dxa"/>
            <w:vAlign w:val="bottom"/>
            <w:gridSpan w:val="10"/>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6440" w:type="dxa"/>
            <w:vAlign w:val="bottom"/>
            <w:gridSpan w:val="8"/>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40" w:type="dxa"/>
            <w:vAlign w:val="bottom"/>
            <w:gridSpan w:val="8"/>
            <w:shd w:val="clear" w:color="auto" w:fill="0000EE"/>
          </w:tcPr>
          <w:p>
            <w:pPr>
              <w:spacing w:after="0" w:line="20" w:lineRule="exact"/>
              <w:rPr>
                <w:sz w:val="1"/>
                <w:szCs w:val="1"/>
                <w:color w:val="auto"/>
              </w:rPr>
            </w:pPr>
          </w:p>
        </w:tc>
        <w:tc>
          <w:tcPr>
            <w:tcW w:w="6280" w:type="dxa"/>
            <w:vAlign w:val="bottom"/>
            <w:gridSpan w:val="1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3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AND INFORMATION INCORPORATED BY REFERENCE</w:t>
            </w:r>
          </w:p>
        </w:tc>
        <w:tc>
          <w:tcPr>
            <w:tcW w:w="1140" w:type="dxa"/>
            <w:vAlign w:val="bottom"/>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000" w:type="dxa"/>
            <w:vAlign w:val="bottom"/>
            <w:gridSpan w:val="16"/>
          </w:tcPr>
          <w:p>
            <w:pPr>
              <w:spacing w:after="0"/>
              <w:rPr>
                <w:sz w:val="17"/>
                <w:szCs w:val="17"/>
                <w:color w:val="auto"/>
              </w:rPr>
            </w:pP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4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5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the common stock we are offering and other matters relating to us. The second part is the accompanying prospectus, which provides more general information about the securities we may offer from time to time, some of which may not apply to this offering of common stock. The accompanying prospectus provides general information, some of which may not apply to this offering. The accompanying prospectus is part of an automatic shelf registration statement on Form S-3 (File No. 333-284748) that we filed with the Securities and Exchange Commission (“SEC”) as a “well-known seasoned issuer” as defined in Rule 405 under the Securities Act of 1933, as amended, utilizing a “shelf” registration process. You should read both this prospectus supplement and the accompanying prospectus, together with the documents incorporated by reference and the additional information described under the headings “Where You Can Find Additional Information” in this prospectus supplement and “Where You Can Find More Information and Information Incorporated by Reference” in the accompanying prospectus before making an investment decision.</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on the other hand, the information contained in this prospectus supplement shall control. If any statement in this prospectus supplement conflicts with any statement in a document that has been incorporated herein by reference, then you should consider only the statement in the more recent document. You should assume that the information contained in this prospectus supplement, the accompanying prospectus and the documents incorporated by reference is accurate only as of their respective dates.</w:t>
      </w:r>
    </w:p>
    <w:p>
      <w:pPr>
        <w:spacing w:after="0" w:line="183"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and the underwriters have not, authorized any person to provide you with any information or to make any representation other than as contained in this prospectus supplement, the accompanying prospectus and any free writing prospectus to which we have referred you and the information incorporated by reference in such documents. We and the underwriters do not take any responsibility for, and can provide no assurance as to the reliability of, any information that others may provide you. The information appearing or incorporated by reference in this prospectus supplement, the accompanying prospectus and any free writing prospectus to which we have referred you is accurate only as of the date of this prospectus supplement, the accompanying prospectus or any such free writing prospectus or the date of the document in which incorporated information appears unless otherwise noted in such documents. Our business, financial condition, results of operations and prospects may have changed since those dates.</w:t>
      </w:r>
    </w:p>
    <w:p>
      <w:pPr>
        <w:spacing w:after="0" w:line="17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unless the context otherwise requires, all references in this prospectus supplement to “Take-Two,” the “Company,” “we,” “us,” and “our” refer to Take-Two Interactive Software, Inc. and its subsidiaries.</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Some of the market and industry data contained or incorporated by reference in this prospectus supplement are based on independent industry publications or other publicly available information, while other information is based on internal studies. Although we believe that these independent sources and our internal data are reliable as of their respective dates, the information contained in them has not been independently verified. As a result, you should be aware that the market and industry data contained or incorporated by reference in this prospectus supplement, and beliefs and estimates based on such data, may not be reliable.</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distribution of this prospectus supplement, the accompanying prospectus and any free writing prospectus to which we have referred you and the offering of our common stock in certain jurisdictions may be restricted by law. We are not, and the underwriters are not, making an offer of our common stock in any jurisdiction where the offer or sale is not permitted. Persons who come into possession of this prospectus supplement, the accompanying prospectus and any free writing prospectus to which we have referred you should inform themselves about and observe any such restrictions. This prospectus supplement, the accompanying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prospectus and any such free writing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CAUTIONARY NOTE ON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contain forward-looking statements. The statements contained herein and therein, which are not historical facts, including statements relating to our outlook,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89"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Actual outcomes and results may vary materially from these forward-looking statements based on a variety of risks and uncertainties including risks relating to the timely release and significant market acceptance of our games;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factors affecting our mobile business, such as player acquisition costs; the ability to maintain acceptable pricing levels on our games; and other risks included herein; as well as, but not limited to, the risks and uncertainties discussed under the heading “Risk Factors” beginning on page S-4 and contained in our Annual Report on Form 10-K for the fiscal year ended March 31, 2025 and our other subsequently filed periodic filings with the SEC, which can be accessed at www.sec.gov.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173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1733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information below is a summary of the more detailed information included elsewhere or incorporated by reference in this prospectus supplement and the accompanying prospectus. You should read carefully the following summary together with the more detailed information contained in this prospectus supplement, including the “Risk Factors” section beginning on page S-4 of this prospectus supplement, the accompanying prospectus and the information incorporated by reference herein and therein, including the “Risk Factors” sections in our periodic reports that we file with the SEC. This summary is not complete and does not contain all of the information you should consider before purchasing shares of our common stock.</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left="300" w:right="120" w:firstLine="426"/>
        <w:spacing w:after="0" w:line="236" w:lineRule="auto"/>
        <w:rPr>
          <w:sz w:val="20"/>
          <w:szCs w:val="20"/>
          <w:color w:val="auto"/>
        </w:rPr>
      </w:pPr>
      <w:r>
        <w:rPr>
          <w:rFonts w:ascii="Times New Roman" w:cs="Times New Roman" w:eastAsia="Times New Roman" w:hAnsi="Times New Roman"/>
          <w:sz w:val="18"/>
          <w:szCs w:val="18"/>
          <w:color w:val="auto"/>
        </w:rPr>
        <w:t>We are a leading developer, publisher, and marketer of interactive entertainment for consumers around the globe. We develop, operate, and publish products principally through Rockstar Games, 2K, and Zynga. In October 2024, we sold our Private Division label, including our rights to substantially all of the label’s titles. Our products are designed for console gaming systems, including, but not limited to, the Sony Computer Entertainment, Inc.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PlayStation5, the Microsoft Corporation Xbox One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Xbox Series X|S, and the Nintendo Switch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as well as mobile, including smartphones and tablets, and personal computers. We deliver our products through physical retail, digital download, online platforms, and cloud streaming services.</w:t>
      </w:r>
    </w:p>
    <w:p>
      <w:pPr>
        <w:spacing w:after="0" w:line="200"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Our strategy is to create hit entertainment experiences, delivered on every platform relevant to our audience through a variety of sound business models. Our pillars - creativity, innovation, and efficiency - guide us as we strive to create the highest quality, most captivating experiences for our consumers. We believe that our player-first approach and commitment to creativity and innovation are distinguishing strengths, enabling us to differentiate our products in the marketplace by combining advanced technology with compelling storylines and characters that provide unique, deeply engaging gameplay experiences.</w:t>
      </w:r>
    </w:p>
    <w:p>
      <w:pPr>
        <w:spacing w:after="0" w:line="183"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Our teams have established a portfolio of proprietary software content for the major hardware and mobile platforms, and we aim to be at the forefront of technological innovation. We have a diverse portfolio that spans all key platforms and numerous genres, including action, adventure, family, casual, hyper-casual, role-playing, shooter, social casino, sports, and strategy. This enables us to appeal to a wide array of consumers and demographic groups worldwide, ranging from game enthusiasts to casual gamers. Most of our intellectual property is internally owned and developed, which we believe best positions us financially and competitively. In addition, we license selectively some highly recognizable renowned brands, especially in sports entertainment. We support our products with innovative marketing programs created by our internal global marketing teams.</w:t>
      </w:r>
    </w:p>
    <w:p>
      <w:pPr>
        <w:spacing w:after="0" w:line="189"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 and our website address is www.take2games.com. Our website and the information contained therein or connected thereto are not intended to be incorporated into this 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33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4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Take-Two Interactive Software, Inc.</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1220" w:type="dxa"/>
            <w:vAlign w:val="bottom"/>
          </w:tcPr>
          <w:p>
            <w:pPr>
              <w:ind w:left="1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shares of our common stock (or 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w:t>
            </w:r>
          </w:p>
        </w:tc>
      </w:tr>
      <w:tr>
        <w:trPr>
          <w:trHeight w:val="216"/>
        </w:trPr>
        <w:tc>
          <w:tcPr>
            <w:tcW w:w="4540" w:type="dxa"/>
            <w:vAlign w:val="bottom"/>
          </w:tcPr>
          <w:p>
            <w:pPr>
              <w:spacing w:after="0"/>
              <w:rPr>
                <w:sz w:val="18"/>
                <w:szCs w:val="18"/>
                <w:color w:val="auto"/>
              </w:rPr>
            </w:pPr>
          </w:p>
        </w:tc>
        <w:tc>
          <w:tcPr>
            <w:tcW w:w="4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w w:val="99"/>
              </w:rPr>
              <w:t>stock, assuming the underwriters exercise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their option to purchase additional shares as described below).</w:t>
            </w:r>
          </w:p>
        </w:tc>
      </w:tr>
      <w:tr>
        <w:trPr>
          <w:trHeight w:val="31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to purchase an additional $150,000,000 of shares of our common</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stock. The underwriters may exercise their option at any time within</w:t>
            </w:r>
          </w:p>
        </w:tc>
      </w:tr>
      <w:tr>
        <w:trPr>
          <w:trHeight w:val="214"/>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30 days from the date of this prospectus supplement. See</w:t>
            </w:r>
          </w:p>
        </w:tc>
      </w:tr>
      <w:tr>
        <w:trPr>
          <w:trHeight w:val="236"/>
        </w:trPr>
        <w:tc>
          <w:tcPr>
            <w:tcW w:w="4540" w:type="dxa"/>
            <w:vAlign w:val="bottom"/>
          </w:tcPr>
          <w:p>
            <w:pPr>
              <w:spacing w:after="0"/>
              <w:rPr>
                <w:sz w:val="20"/>
                <w:szCs w:val="20"/>
                <w:color w:val="auto"/>
              </w:rPr>
            </w:pPr>
          </w:p>
        </w:tc>
        <w:tc>
          <w:tcPr>
            <w:tcW w:w="4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after giving effect to this offering</w:t>
            </w:r>
          </w:p>
        </w:tc>
        <w:tc>
          <w:tcPr>
            <w:tcW w:w="1220" w:type="dxa"/>
            <w:vAlign w:val="bottom"/>
          </w:tcPr>
          <w:p>
            <w:pPr>
              <w:ind w:left="110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shares of our common stock (or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our</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common stock if the underwriters exercise their option to purchase</w:t>
            </w:r>
          </w:p>
        </w:tc>
      </w:tr>
      <w:tr>
        <w:trPr>
          <w:trHeight w:val="234"/>
        </w:trPr>
        <w:tc>
          <w:tcPr>
            <w:tcW w:w="4540" w:type="dxa"/>
            <w:vAlign w:val="bottom"/>
          </w:tcPr>
          <w:p>
            <w:pPr>
              <w:spacing w:after="0"/>
              <w:rPr>
                <w:sz w:val="20"/>
                <w:szCs w:val="20"/>
                <w:color w:val="auto"/>
              </w:rPr>
            </w:pPr>
          </w:p>
        </w:tc>
        <w:tc>
          <w:tcPr>
            <w:tcW w:w="412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2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Exchange listing</w:t>
            </w: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Our common stock is listed on Nasdaq under the symbol “TTWO.”</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w:t>
            </w:r>
          </w:p>
        </w:tc>
      </w:tr>
      <w:tr>
        <w:trPr>
          <w:trHeight w:val="214"/>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w w:val="99"/>
              </w:rPr>
              <w:t>corporate purposes, which may include the repayment of outstanding</w:t>
            </w:r>
          </w:p>
        </w:tc>
      </w:tr>
      <w:tr>
        <w:trPr>
          <w:trHeight w:val="236"/>
        </w:trPr>
        <w:tc>
          <w:tcPr>
            <w:tcW w:w="4540" w:type="dxa"/>
            <w:vAlign w:val="bottom"/>
          </w:tcPr>
          <w:p>
            <w:pPr>
              <w:spacing w:after="0"/>
              <w:rPr>
                <w:sz w:val="20"/>
                <w:szCs w:val="20"/>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debt and future acquisitions.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w w:val="99"/>
              </w:rPr>
              <w:t>“Risk Factors” beginning on page S-4 of this prospectus supplement,</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as well as in the documents incorporated by reference into this</w:t>
            </w:r>
          </w:p>
        </w:tc>
      </w:tr>
      <w:tr>
        <w:trPr>
          <w:trHeight w:val="216"/>
        </w:trPr>
        <w:tc>
          <w:tcPr>
            <w:tcW w:w="4540" w:type="dxa"/>
            <w:vAlign w:val="bottom"/>
          </w:tcPr>
          <w:p>
            <w:pPr>
              <w:spacing w:after="0"/>
              <w:rPr>
                <w:sz w:val="18"/>
                <w:szCs w:val="18"/>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prospectus supplement and the accompanying prospectus, before</w:t>
            </w:r>
          </w:p>
        </w:tc>
      </w:tr>
      <w:tr>
        <w:trPr>
          <w:trHeight w:val="234"/>
        </w:trPr>
        <w:tc>
          <w:tcPr>
            <w:tcW w:w="4540" w:type="dxa"/>
            <w:vAlign w:val="bottom"/>
          </w:tcPr>
          <w:p>
            <w:pPr>
              <w:spacing w:after="0"/>
              <w:rPr>
                <w:sz w:val="20"/>
                <w:szCs w:val="20"/>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making a decision to purchase the common shares offered hereby.</w:t>
            </w:r>
          </w:p>
        </w:tc>
      </w:tr>
      <w:tr>
        <w:trPr>
          <w:trHeight w:val="30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We have never declared or paid cash dividends. We currently</w:t>
            </w:r>
          </w:p>
        </w:tc>
      </w:tr>
      <w:tr>
        <w:trPr>
          <w:trHeight w:val="234"/>
        </w:trPr>
        <w:tc>
          <w:tcPr>
            <w:tcW w:w="4540" w:type="dxa"/>
            <w:vAlign w:val="bottom"/>
          </w:tcPr>
          <w:p>
            <w:pPr>
              <w:spacing w:after="0"/>
              <w:rPr>
                <w:sz w:val="20"/>
                <w:szCs w:val="20"/>
                <w:color w:val="auto"/>
              </w:rPr>
            </w:pPr>
          </w:p>
        </w:tc>
        <w:tc>
          <w:tcPr>
            <w:tcW w:w="6080" w:type="dxa"/>
            <w:vAlign w:val="bottom"/>
            <w:gridSpan w:val="6"/>
          </w:tcPr>
          <w:p>
            <w:pPr>
              <w:ind w:left="1100"/>
              <w:spacing w:after="0"/>
              <w:rPr>
                <w:sz w:val="20"/>
                <w:szCs w:val="20"/>
                <w:color w:val="auto"/>
              </w:rPr>
            </w:pPr>
            <w:r>
              <w:rPr>
                <w:rFonts w:ascii="Times New Roman" w:cs="Times New Roman" w:eastAsia="Times New Roman" w:hAnsi="Times New Roman"/>
                <w:sz w:val="18"/>
                <w:szCs w:val="18"/>
                <w:color w:val="auto"/>
              </w:rPr>
              <w:t>anticipate that all future earnings will be retained to finance the</w:t>
            </w:r>
          </w:p>
        </w:tc>
      </w:tr>
    </w:tbl>
    <w:p>
      <w:pPr>
        <w:ind w:left="5940"/>
        <w:spacing w:after="0"/>
        <w:rPr>
          <w:sz w:val="20"/>
          <w:szCs w:val="20"/>
          <w:color w:val="auto"/>
        </w:rPr>
      </w:pPr>
      <w:r>
        <w:rPr>
          <w:rFonts w:ascii="Times New Roman" w:cs="Times New Roman" w:eastAsia="Times New Roman" w:hAnsi="Times New Roman"/>
          <w:sz w:val="18"/>
          <w:szCs w:val="18"/>
          <w:color w:val="auto"/>
        </w:rPr>
        <w:t>growth of our business and pay down our outstanding debt. We do</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not expect to declare or pay any cash dividends in the foreseeable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future. The payment of dividends in the future is within the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discretion of our board of directors and will depend upon future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earnings, capital requirements and other relevant factors.</w:t>
      </w:r>
    </w:p>
    <w:p>
      <w:pPr>
        <w:spacing w:after="0" w:line="207"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Except as otherwise stated in this prospectus supplement, the number of shares of our common stock to be outstanding immediately after the closing of this offering is based on 177,144,416 shares of common stock outstanding as of March 31, 2025, and excludes as of that date:</w:t>
      </w:r>
    </w:p>
    <w:p>
      <w:pPr>
        <w:spacing w:after="0" w:line="67"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8,446,053 shares of our common stock issuable upon the vesting of restricted stock units (“RSUs”) outstanding as of March 31, 2025;</w:t>
      </w:r>
    </w:p>
    <w:p>
      <w:pPr>
        <w:spacing w:after="0" w:line="130"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shares of our common stock issuable upon the exercise of options to purchase shares of our common stock outstanding as of March 31, 2025, with a weighted-average exercise price of $33.62 per share;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564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1564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8,285,538 shares of our common stock reserved for future issuance under our Amended and Restated Take-Two Interactive Software, Inc. 2017 Stock Incentive Plan (“Stock Incentive Plan”) as of March 31, 2025; and</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7,547,459 shares of our common stock reserved for future issuance under our 2017 Second Amended and Restated Global Employee Stock Purchase Plan (“ESPP”) as of March 31, 2025.</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w:t>
      </w:r>
    </w:p>
    <w:p>
      <w:pPr>
        <w:spacing w:after="0" w:line="131" w:lineRule="exact"/>
        <w:rPr>
          <w:sz w:val="20"/>
          <w:szCs w:val="20"/>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settlement of outstanding RSUs or exercise of outstanding options subsequent to March 31, 2025;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common stock from us.</w:t>
      </w:r>
    </w:p>
    <w:p>
      <w:pPr>
        <w:spacing w:after="0" w:line="34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common stock involves certain risks. In addition to the other information contained in, or incorporated by reference into, this prospectus supplement and the accompanying prospectus, you should carefully consider the risk factors described in our Annual Report on Form 10-K for the fiscal year ended March 31, 2025, which is incorporated by reference herein, as those risk factors are amended or supplemented by the other reports and documents we file with the SEC after the date of this prospectus supplement, and the following discussion of risks, before deciding whether an investment in our common stock is suitable for you.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Please also carefully read the section entitled “Cautionary Note on Forward-Looking Statements” included in this prospectus supplement, in our most recent Annual Report on Form 10-K and any subsequent Quarterly Reports on Form 10-Q or Current Reports on Form 8-K.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experienced, and may continue to experience, price volatility, which could result in substantial losses for investors in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common stock has at times experienced substantial price volatility as a result of many factors, including the general volatility of stock market prices and volumes, changes in securities analysts’ estimates of our financial performance, variations between our actual and anticipated financial results, fluctuations in consumer demand for our products, or uncertainty about current global economic conditions. For these reasons, among others, the price of our common stock may continue to fluctuate. In addition, if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unsuccessful, could be costly to defend and be a distraction to management.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adversely affect our common stock price.</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Sales of our common stock or other securities in the public or private market, or the perception that these sales may occur, could cause the market price of our common stock to decline. This could also impair our ability to raise additional capital through the sale of our equity securities. Under our certificate of incorporation, we are authorized to issue up to 300,000,000 shares of common stock. We cannot predict the size of future issuances of our common stock or other securities or the effect, if any, that future sales and issuances of our common stock and other securities would have on the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in the application of the net proceeds from this offering, for general corporate purposes, including the repayment of outstanding debt and future acquisitions, and we may spend or invest these proceeds in a way with which our stockholders disagree. Because of the number and variability of factors that will determine our use of the net proceeds from this offering, their ultimate use may vary substantially from their currently intended use.</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failure by our management to apply these funds effectively could harm our business. Pending their use, we may invest such proceeds in a manner that does not produce income or that loses value, which may negatively impact the market price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our sale of the shares of common stock in this offering will be approximately $        million, or approximately $        million, if the underwriters’ option to purchase additional shares from us is exercised in full, after deducting underwriting discounts and commissions and offering expenses.</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repayment of outstanding debt and future acquisitions.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expected use of net proceeds of this offering represents our current intentions based upon our present plans and business conditions. We cannot specify with certainty all of the particular uses for the net proceeds to be received upon the closing of this offering. Pending such uses, we plan to invest the net proceeds of this offering in money market funds, short-term, investment grade, interest-bearing deposits or securities, such as direct or guaranteed obligations of the U.S. government.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have never declared or paid cash dividends. We currently anticipate that all future earnings will be retained to finance the growth of our business and pay down our outstanding debt. We do not expect to declare or pay any cash dividends in the foreseeable future. The payment of dividends in the future is within the discretion of our board of directors and will depend upon future earnings, capital requirements and other relevant factors.</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unaudited capitalization as of March 31, 2025:</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(i) the issuance and sale of the common stock in this offering and (ii) the repayment of our 3.550% Senior Notes due 2025, which we repaid on April 14, 2025 in the principal amount of $600.0 million.</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this table together with our consolidated financial statements and related notes to those statements, as well as the section titled “Management’s Discussion and Analysis of Financial Condition and Results of Operations,” incorporated by reference in this prospectus supplement and the accompanying prospectus.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1,456.1</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
        </w:trPr>
        <w:tc>
          <w:tcPr>
            <w:tcW w:w="6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r>
              <w:rPr>
                <w:rFonts w:ascii="Times New Roman" w:cs="Times New Roman" w:eastAsia="Times New Roman" w:hAnsi="Times New Roman"/>
                <w:sz w:val="26"/>
                <w:szCs w:val="26"/>
                <w:color w:val="auto"/>
                <w:vertAlign w:val="superscript"/>
              </w:rPr>
              <w:t>(1)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412.3</w:t>
            </w:r>
          </w:p>
        </w:tc>
        <w:tc>
          <w:tcPr>
            <w:tcW w:w="5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r>
      <w:tr>
        <w:trPr>
          <w:trHeight w:val="27"/>
        </w:trPr>
        <w:tc>
          <w:tcPr>
            <w:tcW w:w="7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 and other long-term liabilities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4,073.4</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62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5.0 shares authorized; no shares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2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March 31, 2025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62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300.0 shares authorized; 200.8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2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shares issued and 177.1 shares outstanding as of March 31, 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10,312.0</w:t>
            </w: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stock, at cost; 23.7 common shares at March 31, 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9"/>
              </w:rPr>
              <w:t>(1,020.6)</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 / 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(7,058.8)</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(96.9)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7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2,137.7</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23"/>
        </w:trPr>
        <w:tc>
          <w:tcPr>
            <w:tcW w:w="62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Total capitalization</w:t>
            </w:r>
            <w:r>
              <w:rPr>
                <w:rFonts w:ascii="Times New Roman" w:cs="Times New Roman" w:eastAsia="Times New Roman" w:hAnsi="Times New Roman"/>
                <w:sz w:val="25"/>
                <w:szCs w:val="25"/>
                <w:color w:val="auto"/>
                <w:vertAlign w:val="superscript"/>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6,211.1</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$259.6 million of deferred tax liabilities, net.</w:t>
      </w:r>
    </w:p>
    <w:p>
      <w:pPr>
        <w:spacing w:after="0" w:line="27" w:lineRule="exact"/>
        <w:rPr>
          <w:rFonts w:ascii="Times New Roman" w:cs="Times New Roman" w:eastAsia="Times New Roman" w:hAnsi="Times New Roman"/>
          <w:sz w:val="18"/>
          <w:szCs w:val="18"/>
          <w:color w:val="auto"/>
        </w:rPr>
      </w:pPr>
    </w:p>
    <w:p>
      <w:pPr>
        <w:ind w:left="540" w:right="260" w:hanging="424"/>
        <w:spacing w:after="0" w:line="26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represents the sum of total debt and other long-term liabilities (including deferred tax liabilities, net) and total stockholders’ equity.</w:t>
      </w:r>
    </w:p>
    <w:p>
      <w:pPr>
        <w:spacing w:after="0" w:line="18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is based on 177,144,416 shares of common stock outstanding as of March 31, 2025, which excludes the following:</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8,446,053 shares of our common stock issuable upon the vesting of RSUs outstanding as of March 31, 2025;</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shares of our common stock issuable upon the exercise of options to purchase shares of our common stock outstanding as of March 31, 2025, with a weighted-average exercise price of $33.62 per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8,285,538 shares of our common stock reserved for future issuance under our Stock Incentive Plan as of March 31, 2025;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7,547,459 shares of our common stock reserved for future issuance under our ESPP as of March 31, 2025.</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NON-U.S. HOLDERS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non-U.S., state or local jurisdiction, under U.S. federal gift and estate tax rules or under any applicable tax treaty. In addition, this discussion does not address any potential application of the Medicare contribution tax on net investment income or any tax considerations applicable to an investor’s particular circumstances or to investors that may be subject to special tax rules, including, without limitation:</w:t>
      </w:r>
    </w:p>
    <w:p>
      <w:pPr>
        <w:spacing w:after="0" w:line="85"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regulated investment companies, real estate investment trusts or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accounts;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and tax-qualified retirement plans;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(except to the extent specifically set forth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certain other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such for U.S. federal income tax purposes), other pass-through entities, and investors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property held for investment);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80"/>
          </w:cols>
          <w:pgMar w:left="320" w:top="455"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if a partnership, entity or arrangement classified as a partnership or flow-through entity for U.S. federal income tax purposes holds our common stock, the tax treatment of a partner or beneficial owner generally will depend on the status of the partner or beneficial owner, the activities of the partnership or other entity, and certain determinations made at the partner or beneficial owner level. A partner or beneficial owner in a partnership or other such entity that will hold our common stock should consult his, her or its own tax advisor regarding the tax consequences of the purchase, ownership and disposition of our common stock through a partnership or other such entity, as applicable.</w:t>
      </w:r>
    </w:p>
    <w:p>
      <w:pPr>
        <w:spacing w:after="0" w:line="17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you are a “non-U.S. holder” if you are a beneficial owner of our common stock that, for U.S. federal income tax purposes, is not a partnership (including any entity or arrangement treated as a partnership and the beneficial owners thereof) or:</w:t>
      </w:r>
    </w:p>
    <w:p>
      <w:pPr>
        <w:spacing w:after="0" w:line="67"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(or treated as created in or organized under) the law of the United States or any political subdivision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(1) whose administration is subject to the primary supervision of a U.S. court and that has one or more “United States persons” (within the meaning of Section 7701(a)(30) the Code) who have the authority to control all substantial decisions of the trust or (2) that has made a valid election under applicable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As described in “Dividend Policy,” we have never declared or paid any cash dividends on our capital stock, and we do not expect to pay any dividends in the foreseeable future. However, if we do make distributions on our common stock, such distributions will generally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adjusted tax basis in our common stock (determined separately with respect to each share of our common stock), but not below zero, and then will be treated as capital gain from the sale of stock as described below in “— Gain on Disposition of Common Stock.”</w:t>
      </w:r>
    </w:p>
    <w:p>
      <w:pPr>
        <w:spacing w:after="0" w:line="17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the discussions below on effectively connected income and in “— Backup Withholding and Information Reporting” and “—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withholding agent) with a properly executed IRS</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Form W-8BEN or W-8BEN-E or other appropriate version of IRS Form W-8 certifying qualification for the reduced rate. Under applicable Treasury Regulations, we may withhold up to 30% of the gross amount of the entire distribution even if the amount constituting a dividend, as described above, is less than the gross amount. If you are eligible for a reduced rate of U.S. federal withholding tax pursuant to an income tax treaty and do not timely provide us with such documentation, you may obtain 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refund of any excess amounts withheld by timely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76"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30% U.S. federal withholding tax, subject to the discussion below in “— Backup Withholding and Information Reporting” and “— Foreign Account Tax Compliance Act (FATCA).” In order to obtain this exemption, you must provide us with a properly executed IRS Form W-8ECI or other appropriate form properly certifying such exemption. Such effectively connected dividends, although not subject to U.S. federal withholding tax, are taxed at the same graduated rates applicable to United States persons, net of certain deductions and credits, subject to an applicable income tax treaty providing otherwise. In addition, if you are a corporate non-U.S. holder, dividends you receive that are effectively connected with your conduct of a U.S. trade or business (and, if an income tax treaty applies, are attributable to a permanent establishment or fixed base maintained by you in the United States)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 in “— Backup Withholding and Information Reporting,” you generally will not be required to pay U.S. federal income tax on any gain realized upon the sale or other taxable disposition of our common stock unless:</w:t>
      </w:r>
    </w:p>
    <w:p>
      <w:pPr>
        <w:spacing w:after="0" w:line="67" w:lineRule="exact"/>
        <w:rPr>
          <w:sz w:val="20"/>
          <w:szCs w:val="20"/>
          <w:color w:val="auto"/>
        </w:rPr>
      </w:pPr>
    </w:p>
    <w:p>
      <w:pPr>
        <w:ind w:left="1080" w:right="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who is present in the United States for a period or periods aggregating 183 days or more during the taxable year in which the sale or disposition occurs and certain other conditions are met; or</w:t>
      </w:r>
    </w:p>
    <w:p>
      <w:pPr>
        <w:spacing w:after="0" w:line="67" w:lineRule="exact"/>
        <w:rPr>
          <w:rFonts w:ascii="Times New Roman" w:cs="Times New Roman" w:eastAsia="Times New Roman" w:hAnsi="Times New Roman"/>
          <w:sz w:val="18"/>
          <w:szCs w:val="18"/>
          <w:color w:val="auto"/>
        </w:rPr>
      </w:pPr>
    </w:p>
    <w:p>
      <w:pPr>
        <w:ind w:left="1080" w:right="360" w:hanging="424"/>
        <w:spacing w:after="0" w:line="25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83"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You are encouraged to consult your own tax advisors regarding the possible consequences to you if we are, or were to become, a USRPHC.</w:t>
      </w:r>
    </w:p>
    <w:p>
      <w:pPr>
        <w:spacing w:after="0" w:line="164"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If you are a non-U.S. holder described in the first bullet above, you will be required to pay tax on the gain derived from the sale (net of certain deductions and credits) under regular graduated U.S. federal income tax rates applicable to United States persons, and a corporate non-U.S. holder described in the first bullet above also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may be subject to the branch profits tax at a 30% rate, or such lower rate as may be specified by an applicable income tax treaty. If you are an individual non-U.S. holder described in the second bullet above, you will be subject to tax on such gain at a rate of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Generally, we must report annually to the IRS the amount of distributions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Payments of dividends on or of proceeds from the disposition of our common stock made to you may also be subject to backup withholding at a current rate of 24% and information reporting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United States person.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you are a United States person or you otherwise establish an exemption. Proceeds of a disposition of our common stock conducted through a non-U.S. office of a non-U.S. broker generally will not be subject to backup withholding or information reporting.</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 (FATCA)</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common stock.</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Proposed Treasury Regulations, if finalized in their present form, would eliminate withholding under FATCA with respect to payments of gross proceeds from a sale or other disposition of our common stock. Taxpayers may generally rely on the proposed Treasury Regulations until final regulations are issued.</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offering the shares of our common stock described in this prospectus supplement through a number of underwriters. J.P. Morgan Securities LLC and Goldman Sachs &amp; Co. LLC are acting as lead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w:t>
      </w:r>
    </w:p>
    <w:p>
      <w:pPr>
        <w:spacing w:after="0" w:line="19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720" w:type="dxa"/>
            <w:vAlign w:val="bottom"/>
            <w:gridSpan w:val="3"/>
            <w:vMerge w:val="continue"/>
          </w:tcPr>
          <w:p>
            <w:pPr>
              <w:spacing w:after="0"/>
              <w:rPr>
                <w:sz w:val="13"/>
                <w:szCs w:val="13"/>
                <w:color w:val="auto"/>
              </w:rPr>
            </w:pPr>
          </w:p>
        </w:tc>
        <w:tc>
          <w:tcPr>
            <w:tcW w:w="7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6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of the shares of our common stock offered by us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the shares of our common stock directly to the public at the initial public offering price set forth on the cover page of this prospectus supplement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the offering price and other selling terms may be changed by the underwriters. The offering of the shares by the underwriters is subject to receipt and acceptance and subject to the underwriters’ right to reject any order in whole or in part. Sales of shares made outside of the United States may be made by affiliates of the underwriters.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an option to buy up to       additional shares of our common stock from us.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our common stock are purchased, the underwriters will offer the additional shares on the same terms as those on which the shares are being offered.</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our common stock less the amount paid by the underwriters to us per share of our common stock. The underwriting fee is $        per share of our common stock. The following table shows the per share and total underwriting discounts and commissions to be paid to the underwriters assuming both no exercise and full exercise of the underwriters’ option to purchase additional shares.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4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Per Share</w:t>
            </w: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Total</w:t>
            </w:r>
          </w:p>
        </w:tc>
      </w:tr>
      <w:tr>
        <w:trPr>
          <w:trHeight w:val="119"/>
        </w:trPr>
        <w:tc>
          <w:tcPr>
            <w:tcW w:w="39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44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4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4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40" w:type="dxa"/>
            <w:vAlign w:val="bottom"/>
          </w:tcPr>
          <w:p>
            <w:pPr>
              <w:spacing w:after="0"/>
              <w:rPr>
                <w:sz w:val="10"/>
                <w:szCs w:val="10"/>
                <w:color w:val="auto"/>
              </w:rPr>
            </w:pPr>
          </w:p>
        </w:tc>
      </w:tr>
      <w:tr>
        <w:trPr>
          <w:trHeight w:val="149"/>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Option to</w:t>
            </w:r>
          </w:p>
        </w:tc>
        <w:tc>
          <w:tcPr>
            <w:tcW w:w="4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Option to</w:t>
            </w:r>
          </w:p>
        </w:tc>
      </w:tr>
      <w:tr>
        <w:trPr>
          <w:trHeight w:val="148"/>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w:t>
            </w:r>
          </w:p>
        </w:tc>
        <w:tc>
          <w:tcPr>
            <w:tcW w:w="4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Purchase</w:t>
            </w:r>
          </w:p>
        </w:tc>
      </w:tr>
      <w:tr>
        <w:trPr>
          <w:trHeight w:val="149"/>
        </w:trPr>
        <w:tc>
          <w:tcPr>
            <w:tcW w:w="3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4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Additional</w:t>
            </w:r>
          </w:p>
        </w:tc>
        <w:tc>
          <w:tcPr>
            <w:tcW w:w="46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Additional</w:t>
            </w:r>
          </w:p>
        </w:tc>
      </w:tr>
      <w:tr>
        <w:trPr>
          <w:trHeight w:val="171"/>
        </w:trPr>
        <w:tc>
          <w:tcPr>
            <w:tcW w:w="39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Shares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6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68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365"/>
        </w:trPr>
        <w:tc>
          <w:tcPr>
            <w:tcW w:w="3940" w:type="dxa"/>
            <w:vAlign w:val="bottom"/>
          </w:tcPr>
          <w:p>
            <w:pPr>
              <w:spacing w:after="0"/>
              <w:rPr>
                <w:sz w:val="24"/>
                <w:szCs w:val="24"/>
                <w:color w:val="auto"/>
              </w:rPr>
            </w:pPr>
          </w:p>
        </w:tc>
        <w:tc>
          <w:tcPr>
            <w:tcW w:w="314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S-13</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 The underwriters have agreed to reimburse us for certain expenses incurred in connection with this offering.</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we will not, for a period of 75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any securities convertible into or exercisable or exchangeable for our common stock, or publicly disclose the intention to undertake any of the foregoing provided, however, that the Company may file a registration statement on Form S-3 in connection with the grants of restricted units to ZMC Advisors, L.P., consistent with past practice, or (ii) enter into any swap or other agreement that transfers, in whole or in part, any of the economic consequences of ownership of our common stock or any such other securities, whether any such transaction described in clause (i) or (ii) above is to be settled by delivery of our common stock or such other securities, in cash or otherwise, without the prior written consent of J.P. Morgan Securities LLC and Goldman Sachs &amp; Co. LLC, other than the shares of our common stock to be sold hereunder.</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restrictions described above do not apply to (i) the issuance of shares of our common stock or securities convertible into or exercisable for shares of our common stock pursuant to the conversion or exchange of convertible or exchangeable securities or the exercise of warrants or options (including net exercise) or the settlement of RSUs (including net settlement), in each case outstanding on the date of the underwriting agreement and described in this prospectus; or (ii) grants of stock options, stock awards, restricted stock, RSUs,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the Prospectus.</w:t>
      </w:r>
    </w:p>
    <w:p>
      <w:pPr>
        <w:spacing w:after="0" w:line="189"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(such persons, the “lock-up parties”) have entered into lock-up agreements with the underwriters prior to the commencement of this offering pursuant to which each lock-up party, with limited exceptions, for a period of 75 days after the date of this prospectus (such period, the “restricted period”), may not (and may not cause any of their controlled affiliates to), without the prior written consent of J.P. Morgan Securities LLC and Goldman Sachs &amp; Co. LLC,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our common stock or such other securities which may be deemed to be beneficially owned by such lock-up parties in accordance with the rules and regulations of the SEC and securities which may be issued upon exercise of a stock option or warrant (collectively with the our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provided that the Company may file a registration statement on Form S-3 in connection with grants of restricted units to ZMC Advisors, L.P., consistent with past practice,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distribution, or otherwise disposal (as the case may be) of lock-up securities: (i) as bona fide gift or gifts, or for bona fide estate planning purposes, (ii) by will, other testamentary document or intestacy, (iii) to any trust for the direct or indirect benefit of the lock-up party or any immediate family member, or if the lock-up securities are held by a trust, to a trustor or beneficiary of the trust or to the estate of a beneficiary of such trust,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distribution, transfer or other disposition would be permissible under clauses (i) through (iv), (vi) if the lock-up securities are held by a corporation, partnership, limited liability company, trust or other business entity (the “Holder”), (A) to another corporation, partnership, limited liability company, trust or other business entity that is an affiliate of the Holder, or to any investment fund or other entity controlling, controlled by, managing or managed by or under common control with the Holder or its affiliates or (B) as part of a distribution to members, partners, shareholders or other equityholders of the Holder; (vii) by operation of law, such as pursuant to a qualified domestic order, divorce settlement, divorce decree, separation agreement or other court order,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restricted stock units, options, warrants or other equity or equity-based awards or rights with respect or to purchase shares of our common stock (including, in each case, by way of “net” or “cashless” exercise, “net settlement” or otherwise) (collectively, “Equity-Based Awards”), including for the payment of exercise price and tax and remittance payments due as a result of the vesting, settlement, or exercise of such Equity-Based Awards, (xi) pursuant to trading plans or instructions (including “sell to cover” elections) pursuant to Rule 10b5-1 under the Exchange Act for the transfer of shares of lock-up securities; provided that such plan or instruction was established prior to the execution of such lock-up agreement by the lock-up party; provided further that any filing under Section 16(a) of the Exchange Act that is made in connection with any such sales during the restricted period shall state that such sales have been executed under a Rule 10b5-1 trading plan and shall also state the date such 10b5-1 trading plan was adopted, or (xii)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w:t>
      </w:r>
    </w:p>
    <w:p>
      <w:pPr>
        <w:spacing w:after="0" w:line="202" w:lineRule="exact"/>
        <w:rPr>
          <w:sz w:val="20"/>
          <w:szCs w:val="20"/>
          <w:color w:val="auto"/>
        </w:rPr>
      </w:pPr>
    </w:p>
    <w:p>
      <w:pPr>
        <w:ind w:left="120" w:hanging="4"/>
        <w:spacing w:after="0" w:line="251" w:lineRule="auto"/>
        <w:tabs>
          <w:tab w:leader="none" w:pos="3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outstanding options, settlement of RSUs or other equity awards, or the exercise of warrants granted pursuant to plans described in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of our common stock or warrant received upon such conversion would be subject to restrictions similar to those in the immediately preceding paragraph; and (d) the establishment of trading plans pursuant to Rule 10b5-1 under the Exchange Act for the transfer of shares of lock-up securities; provided that (1) such plans do not provide for the transfer of lock-up securities during the restricted period and (2) no filing by any party under the Exchange Act or other public announcement shall be made voluntarily (whether by or on behalf of the lock-up party, us or any other party) and that any public announcement or filing under the Exchange Act legally required to be made by any person or us during the restricted period in connection with the establishment of such trading plan shall include a statement that the lock-up party is not permitted to transfer, sell or otherwise dispose of securities under such plan during the restricted period in contravention of the restrictions in the immediately preceding paragraph).</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and Goldman Sachs &amp; Co.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(“Nasdaq”) under the symbol “TTWO.”</w:t>
      </w:r>
    </w:p>
    <w:p>
      <w:pPr>
        <w:spacing w:after="0" w:line="225"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our common stock in the open market for the purpose of preventing or retarding a decline in the market price of our common stock while this offering is in progress. These stabilizing transactions may include making short sales of our common stock, which involves the sale by the underwriters of a greater number of shares of our common stock than they are required to purchase in this offering, and purchasing shares of our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our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our common stock, including the imposition of penalty bids. This means that if the representatives of the underwriters purchase our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(and selling group members)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our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8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 services for us and such affiliates in the ordinary course of their business, for which they have received and may continue to receive customary fees and commissions. J.P. Morgan Securities LLC served as a lead book-running manager in connection with our $2.7 billion offering of senior notes in April 2022 and our $1.0 billion offering of senior notes in April 2023, and served as lead bookrunner in connection with our $350 million offering of senior notes in January 2024 and $600 million offering of senior notes in June 2024. Goldman Sachs &amp; Co. LLC served as a joint passive bookrunner in connection with our $600 million offering of senior notes in June 2024 and as sole underwriter in connection with an offering by one of our selling stockholders of 2.8 million shares in June 2024. An affiliate of J.P. Morgan Securities LLC is the administrative agent and a lender, under our senior unsecured credit agreement, and affiliates of certain of the other underwriters, including an affiliate of Goldman Sachs &amp; Co. LLC, are lenders under our senior unsecured credit agreement, for which these affiliates have and will be paid customary fees. In addition, J.P. Morgan Securities LLC and/or one of its affiliates was engaged as a financial advisor to the Company in connection with our acquisition of Zynga Inc. and as lead dealer manager in connection with our tender offer in May 2023 for our certain of our senior notes, for which it has been paid customary fees and expenses.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European Economic Area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of our common stock have been offered or will be offered pursuant to the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shares of our common stock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require us or any underwriter to publish a prospectus pursuant to Article 3 of the Prospectus Regulation or supplement a prospectus pursuant to Article 23 of the Prospectus Regulation. and each person who initially acquires any shares of our common stock or to whom any offer is made will be deemed to have represented, acknowledged and agreed to and with each of the underwriters and the Company that it is a “qualified investor” within the meaning of Article 2(e) of the Prospectus Regulation. In the case of any shares of our common stock being offered to a financial intermediary as that term is used in the Prospectus Regulation, each such financial intermediary will be deemed to have represented, acknowledged and agreed that the shares of our common stock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State to qualified investors as so defined or in circumstances in which the prior consent of the underwriters have been obtained to each such proposed offer or resale.</w:t>
      </w:r>
    </w:p>
    <w:p>
      <w:pPr>
        <w:spacing w:after="0" w:line="188"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shares of our common stock in any Relevant State means the communication in any form and by any means of sufficient information on the terms of the offer and any shares of our common stock to be offered so as to enable an investor to decide to purchase or subscribe for any shares of our common stock, and the expression “Prospectus Regulation” means Regulation (EU) 2017/1129.</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United Kingdom</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our common stock have been offered or will be offered pursuant to the this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81"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United Kingdom within the meaning of the Financial Services and Markets Act 2000.</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Switzerland</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This prospectus does not constitute an offer to the public or a solicitation to purchase or invest in any shares of our common stock. No shares of our common stock have been offered or will be offered to the public in Switzerland, except that offers of shares of our common stock may be made to the public in Switzerland at any time under the following exemptions under the Swiss Financial Services Act (“FinSA”):</w:t>
      </w:r>
    </w:p>
    <w:p>
      <w:pPr>
        <w:spacing w:after="0" w:line="8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person which is a professional client as defined under the FinSA;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36 FinSA in connection with Article 44 of the Swiss Financial Services Ordinance,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of our common stock shall require the Company or any underwriter to publish a prospectus pursuant to Article 35 FinSA.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our common stock have not been and will not be listed or admitted to trading on a trading venue in Switzerland.</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shares of our common stock constitutes a prospectus as such term is understood pursuant to the FinSA and neither this document nor any other offering or marketing material relating to the shares of our common stock may be publicly distributed or otherwise made publicly available in Switzerland.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of our common stock have not been and will not be registered pursuant to Article 4, Paragraph 1 of the Financial Instruments and Exchange Act.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SFO and any rules made thereunder.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representative has acknowledged that this prospectus has not been registered as a prospectus with the Monetary Authority of Singapore. Accordingly, each representative has represented and agreed that it has not offered or sold any shares of our common stock or caused the shares of our common stock to be made the subject of an invitation for subscription or purchase and will not offer or sell any shares of our common stock or cause the shares of our common stock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of our common stock, whether directly or indirectly, to any person in Singapore other than:</w:t>
      </w:r>
    </w:p>
    <w:p>
      <w:pPr>
        <w:spacing w:after="0" w:line="93" w:lineRule="exact"/>
        <w:rPr>
          <w:sz w:val="20"/>
          <w:szCs w:val="20"/>
          <w:color w:val="auto"/>
        </w:rPr>
      </w:pPr>
    </w:p>
    <w:p>
      <w:pPr>
        <w:ind w:left="10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080" w:right="8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 the shares of our common stock are subscribed or purchased under Section 275 of the SFA by a relevant person which is:</w:t>
      </w:r>
    </w:p>
    <w:p>
      <w:pPr>
        <w:spacing w:after="0" w:line="131" w:lineRule="exact"/>
        <w:rPr>
          <w:sz w:val="20"/>
          <w:szCs w:val="20"/>
          <w:color w:val="auto"/>
        </w:rPr>
      </w:pPr>
    </w:p>
    <w:p>
      <w:pPr>
        <w:ind w:left="1080" w:right="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81" w:lineRule="exact"/>
        <w:rPr>
          <w:sz w:val="20"/>
          <w:szCs w:val="20"/>
          <w:color w:val="auto"/>
        </w:rPr>
      </w:pPr>
    </w:p>
    <w:p>
      <w:pPr>
        <w:ind w:left="1080" w:right="16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 (c)(ii)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issuance of the shares of common stock offered hereby will be passed upon for us by Willkie Farr &amp; Gallagher LLP, New York, New York. Certain legal matters will be passed upon for the underwriters by Latham &amp; Watkins LLP, New York, New York.</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2025, and the effectiveness of Take-Two Interactive Software, Inc.’s internal control over financial reporting as of March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www.sec.gov from which interested persons can electronically access our SEC filings. Our website address is www.take2games.com. The information and other content contained on, or accessible through, our website are not incorporated by reference into this prospectus supplement or the accompanying prospectus. We have included our website address in this prospectus supplement only as a textual reference and do not intend it to be an active link to our website.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documents that we file with them, which means that we can disclose important information to you by referring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this information. We incorporate by reference the documents listed below and any filings we will make with the SEC under Sections 13(a), 13(c), 14 or 15(d) of the Exchange Act after the date of this prospectus supplement and prior to the termination of the offering of securities hereby.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documents filed with the SEC are incorporated by reference in this prospectus supplement:</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2025 filed with the SEC on May 20, 2025;</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Definitive Proxy Statement on </w:t>
      </w:r>
      <w:hyperlink r:id="rId41">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2024 annual meeting of stockholders, filed with the SEC on July 25, 2024, specifically incorporated by reference into our Annual Report on Form 10-K for the fiscal year ended March 31, 2024, as supplemented by the Definitive Additional Materials filed with the SEC on </w:t>
      </w:r>
      <w:hyperlink r:id="rId42">
        <w:r>
          <w:rPr>
            <w:rFonts w:ascii="Times New Roman" w:cs="Times New Roman" w:eastAsia="Times New Roman" w:hAnsi="Times New Roman"/>
            <w:sz w:val="18"/>
            <w:szCs w:val="18"/>
            <w:u w:val="single" w:color="auto"/>
            <w:color w:val="0000EE"/>
          </w:rPr>
          <w:t>August 1, 2024</w:t>
        </w:r>
      </w:hyperlink>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2024, together with any subsequent amendment or any report filed with the SEC for the purpose of updating such description.</w:t>
      </w:r>
    </w:p>
    <w:p>
      <w:pPr>
        <w:spacing w:after="0" w:line="176" w:lineRule="exact"/>
        <w:rPr>
          <w:rFonts w:ascii="Times New Roman" w:cs="Times New Roman" w:eastAsia="Times New Roman" w:hAnsi="Times New Roman"/>
          <w:sz w:val="18"/>
          <w:szCs w:val="18"/>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this prospectus supplement and until we terminate the offering of the notes.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Corporate Secretary, telephone number (646)</w:t>
      </w:r>
    </w:p>
    <w:p>
      <w:pPr>
        <w:spacing w:after="0" w:line="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536-2842.</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173990</wp:posOffset>
            </wp:positionV>
            <wp:extent cx="737235" cy="6172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372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43"/>
          <w:szCs w:val="43"/>
          <w:b w:val="1"/>
          <w:bCs w:val="1"/>
          <w:color w:val="auto"/>
        </w:rPr>
        <w:t>Take-Two Interactive Software, Inc.</w:t>
      </w:r>
    </w:p>
    <w:p>
      <w:pPr>
        <w:spacing w:after="0" w:line="2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By this prospectus, we may offer and sell from time to time our common stock, par value $.01 per share, and debt securities (which may be convertible into our common stock). We will determine when we sell securities, the amounts and types of securities we will sell and the prices and other terms on which we will sell them. We may sell securities to or through underwriters, dealers or agents or directly to purchasers.</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describe in a prospectus supplement, which we will deliver with this prospectus, the terms of particular securities which we offer in the future. We may describe the terms of those securities in a term sheet or other offering materials which will precede the prospectus supplement. The prospectus supplement or term sheet or other offering materials may also add, update or change information contained in this prospectus. You should read this prospectus, any prospectus supplement, any free writing prospectus and any term sheet or other offering materials carefully before you invest in our securities.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prospectus supplement or related term sheet or other offering materials, if any, we will include the following information:</w:t>
      </w:r>
    </w:p>
    <w:p>
      <w:pPr>
        <w:spacing w:after="0" w:line="13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underwriters, dealers or agents, if any, through which we will sell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amounts of securities, if any, which the underwriters will purchase;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if any, of those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risk factors associated with the securities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 offering price of the securities, if there is 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securities exchanges or automated quotation systems on which the securities will be listed or traded;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information about the offering and sale of the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12" w:lineRule="exact"/>
        <w:rPr>
          <w:sz w:val="20"/>
          <w:szCs w:val="20"/>
          <w:color w:val="auto"/>
        </w:rPr>
      </w:pPr>
    </w:p>
    <w:p>
      <w:pPr>
        <w:ind w:left="120" w:right="38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xml:space="preserve"> ” beginning on page 2 of this prospectus, as well as in the applicable prospectus supplement, any related free writing prospectus and other information contained or incorporated by reference in this prospectus and the applicable prospectus supplement, before making a decision to invest in our securities.</w:t>
      </w:r>
    </w:p>
    <w:p>
      <w:pPr>
        <w:spacing w:after="0" w:line="18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 securities we may be offering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offered securities unless accompanied by a prospectus supplement.</w:t>
      </w: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6, 2025.</w:t>
      </w:r>
    </w:p>
    <w:p>
      <w:pPr>
        <w:sectPr>
          <w:pgSz w:w="11900" w:h="16838" w:orient="portrait"/>
          <w:cols w:equalWidth="0" w:num="1">
            <w:col w:w="11000"/>
          </w:cols>
          <w:pgMar w:left="320" w:top="455"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and the documents incorporated herein by reference are accurate only as of their respective dates. Our business, financial condition, results of operations and prospects may have changed since those dates.</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0660" w:type="dxa"/>
            <w:vAlign w:val="bottom"/>
            <w:gridSpan w:val="13"/>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3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3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77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COMMON STOCK</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28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AND INFORMATION INCORPORATED BY REFERENCE</w:t>
            </w:r>
          </w:p>
        </w:tc>
        <w:tc>
          <w:tcPr>
            <w:tcW w:w="23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filed with the Securities and Exchange Commission (the “SEC”), as a “well-known seasoned issuer” as defined in Rule 405 under the Securities Act of 1933, as amended (the “Securities Act”). We may use it to sell any of the securities, or a combination of the securities, described in this prospectus from time to time in one or more offerings. This prospectus contains only a general description of the types of securities we may offer. Each time we propose to sell securities, we will file with the SEC a prospectus supplement that describes the specific securities that are being offered and the terms on which they are being offered. The prospectus supplement may also update or change information that is in this prospectus. Before purchasing our securities, you should read this prospectus and the prospectus supplement relating to the specific securities, as well as the information described under the heading “Where You Can Find More Information and Information Incorporated by Reference.”</w:t>
      </w:r>
    </w:p>
    <w:p>
      <w:pPr>
        <w:spacing w:after="0" w:line="188"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Nobody has been authorized to give any information or to make any representations, other than those contained or incorporated in this prospectus or the applicable prospectus supplement. If given or made, that information or those representations may not be relied upon as having been authorized by us. This prospectus does not constitute an offer to or solicitation of any person in any jurisdiction in which such an offer or solicitation would be unlawful.</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Industry and market data contained or incorporated by reference in this prospectus were obtained through company research, surveys and studies conducted by third parties and industry and general publications or based on our experience in the industry. We have not independently verified market and industry data from third-party sources. While we believe internal company surveys and assumptions are reliable and market definitions are appropriate, neither these surveys and assumptions nor these definitions have been verified by any independent sources and we cannot assure that they are accurate.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 names and service marks</w:t>
      </w:r>
    </w:p>
    <w:p>
      <w:pPr>
        <w:spacing w:after="0" w:line="229" w:lineRule="exact"/>
        <w:rPr>
          <w:sz w:val="20"/>
          <w:szCs w:val="20"/>
          <w:color w:val="auto"/>
        </w:rPr>
      </w:pPr>
    </w:p>
    <w:p>
      <w:pPr>
        <w:ind w:left="120" w:right="140"/>
        <w:spacing w:after="0" w:line="230" w:lineRule="auto"/>
        <w:rPr>
          <w:sz w:val="20"/>
          <w:szCs w:val="20"/>
          <w:color w:val="auto"/>
        </w:rPr>
      </w:pPr>
      <w:r>
        <w:rPr>
          <w:rFonts w:ascii="Times New Roman" w:cs="Times New Roman" w:eastAsia="Times New Roman" w:hAnsi="Times New Roman"/>
          <w:sz w:val="18"/>
          <w:szCs w:val="18"/>
          <w:color w:val="auto"/>
        </w:rPr>
        <w:t xml:space="preserve">TAKE-TWO INTERACTIVE and our T2 logo are among our key trademarks. This prospectus contains references to our trademarks, trade names and service marks and to those belonging to other entities. Solely for convenience, trademarks and trade names referred to in this prospectus, including any logos, artwork and other visual displays,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symbols, but such references are not intended to indicate that we will not assert our rights or the rights of the applicable licensor to these trademarks and trade names.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contain statements which are not historical facts, including statements relating to Take-Two’s outlook, that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w:t>
      </w:r>
    </w:p>
    <w:p>
      <w:pPr>
        <w:spacing w:after="0" w:line="187" w:lineRule="exact"/>
        <w:rPr>
          <w:sz w:val="20"/>
          <w:szCs w:val="20"/>
          <w:color w:val="auto"/>
        </w:rPr>
      </w:pPr>
    </w:p>
    <w:p>
      <w:pPr>
        <w:ind w:left="120"/>
        <w:spacing w:after="0" w:line="242" w:lineRule="auto"/>
        <w:rPr>
          <w:sz w:val="20"/>
          <w:szCs w:val="20"/>
          <w:color w:val="auto"/>
        </w:rPr>
      </w:pPr>
      <w:r>
        <w:rPr>
          <w:rFonts w:ascii="Times New Roman" w:cs="Times New Roman" w:eastAsia="Times New Roman" w:hAnsi="Times New Roman"/>
          <w:sz w:val="18"/>
          <w:szCs w:val="18"/>
          <w:color w:val="auto"/>
        </w:rPr>
        <w:t>Actual outcomes and results may vary materially from these forward-looking statements based on a variety of risks and uncertainties including risks relating to our combination with Zynga Inc. (“Zynga”); the risks of conducting business internationally, including as a result of unforeseen geopolitical events; the impact of changes in interest rates by the Federal Reserve and other central banks, including on our short-term investment portfolio; the impact of inflation; volatility in foreign currency exchange rates; our dependence on key management and product development personnel; our dependence on our NBA 2K and Grand Theft Auto products and our ability to develop other hit titles; our ability to leverage opportunities on PlayStation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and Xbox Series X|S; factors affecting our mobile business, such as player acquisition costs; the timely release and significant market acceptance of our games; the ability to maintain acceptable pricing levels on our games; and other risks included herein; as well as, but not limited to, the risks and uncertainties discussed under the heading “Risk Factors” beginning on page 2 of this prospectus and contained in the Company’s Annual Report on Form 10-K for the fiscal year ended March 31, 2024 and the Company’s other periodic filings with the SEC, which are incorporated herein by reference.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We are a leading developer, publisher, and marketer of interactive entertainment for consumers around the globe. We develop, operate, and publish products principally through Rockstar Games, 2K, and Zynga. Our products are currently designed for console gaming systems, PC, and mobile, including smartphones and tablets. We deliver our products through physical retail, digital download, online platforms, and cloud streaming services.</w:t>
      </w:r>
    </w:p>
    <w:p>
      <w:pPr>
        <w:spacing w:after="0" w:line="15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strategy is to be the most creative, innovative, and efficient company in the evolving interactive entertainment industry. With our diverse portfolio that spans all key platforms and numerous genres, we strive to create the highest quality, most engaging interactive entertainment franchises that captivate our global audience. Most of our intellectual property is internally owned and developed, which we believe best positions us financially and competitively. We have established a portfolio of proprietary software content for the major hardware and mobile platforms in a wide range of genres, including action, adventure, family/casual, hyper-casual, role-playing, shooter, social casino, sports, and strategy, which we distribute worldwide. We believe that our player-first approach and commitment to creativity and innovation are distinguishing strengths, enabling us to differentiate our products in the marketplace by combining advanced technology with compelling storylines and characters that provide unique gameplay experiences.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9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in 1993 and are headquartered at 110 West 44th Street, New York, New York 10036. Our telephone number is (646) 536-2842.</w:t>
      </w:r>
    </w:p>
    <w:p>
      <w:pPr>
        <w:spacing w:after="0" w:line="162"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In this prospectus, unless otherwise specified, “Take-Two,” “we,” “us” and “our” refer to Take-Two Interactive Software, Inc. and its subsidiaries. 1</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should carefully consider the risks described in Part I, Item 1A, Risk Factors, in our Annual Report on Form 10-K for the fiscal year ended</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March 31, 2024 and subsequently filed Quarterly Reports on Form 10-Q, together with the other information set forth in this prospectus and in the other documents that we include or incorporate by reference into this prospectus and any prospectus supplement we will provide in connection with our offering of securities described in this prospectus, which could materially affect our business, financial condition and future results. The risks described in our Annual Report on Form 10-K for the fiscal year ended March 31, 2024 and subsequently filed Quarterly Reports on Form 10-Q are not the only risks facing our company. Risks and uncertainties not currently known to us or that we currently deem to be immaterial also may materially adversely affect our business, financial condition and operating results. If any of the risks and uncertainties that are not yet identified or that we currently think are not material, actually occur, our business, financial condition and results of operations could be materially and adversely affected. In that event, the value of our securities could decline, and you may lose part or all of any investment in our securities.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Material risks that may affect our business, operating results and financial condition include, but are not necessarily limited to:</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and industry</w:t>
      </w:r>
    </w:p>
    <w:p>
      <w:pPr>
        <w:spacing w:after="0" w:line="13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achieving market acceptance, delays or disruptions for our products may have an adverse effect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development risks and must adapt to changes in software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use of artificial intelligence into our products may present operational and reputational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use of mobile devices for gaming will drive future growth of mobile gaming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retailer support could increase expenses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successful products for current video game platforms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approval of hardware licensors to publish titles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complex information technology systems and networks and potential adverse impact of security breaches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 of inadequate consumer data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and product development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managing, and retaining our talent is critical to our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Offensive consumer-created content can harm our results of operations or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software development arrangements with third parties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distributors, development, and licensing partners or other third parties being unable to honor their commitments or otherwise putting our brand at risk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importance of digital sales and free-to-play games exposes us to the risks of that business model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compete for advertisements and offers that are incorporated into our free-to-play games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455"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investments may not have the anticipated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operations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server capacity, lack of sufficient bandwidth, or connectivity issues could cause our business to suffer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open-source software exposes us to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is susceptible to errors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ability to acquire and maintain license to intellectual property is key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fluctuations in the recurring portion of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timing of our product releases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the future success of our Grand Theft Auto products and other “hit” titles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price protection and returns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customers account for a significant portion of our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Content policies could negatively affect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Software Rating Board ratings for our products could negatively affect our ability to distribute and sell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position and value of our products could be adversely affected by unprotected intellectual property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significant amount of outstanding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our virtual items is highly dependent on how we manage the economies in our games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potential for unauthorized or fraudulent transactions of accounts and virtual items outside of our games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or regulatory compliance</w:t>
      </w:r>
    </w:p>
    <w:p>
      <w:pPr>
        <w:spacing w:after="0" w:line="135"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can affect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could subject us to claims or otherwise harm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laws and regulations, including data privacy, could harm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of alleged or actual infringement on the intellectual property rights of third parties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and economic condition</w:t>
      </w:r>
    </w:p>
    <w:p>
      <w:pPr>
        <w:spacing w:after="0" w:line="135"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debt agreements may impede or discourage a takeover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changes in tax rates and additional tax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and uncertainties of international trade, including foreign currency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effects of existing or future accounting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declines in consumer spending and changes in the economy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35" w:lineRule="exact"/>
        <w:rPr>
          <w:sz w:val="20"/>
          <w:szCs w:val="20"/>
          <w:color w:val="auto"/>
        </w:rPr>
      </w:pPr>
    </w:p>
    <w:p>
      <w:pPr>
        <w:ind w:left="5580" w:right="599" w:hanging="4924"/>
        <w:spacing w:after="0" w:line="454" w:lineRule="auto"/>
        <w:tabs>
          <w:tab w:leader="none" w:pos="10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issuances of equity securities would cause dilution and could affect the market price of our common stock 3</w:t>
      </w:r>
    </w:p>
    <w:p>
      <w:pPr>
        <w:sectPr>
          <w:pgSz w:w="11900" w:h="16838" w:orient="portrait"/>
          <w:cols w:equalWidth="0" w:num="1">
            <w:col w:w="10139"/>
          </w:cols>
          <w:pgMar w:left="320" w:top="455"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corporate and social responsibility and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and climate change may have a long-term impact on 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the effects of inflation</w:t>
      </w:r>
    </w:p>
    <w:p>
      <w:pPr>
        <w:spacing w:after="0" w:line="130" w:lineRule="exact"/>
        <w:rPr>
          <w:rFonts w:ascii="Times New Roman" w:cs="Times New Roman" w:eastAsia="Times New Roman" w:hAnsi="Times New Roman"/>
          <w:sz w:val="18"/>
          <w:szCs w:val="18"/>
          <w:color w:val="auto"/>
        </w:rPr>
      </w:pPr>
    </w:p>
    <w:p>
      <w:pPr>
        <w:ind w:left="5580" w:right="2499" w:hanging="4924"/>
        <w:spacing w:after="0" w:line="454" w:lineRule="auto"/>
        <w:tabs>
          <w:tab w:leader="none" w:pos="10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and may become involved in legal proceedings that may result in adverse outcomes 4</w:t>
      </w:r>
    </w:p>
    <w:p>
      <w:pPr>
        <w:sectPr>
          <w:pgSz w:w="11900" w:h="16838" w:orient="portrait"/>
          <w:cols w:equalWidth="0" w:num="1">
            <w:col w:w="10139"/>
          </w:cols>
          <w:pgMar w:left="320" w:top="455"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When we offer particular securities, we will describe in the prospectus supplement relating to the securities how we intend to use the proceeds of the sale of those securities.</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320" w:top="455" w:right="7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and/or free writing prospectus a description of the common stock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320" w:top="455" w:right="5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describes our common stock and the material provisions of our Restated Certificate of Incorporation, as amended (our “Certificate of Incorporation”) and our Fourth Amended and Restated By-Laws (our “By-Laws”). Because the following is only a summary, it does not contain all of the information that may be important to you, and is qualified in its entirety by the full text of our Certificate of Incorporation and By-Laws, copies of which are on file with the SEC and incorporated herein by reference. You should refer to the text of these documents for a complete description. Our authorized capital stock consists of 305,000,000 shares, with a par value of $0.01 per share, of which:</w:t>
      </w:r>
    </w:p>
    <w:p>
      <w:pPr>
        <w:spacing w:after="0" w:line="89"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300,000,000 shares are designated as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 shares are designated as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January 27, 2025 we had outstanding 176,495,706 shares of common stock and no shares of preferred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Redemption or Conversion Rights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 for the Election of Directors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is not classified. Our Certificate of Incorporation and By-Laws provide that our board of directors may consist of any number of directors, not less than one and not more than ten.</w:t>
      </w:r>
    </w:p>
    <w:p>
      <w:pPr>
        <w:spacing w:after="0" w:line="162"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 elected, the directors shall be elected by a plurality of the stock present in person or represented by proxy entitled to vote on the election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Certificate of Incorporation does not provide for cumulative voting in the election of directors.</w:t>
      </w:r>
    </w:p>
    <w:p>
      <w:pPr>
        <w:spacing w:after="0" w:line="20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 Special Stockholder Meetings</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Our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Interested Stockholders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terms of Section 203 of the Delaware General Corporation Law (the “DGCL”) apply to us since we are a Delaware corporation. Pursuant to Section 203 of the DGCL, with certain exceptions, a Delaware corporation may not engage in any of a broad range of business combinations, such as mergers, consolidations and sales of assets, with an “interested stockholder,” as defined below, for a period of three years from the date that such person became an interested stockholder unless:</w:t>
      </w:r>
    </w:p>
    <w:p>
      <w:pPr>
        <w:spacing w:after="0" w:line="85" w:lineRule="exact"/>
        <w:rPr>
          <w:sz w:val="20"/>
          <w:szCs w:val="20"/>
          <w:color w:val="auto"/>
        </w:rPr>
      </w:pPr>
    </w:p>
    <w:p>
      <w:pPr>
        <w:ind w:left="1080" w:right="5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that results in a person’s becoming an interested stockholder or the business combination is approved by the board of directors of the corporation before the person becomes an interested stockholder;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results in the stockholder becoming an interested stockholder, the interested stockholder owns 85% or more of the voting stock of the corporation outstanding at the time the transaction commenced, excluding shares owned by persons who are directors and also officers and shares owned by certain employee stock plans; or</w:t>
      </w:r>
    </w:p>
    <w:p>
      <w:pPr>
        <w:spacing w:after="0" w:line="81"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time the person becomes an interested stockholder, the business combination is approved by the corporation’s board of directors and by holders of at least two-thirds of the corporation’s outstanding voting stock, excluding shares owned by the interested stockholder, at a meeting of stockholders.</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Under Section 203 of the DGCL, an “interested stockholder” is defined as any person, other than the corporation and any direct or indirect majority-owned subsidiary, that is:</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 of 15% or more of the outstanding voting stock of the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Section 203 of the DGCL does not apply to a corporation that so provides in an amendment to its certificate of incorporation or by-laws passed by a majority of its outstanding shares at any time. Such stockholder action does not become effective for 12 months following its adoption and would not apply to persons who were already interested stockholders at the time of the amendment. Our Certificate of Incorporation does not exclude us from the restrictions imposed under Section 203 of the DGCL.</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Under certain circumstances, Section 203 of the DGCL makes it more difficult for a person who would be an interested stockholder to effect various business combinations with a corporation for a three-year period, although the stockholders may elect to exclude a corporation from the restrictions imposed thereunder. The provisions of Section 203 of the DGCL may encourage companies interested in acquiring us to negotiate in advance with the Board, because the stockholder approval requirement would be avoided if a majority of the directors then in office approve either the business combination or the transaction which results in the stockholder becoming an interested stockholder. These provisions also may have the effect of preventing changes in our management. It is further possible that such provisions could make it more difficult to accomplish transactions that stockholders may otherwise deem to be in their best interest.</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and the indenture to which this prospectus and any prospectus supplement may relate. The applicable prospectus supplement will describe the specific terms of the debt securities to be sold by us. Unless otherwise stated, any senior debt securities and any subordinated debt securities are together referred to as “debt securities.”</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Debt securities will be issued under the indenture dated as of April 14, 2022 by and between us and The Bank of New York Mellon, as trustee (the “indenture”), as may be further supplemented from time to time, or a form of indenture entered into later by and between us and The Bank of New York Mellon, as trustee, as may be further supplemented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from time to time one or more series of debt securities under the indenture.</w:t>
      </w:r>
    </w:p>
    <w:p>
      <w:pPr>
        <w:spacing w:after="0" w:line="225"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direct, unsecured obligations. The senior debt securities will rank equally with all of our other senior debt. The indenture does not limit the amount of debt securities that we may issue.</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description of the debt securities is not complete and is subject to, and qualified in its entirety by, the detailed provisions of the indenture. The indenture is included as an exhibit to the registration statement of which this prospectus is a part. Whenever particular provisions of the indenture or terms defined in the indenture are referred to, those provisions or definitions are incorporated by reference. We urge you to read the indenture because the indenture defines your rights as a holder of debt securities, and describes in detail the terms of the debt securities summarized below. If any particular terms of the debt securities described in the applicable prospectus supplement differ from the terms described in this prospectus, then the terms described in the applicable prospectus supplement will amend, supplement or supersede the terms described in this prospectus. The terms of our debt securities will include those set forth in the indenture and those made a part of the indenture by the Trust Indenture Act of 1939, as amended.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Applicable to Debt Securities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prospectus supplement for a particular series of debt securities will contain the specific terms of the series of debt securities, which may include the following:</w:t>
      </w:r>
    </w:p>
    <w:p>
      <w:pPr>
        <w:spacing w:after="0" w:line="6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as senior or subordinated debt securities and, if applicable, the subordination provisions that will apply;</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the aggregate principal amount, the purchase price and the authorized denominations, if other than $2,000 and integral multiples of $1,000 thereafter;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payments on the debt securities will be payable;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remaining outstanding principal amount, the principal amount of the debt securities that we will pay upon acceleration of their maturity;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each security registrar and/or paying agent;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or rates, if any, or the method of determination of such rate or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any interest shall be payable;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premium or discount with which such debt securities will be issued or the method of determination of such premium or discount;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the interest, if any, shall accrue, the dates on which the interest, if any, will be payable and the method of determining holders to whom any of the interest shall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if any, at which, and the dates at or after which, we may or must repay, repurchase or redeem the debt securities;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requirement to convert the debt securities into, or exchange the debt securities for, shares of our common stock or other securities or property and the factors considered in determining the conversion price or prices;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obligation with respect to the debt securities;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a transaction registered under the Securities Act and any restriction or condition on the transferability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issuable as global securities or definitive certificates and, in such case, the identity of the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exchanges or securities associations, if any, on which the debt securities may be listed or quoted;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 covenants or defeasance provisions in the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way in which rights in respect of the debt securities are materially limited or qualified by the rights of any other authorized class of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any material United States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consistent with the provisions of the indenture.</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will compute interest payments on the basis of a 360-day year consisting of twelve 30-day months.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Some of the debt securities may be issued as discounted debt securities, which are debt securities sold at a substantial discount below their stated principal amount. The prospectus supplement relating to any discounted series of debt securities will describe any special consequences applicable to discounted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does not contain any provisions that:</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or issue any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declare dividends or require the maintenance of any asset ratios or the creation or maintenance of reserves; or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protection in the event we choose to engage in a highly leveraged transaction, reorganization, restructuring, merger or similar transaction.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debt securities that are convertible into or exchangeable for our common stock, property or cash, or a combination of any of them. The terms, if any, on which debt securities of any series will be convertible or exchangeable will be summarized in the prospectus supplement relating to those debt securities. Those terms may include provisions, as applicable, for conversion or exchange on a mandatory basis, at your option, or at our option, in which case the number of shares of our common stock, property or cash, to be received upon the conversion or exchange of those debt securities would be calculated according to the factors and at such time as summarized in the related prospectus supplement. The applicable prospectus supplement will include a discussion of any material United States federal income tax consequences applicable to any such convertible or exchangeable debt securities.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Reopening of Issue</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may, from time to time, reopen an issue of debt securities and issue additional debt securities with the same terms (including maturity date and interest rate) as debt securities issued on an earlier date. After such additional debt securities are issued, they will be fungible with the debt securities issued on the earlier date to the extent specified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unsecured, and will rank equal in right of payment with all of our existing and future unsecured and unsubordinated indebtedness. The ranking of the subordinated debt securities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debt securities protection in the event we have a change of control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indenture provides that for so long as any debt securities remain outstanding under the indenture, or any amount remains unpaid on any of the debt securities outstanding under the indenture, we will comply with the applicable terms of the covenants contained in the indenture and, with respect to a series of debt securities, such other covenants as may be provided in the terms of that series of debt securities and described in the applicable prospectus supplement. The indenture includes the following covenants: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Securities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will duly and punctually pay the principal of, premium, if any, and interest on the debt securities in accordance with the terms of the debt securities and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informational reporting requirements of Sections 13 and 15(d) under the Securities Exchange Act of 1934, as amended (the “Exchange Act”), and, in accordance with those requirements, we file certain reports and other information with the SEC. See “Where You Can Find More Information and Information Incorporated by Reference” below. If Sections 13 and 15(d) cease to apply to us, so that we no longer file those reports or other information with the SEC, we will instead provide copies of the reports and information that would have been required under Sections 13 and 15(d) of the Exchange Act to the trustee. Delivery of such reports, information and documents to the trustee will be for informational purposes only and the trustee’s receipt of such will not constitute constructive or actual notice or knowledge of any information contained therein or determinable from information contained therein, including our compliance with any of our covenants under the indenture.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Consolidation or Sale of Assets</w:t>
      </w:r>
    </w:p>
    <w:p>
      <w:pPr>
        <w:spacing w:after="0" w:line="121"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We will not consolidate with or merge with or into or, directly or indirectly, sell, assign, convey, lease, transfer or otherwise dispose of all or substantially all of our properties and assets to any person or group of affiliated persons in a single transaction or series of related transactions, unless:</w:t>
      </w:r>
    </w:p>
    <w:p>
      <w:pPr>
        <w:spacing w:after="0" w:line="45" w:lineRule="exact"/>
        <w:rPr>
          <w:sz w:val="20"/>
          <w:szCs w:val="20"/>
          <w:color w:val="auto"/>
        </w:rPr>
      </w:pPr>
    </w:p>
    <w:p>
      <w:pPr>
        <w:ind w:left="10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entity, or, if we are not the surviving entity, the surviving entity is a corporation organized and existing under the laws of the United States, any state or the District of Columbia;</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entity expressly assumes our obligations under the indenture and each outstanding series of debt securities and executes a supplemental indenture which is delivered, and is in form and substance reasonably satisfactory, to the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the surviving entity deliver to the trustee an officers’ certificate and an opinion of counsel, each in form reasonably satisfactory to the trustee, stating that the transaction or series of transactions and the supplemental indenture, if any, complies with the applicable provisions of the indenture, that all conditions precedent provided for in the indenture have been complied with and that such supplemental indenture is the legal, valid and binding obligation of the surviving entity enforceable in accordance with its terms.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our properties and assets occurs in accordance with the indenture, the surviving entity (if other than us) will succeed to, and be substituted for, and may exercise every right and power we have under the indenture with the same effect as if such surviving entity had originally been named in the indenture and, except for any lease, we will be discharged from all obligations and covenants under the indenture and the debt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will constitute “events of default” under the indenture with respect to a series of debt securities:</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of any interest installment due and payable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of principal when due and payable on the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 in our performance of any other covenant or agreement in respect of the debt securities of such series for 90 days after written notice has been given either to us by the trustee, or to us and the trustee by the holders of at least 25% in principal amount of the debt securities of such series then outstanding;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bankruptcy, insolvency and reorganization specified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An event of default under one series of debt securities may, but will not necessarily, constitute an event of default under any other series of debt securities.</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The indenture provides that if an event of default (other than an event of default resulting from certain events of bankruptcy, insolvency or reorganization) occurs and is continuing with respect to any series of debt securities, either the trustee or the registered holders of at least 25% in aggregate principal amount of that series of debt securities may, by notice in writing to us and the trustee if given by the registered holders, declare the principal amount of those debt securities, any premium and any accrued and unpaid interest on those debt securities to be due and payable immediately. In the case of an event of default resulting from certain events of bankruptcy, insolvency or reorganization, the principal of, any premium and any accrued and unpaid interest on all outstanding debt securities will become and be immediately due and payable without any declaration or other act on the part of the trustee or any registered holder of outstanding debt securities. At any time after a declaration of acceleration, but before a judgment or decree for payment of money has been obtained, if all events of default with respect to those debt securities have been cured or waived (other than the nonpayment of principal of such debt securities which has become due solely by reason of the declaration of acceleration) then the acceleration and its consequences shall be automatically annulled and rescinded.</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requires that we file annually with the trustee a compliance certificate describing any default by us in the performance of any conditions or covenants that has occurred under the indenture and the status of any such default. The trustee will be entitled under the indenture to be indemnified before proceeding to exercise any right or power under the indenture at the direction of the registered holders of the debt securities or which requires the trustee to expend or risk its own funds or otherwise incur any financial liability. The indenture also provides that the registered holders of a majority in principal amount of the outstanding debt securities of any series issued under the indenture may direct the time, method and place of conducting any proceeding for any remedy available to the trustee or exercising any trust or power conferred on the trustee with respect to that series of debt securities. The trustee, however, may refuse to follow any such direction that conflicts with law or the indenture, is unduly prejudicial to the rights of other registered holders of that series of debt securities, or would involve the trustee in personal liability.</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provides that while the trustee generally must deliver notice of a default or an event of default to the registered holders of the debt securities of any series issued under the indenture within 90 days of the trustee’s knowledge of its occurrence (as provided in the indenture), the trustee may withhold notice of any default or event of default (except with respect to a default in payment on the debt securities) if and so long as a committee of its responsible officers in good faith determines that the withholding of such notice is in the interest of the registered holders of that series of debt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and the trustee may amend or supplement the indenture with respect to one or more series of debt securities if the holders of a majority in principal amount of the outstanding debt securities of each such series consent to it, except that no amendment or supplement may, without the consent of each affected registered holder of that series:</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we must repay or change the date of 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or change the time of payment of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of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redemption or repurchase right to the detriment of the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principal amount of debt securities needed to consent to an amendment, supplement or waiver;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relating to waiver of past defaults, rights of registered holders of the debt securities to receive payments or amendments of the indenture that require the consent of registered holders of each affected series.</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of the debt securities of such series waive any past default under the indenture with respect to that series and its consequences, except a default in the payment of the principal, any premium or any interest on any debt security of that series or a default in respect of any provision that may not be amended without the consent of each affected registered holder of debt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aggregate principal amount of the then outstanding debt securities of any series may rescind an acceleration and its consequences, including any related payment default that resulted from the acceleration.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Holders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 holder of debt securities of a series may not pursue any remedy with respect to the indenture or such series (except a registered holder of debt securities of such series may bring an action for payment of overdue principal, premium, if any, or interest on its debt securities), unless:</w:t>
      </w:r>
    </w:p>
    <w:p>
      <w:pPr>
        <w:spacing w:after="0" w:line="67"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has given notice to the trustee of such series of a continuing event of default;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at least 25% in principal amount of that series of debt securities have made a written request to the trustee of such series to pursue such remedy;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registered holder or holders have offered the trustee of such series security or indemnity satisfactory to the trustee against any loss, liability or expense;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such series has not complied with such request within 60 days of such notice, request and offer;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holders of a majority in principal amount of that series of debt securities have not given the trustee of such series a direction inconsistent with the request during that 60-day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Discharge and Termination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and Discharge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Unless otherwise provided in the terms of the particular series of debt securities and described in the applicable prospectus supplement, the indenture provides that we may discharge any and all of our obligations in respect of a series of debt securities, and, except with respect to certain provisions, the provisions of the indenture will no longer be in effect with respect to that series of debt securities on the 91st day after the date of the deposit with the trustee or paying agent, in trust, of money or U.S. Government Obligations in an amount sufficient to pay the principal, premium, if any, and interest on that series of debt securities, when due. Such discharge may only occur if, among other things:</w:t>
      </w:r>
    </w:p>
    <w:p>
      <w:pPr>
        <w:spacing w:after="0" w:line="89" w:lineRule="exact"/>
        <w:rPr>
          <w:sz w:val="20"/>
          <w:szCs w:val="20"/>
          <w:color w:val="auto"/>
        </w:rPr>
      </w:pPr>
    </w:p>
    <w:p>
      <w:pPr>
        <w:ind w:left="1080" w:hanging="424"/>
        <w:spacing w:after="0" w:line="258"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either: (a) a ruling from the Internal Revenue Service (the “IRS”) to the effect that registered holders will not recognize income, gain or loss for U.S. federal income tax purposes as a result of the deposit, defeasance and discharge and will be subject to U.S. federal income tax on the same amount and in the same manner and at the same times as would have been the case if such deposit, defeasance and discharge had not occurred or (b) an opinion of outside counsel to the same effect as clause (a) accompanied by a ruling to that effect published by the IRS;</w:t>
      </w:r>
    </w:p>
    <w:p>
      <w:pPr>
        <w:spacing w:after="0" w:line="88"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“U.S. Government Obligations” is defined under the indenture as securities that are (x) direct obligations of the United States for the payment of which its full faith and credit is pledged or (y) obligations of a person controlled or supervised by and acting as an agency or instrumentality of the United States, the payment of which is unconditionally guaranteed as a full faith and credit obligation by the United States and which, in either case, are not callable or redeemable before their maturity.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Obligations in Certain Circumstances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indenture provides that we may at any time terminate any and all obligations in respect of a series of debt securities and, except with respect to certain provisions, the provisions of the indenture will no longer be in effect with respect to that series of debt securities if that series of debt securities matures or is redeemable within one year of such time and we deposit with the trustee or paying agent, in trust, money or U.S. Government Obligations in an amount sufficient to pay the principal of, premium, if any, and accrued interest on that series of debt securities when due. Such obligations may only be terminated if, among other things:</w:t>
      </w:r>
    </w:p>
    <w:p>
      <w:pPr>
        <w:spacing w:after="0" w:line="89"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will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we terminate our obligations in respect of a series of debt securities pursuant to this provision, we are not required to deliver an opinion of counsel to the effect that registered holders or beneficial owners of that series will not recognize income, gain or loss for U.S. federal income tax purposes as a result of such deposit and termination, and there is no assurance that registered holders or beneficial owners of that series would not recognize income, gain or loss for U.S. federal income tax purposes as a result thereof or that they would be subject to U.S. federal income tax on the same amount and in the same manner and at the same times as would have been the case if such deposit and termination had not occurred.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Defeasance of Covenants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terms of a series of debt securities may provide that we may omit to comply with certain provisions or covenants established with respect to that series of debt securities, and non-compliance with any such provision or covenant will not be deemed an event of default, on the 91st day following the deposit with the trustee or paying agent, in trust, of money or U.S. Government Obligations in an amount sufficient to pay the principal, premium, if any, and interest on that series of debt securities, when due. Our exercise of this option is subject to conditions specified in the indenture, which will include, among other things:</w:t>
      </w:r>
    </w:p>
    <w:p>
      <w:pPr>
        <w:spacing w:after="0" w:line="89" w:lineRule="exact"/>
        <w:rPr>
          <w:sz w:val="20"/>
          <w:szCs w:val="20"/>
          <w:color w:val="auto"/>
        </w:rPr>
      </w:pPr>
    </w:p>
    <w:p>
      <w:pPr>
        <w:ind w:left="108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opinion of outside counsel with respect to certain tax matters as described in the indenture, including that registered holders of that series will not recognize income, gain or loss for U.S. federal income tax purposes as a result of the exercise of our option under this section and will be subject to U.S. federal income tax on the same amount and in the same manner and at the same times as would have been the case if we had not exercised such option;</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under the indenture with respect to that series shall have occurred and be continuing on the date of such deposit or during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shall not result in or constitute a default or result in a breach or violation of, or constitute a default under, any other agreement or instrument to which we are a party or by which we are bound;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opinion of counsel stating that such conditions have been complied with.</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that series of debt securities will describe the provisions, covenants and related events of default with respect to that series which may be defeased pursuant to this provision.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Unclaimed Money</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Subject to any applicable abandoned property law, the indenture provides that the trustee will pay to us upon request any money held by the trustee for the payment of principal, premium, if any, or interest that remains unclaimed for two years. After payment to us, registered holders of debt securities entitled to such money must look to us for payment as general creditors.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 and Paying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Bank of New York Mellon will initially act as trustee and paying agent for the debt securities.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describe in the applicable prospectus supplement any material business and other relationships (including additional trusteeships) other than ordinary banking relationships and the trusteeship under the indenture, between us and any of our affiliates, on the one hand, and each trustee and paying agent under the indenture, on the other hand.</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 series will have the right to direct the time, method and place of conducting any proceeding for exercising any remedy available to the trustee with respect to that series, subject to exceptions described in the indenture. If an event of default occurs and is not cured, the trustee will be required, in the exercise of its power, to use the degree of care and skill a prudent person would exercise or use under the circumstances in the conduct of his own affairs. The trustee will be under no obligation to exercise any of its rights or powers under the indenture at the request of any holder of debt securities, unless such holder shall have offered to the trustee security and indemnity satisfactory to the trustee against any loss, liability or expense and then only to the extent required by the terms of the indenture.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will govern each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deposited with or on behalf of The Depository Trust Company, as Depositary (the “Depositary”), and registered in the name of the Depositary’s nominee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such debt security and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summarized below of the Depositary or its nominee for the related global debt security and, if such person is not a direct participant of the Depositary, on the procedures of the indirect participant of the Depositary through which such person owns its interest, to exercise any rights of a holder under the indenture.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About The Depositary</w:t>
      </w:r>
    </w:p>
    <w:p>
      <w:pPr>
        <w:spacing w:after="0" w:line="11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Depositary’s nominee. The Depositary is a:</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organization”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corporation” under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“clearing agency” registered under the provisions of Section 17A of the Exchange Act.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Depositary holds securities that its direct participants (each, a “direct participant”) deposit with the Depositary. Direct participants of the Depositary include securities brokers and dealers, banks, trust companies, clearing corporations and certain other organizations. Indirect participants of the Depositary (each, an “indirect participant”), such as securities brokers and dealers, banks and trust companies, can also access the Depositary’s system if they maintain a custodial relationship with a direct participant.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Depositary has indicated it intends to follow the following procedures with respect to book-entry debt securities: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Purchases of book-entry debt securities under the Depositary’s system must be made by or through direct participants, which will receive a credit for the book-entry debt securities on the Depositary’s records. The ownership interest of each beneficial owner is in turn to be recorded on the records of direct participants and indirect participants.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owners entered into the transaction. Transfers of ownership interests in the book-entry debt securities are to be accomplished by entries made on the books of participants acting on behalf of beneficial owners. Beneficial owners will not receive certificates representing their ownership interests in book-entry debt securities, except as provided below.</w:t>
      </w:r>
    </w:p>
    <w:p>
      <w:pPr>
        <w:spacing w:after="0" w:line="18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Format</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book-entry format, the paying agent will pay interest or principal payments to the nominee of the Depositary. The Depositary’s practice is to credit the account of its direct participants, who will then forward the payment to the indirect participants or to you as the beneficial owner.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Depositary is required to make book-entry transfers allowed in accordance with the indenture and the debt securities represented by the global securities on behalf of its direct participants and is required to receive and transmit payments of principal, premium, if any, and interest on the book-entry debt securities. Any direct participant or indirect participant with which you have an account is similarly required to make book-entry transfers and to receive and transmit payments with respect to the book-entry debt securities on your behalf. We and the trustee have no responsibility for any aspect of the actions and/or inactions of the Depositary or any of its direct or indirect participants.</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So long as the Depositary’s nominee is the registered owner of the global securities representing the debt securities, the trustee will not recognize you as a holder under the indenture, and you can only exercise the rights of a holder indirectly through the Depositary and its direct participants. We understand that, under industry practice, in the event owners of beneficial interests in debt securities wish to take any action that the Depositary or its nominee is entitled to take, the Depositary would authorize the applicable participants to take such action, and that such participants would authorize beneficial owners owning through such participants to take such action.</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Depositary can only act on behalf of its direct participants. Your ability to pledge book-entry debt securities to non-direct participants, and to take other actions, may be limited because you will not possess a physical certificate that represents your book-entry debt securities.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Neither the Depositary nor its nominee will consent or vote with respect to the book-entry debt securities unless authorized by a direct participant in accordance with the Depositary’s procedures. Under its usual procedures, the Depositary will mail an omnibus proxy to us as soon as possible after the record date. The omnibus proxy assigns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Depositary has agreed to the foregoing procedures in order to facilitate transfers of the book-entry debt securities among participants of the Depositary. However, they are under no obligation to perform or continue to perform those procedures, and they may discontinue those procedures at any time.</w:t>
      </w:r>
    </w:p>
    <w:p>
      <w:pPr>
        <w:spacing w:after="0" w:line="176" w:lineRule="exact"/>
        <w:rPr>
          <w:sz w:val="20"/>
          <w:szCs w:val="20"/>
          <w:color w:val="auto"/>
        </w:rPr>
      </w:pPr>
    </w:p>
    <w:p>
      <w:pPr>
        <w:ind w:left="120" w:right="260"/>
        <w:spacing w:after="0" w:line="254" w:lineRule="auto"/>
        <w:rPr>
          <w:sz w:val="20"/>
          <w:szCs w:val="20"/>
          <w:color w:val="auto"/>
        </w:rPr>
      </w:pPr>
      <w:r>
        <w:rPr>
          <w:rFonts w:ascii="Times New Roman" w:cs="Times New Roman" w:eastAsia="Times New Roman" w:hAnsi="Times New Roman"/>
          <w:sz w:val="18"/>
          <w:szCs w:val="18"/>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will issue certificated debt securities of any series if an event of default has occurred and is continuing with respect to such series. We may also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92"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We have obtained the foregoing information concerning the Depositary and the Depositary’s book-entry systems and procedures from sources we believe to be reliable, but we take no responsibility for the accuracy of this information.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avoidance of doubt, none of us, the trustee nor any agent under the indenture will have any liability for any actions of the Depositary.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our securities in any one or more of the following ways from time to time: (1) through agents; (2) to or through underwriters; (3) through brokers or dealers; (4) directly by us to purchasers, including through a specific bidding, auction or other process; or (5) through a combination of any of these methods of sale. The applicable prospectus supplement and/or other offering materials will contain the terms of the transaction, the name or names of any underwriters, dealers, agents and the respective amounts of securities underwritten or purchased by them, the initial public offering price of the securities, and the applicable agent’s commission, dealer’s purchase price or underwriter’s discount. Any dealers and agents participating in the distribution of the securities may be deemed to be underwriters, and compensation received by them on resale of the securities may be deemed to be underwriting discounts.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initial offering price, dealer purchase price, discount or commission may be changed from time to time.</w:t>
      </w:r>
    </w:p>
    <w:p>
      <w:pPr>
        <w:spacing w:after="0" w:line="225" w:lineRule="exact"/>
        <w:rPr>
          <w:sz w:val="20"/>
          <w:szCs w:val="20"/>
          <w:color w:val="auto"/>
        </w:rPr>
      </w:pPr>
    </w:p>
    <w:p>
      <w:pPr>
        <w:jc w:val="both"/>
        <w:ind w:left="120" w:right="60"/>
        <w:spacing w:after="0" w:line="312" w:lineRule="auto"/>
        <w:rPr>
          <w:sz w:val="20"/>
          <w:szCs w:val="20"/>
          <w:color w:val="auto"/>
        </w:rPr>
      </w:pPr>
      <w:r>
        <w:rPr>
          <w:rFonts w:ascii="Times New Roman" w:cs="Times New Roman" w:eastAsia="Times New Roman" w:hAnsi="Times New Roman"/>
          <w:sz w:val="17"/>
          <w:szCs w:val="17"/>
          <w:color w:val="auto"/>
        </w:rPr>
        <w:t>The securities may be distributed from time to time in one or more transactions, at negotiated prices, at a fixed price or fixed prices (that may be subject to change), at market prices prevailing at the time of sale, at various prices determined at the time of sale or at prices related to prevailing market prices.</w:t>
      </w:r>
    </w:p>
    <w:p>
      <w:pPr>
        <w:spacing w:after="0" w:line="140"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or by agents designated by us from time to time. Any such agent may be deemed to be an underwriter, as that term is defined in the Securities Act, of the securities so offered and sold.</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underwriters are utilized in the sale of any securities in respect of which this prospectus is being delivered, such securities will be acquired by the underwriters for their own account and may be resold from time to time in one or more transactions, including negotiated transactions, at fixed public offering prices or at varying prices determined by the underwriters at the time of sale. Securities may be offered to the public either through underwriting syndicates represented by managing underwriters or directly by one or more underwriters. If any underwriter or underwriters are utilized in the sale of securities, unless otherwise indicated in the applicable prospectus supplement and/or other offering material, the obligations of the underwriters are subject to certain conditions precedent, and the underwriters will be obligated to purchase all such securities if they purchase any of them.</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 The dealer may then resell such securities to the public at varying prices to be determined by such dealer at the time of resale. Transactions through brokers or dealers may include block trades in which brokers or dealers will attempt to sell shares as agent but may position and resell as principal to facilitate the transaction or in cross trades, in which the same broker or dealer acts as agent on both sides of the trade. Any such dealer may be deemed to be an underwriter, as such term is defined in the Securities Act, of the securities so offered and sold.</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so indicated in the applicable prospectus supplement and/or other offering material, we may authorize agents and underwriters to solicit offers by certain institutions to purchase securities from us at the public offering price set forth in the applicable prospectus supplement and/or other offering material pursuant to delayed delivery contracts providing for payment and delivery on the date or dates stated in the applicable prospectus supplement and/or other offering material. Such delayed delivery contracts will be subject only to those conditions set forth in the applicable prospectus supplement and/or other offering material.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Agents, underwriters and dealers may be entitled under relevant agreements with us to indemnification by us against certain liabilities, including liabilities under the Securities Act, or to contribution with respect to payments which such agents, underwriters and dealers may be required to make in respect thereof. The terms and conditions of any indemnification or contribution will be described in the applicable prospectus supplement and/or other offering material.</w:t>
      </w:r>
    </w:p>
    <w:p>
      <w:pPr>
        <w:spacing w:after="0" w:line="180"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also sell shares of our common stock through various arrangements involving mandatorily or optionally exchangeable securities, and this prospectus may be delivered in connection with those sales.</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may enter into derivative, sale or forward sale transactions with third parties, or sell securities not covered by this prospectus to third parties in privately negotiated transactions. If the applicable prospectus supplement and/or other offering material indicates, in connection with those transactions, the third parties may sell securities covered by this prospectus and the applicable prospectus supplement and/or other offering material, including in short sale transactions and by issuing securities not covered by this prospectus but convertible into, exchangeable for or representing beneficial interests in securities covered by this prospectus, or the return of which is derived in whole or in part from the value of such securities. The third parties may use securities received under derivative, sale or forward sale transactions or securities pledged by us or borrowed from us or others to settle those sales or to close out any related open borrowings of stock, and may use securities received from us in settlement of those transactions to close out any related open borrowings of stock. The third party in such sale transactions will be an underwriter and will be identified in the applicable prospectus supplement (or a post-effective amendment) and/or other offering material.</w:t>
      </w:r>
    </w:p>
    <w:p>
      <w:pPr>
        <w:spacing w:after="0" w:line="188"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Underwriters, broker-dealers or agents may receive compensation in the form of commissions, discounts or concessions from us. Underwriters, broker-dealers or agents may also receive compensation from the purchasers of shares for whom they act as agents or to whom they sell as principals, or both. Compensation as to a particular underwriter, broker-dealer or agent will be in amounts to be negotiated in connection with transactions involving shares and might be in excess of customary commissions. In effecting sales, broker-dealers engaged by us may arrange for other broker-dealers to participate in the resales.</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Any securities offered other than common stock will be a new issue and, other than the common stock, which is listed on The NASDAQ Global Select Market, will have no established trading market. We may elect to list any series of securities on an exchange, and in the case of the common stock, on any additional exchange, but, unless otherwise specified in the applicable prospectus supplement and/or other offering material, we shall not be obligated to do so. No assurance can be given as to the liquidity of the trading market for any of the securities.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Agents, underwriters and dealers may engage in transactions with, or perform services for, us or our subsidiaries in the ordinary course of business.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 An underwriter may carry out these transactions on The NASDAQ Global Select Market, in the over-the-counter market or otherwise.</w:t>
      </w:r>
    </w:p>
    <w:p>
      <w:pPr>
        <w:spacing w:after="0" w:line="19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place and time of delivery for securities will be set forth in the accompanying prospectus supplement and/or other offering material for such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INFORMATION INCORPORATED BY REFERENCE</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this offering.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file annual, quarterly and current reports and other information with the SEC. Our SEC filings are available at the SEC’s website at www.sec.gov.</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“TTWO”.</w:t>
      </w:r>
    </w:p>
    <w:p>
      <w:pPr>
        <w:spacing w:after="0" w:line="20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disclose important information to you by referring you to documents that we have previously filed with the SEC or documents that we will file with the SEC in the future. The information incorporated by reference is considered to be part of this prospectus, and information in documents that we file later with the SEC will automatically update and supersede information in this prospectus, and any future filings made by us with the SEC under Section 13(a), 13(c), 14 or 15(d) of the Exchange Act. Unless specifically stated to the contrary, none of the information that we disclose under Items 2.02 or 7.01 of any Current Report on Form 8-K that we have furnished or may from time to time furnish with the SEC is or will be incorporated by reference in, or otherwise included in, this prospectus. The documents we incorporate by reference herein are:</w:t>
      </w:r>
    </w:p>
    <w:p>
      <w:pPr>
        <w:spacing w:after="0" w:line="9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73">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quarters ended </w:t>
      </w:r>
      <w:hyperlink r:id="rId74">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September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December 31, 2024;</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7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2024 annual meeting of stockholders, filed on July 25, 2024, specifically incorporated by reference into our Annual Report on Form 10-K for the fiscal year ended March 31, 2024;</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hyperlink r:id="rId77">
        <w:r>
          <w:rPr>
            <w:rFonts w:ascii="Times New Roman" w:cs="Times New Roman" w:eastAsia="Times New Roman" w:hAnsi="Times New Roman"/>
            <w:sz w:val="18"/>
            <w:szCs w:val="18"/>
            <w:color w:val="auto"/>
          </w:rPr>
          <w:t xml:space="preserve">our Current Reports on Form 8-K (in all cases other than information furnished rather than filed pursuant to any Form 8-K) filed </w:t>
        </w:r>
        <w:r>
          <w:rPr>
            <w:rFonts w:ascii="Times New Roman" w:cs="Times New Roman" w:eastAsia="Times New Roman" w:hAnsi="Times New Roman"/>
            <w:sz w:val="18"/>
            <w:szCs w:val="18"/>
            <w:u w:val="single" w:color="auto"/>
            <w:color w:val="0000EE"/>
          </w:rPr>
          <w:t>April 1,</w:t>
        </w:r>
      </w:hyperlink>
    </w:p>
    <w:p>
      <w:pPr>
        <w:spacing w:after="0" w:line="27"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8">
        <w:r>
          <w:rPr>
            <w:rFonts w:ascii="Times New Roman" w:cs="Times New Roman" w:eastAsia="Times New Roman" w:hAnsi="Times New Roman"/>
            <w:sz w:val="18"/>
            <w:szCs w:val="18"/>
            <w:u w:val="single" w:color="auto"/>
            <w:color w:val="0000EE"/>
          </w:rPr>
          <w:t>April 16, 2024</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9">
        <w:r>
          <w:rPr>
            <w:rFonts w:ascii="Times New Roman" w:cs="Times New Roman" w:eastAsia="Times New Roman" w:hAnsi="Times New Roman"/>
            <w:sz w:val="18"/>
            <w:szCs w:val="18"/>
            <w:u w:val="single" w:color="auto"/>
            <w:color w:val="0000EE"/>
          </w:rPr>
          <w:t>June 11, 2024</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0">
        <w:r>
          <w:rPr>
            <w:rFonts w:ascii="Times New Roman" w:cs="Times New Roman" w:eastAsia="Times New Roman" w:hAnsi="Times New Roman"/>
            <w:sz w:val="18"/>
            <w:szCs w:val="18"/>
            <w:u w:val="single" w:color="auto"/>
            <w:color w:val="0000EE"/>
          </w:rPr>
          <w:t>June 12, 2024</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1">
        <w:r>
          <w:rPr>
            <w:rFonts w:ascii="Times New Roman" w:cs="Times New Roman" w:eastAsia="Times New Roman" w:hAnsi="Times New Roman"/>
            <w:sz w:val="18"/>
            <w:szCs w:val="18"/>
            <w:u w:val="single" w:color="auto"/>
            <w:color w:val="0000EE"/>
          </w:rPr>
          <w:t>June 14, 2024</w:t>
        </w:r>
      </w:hyperlink>
      <w:hyperlink r:id="rId7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82">
        <w:r>
          <w:rPr>
            <w:rFonts w:ascii="Times New Roman" w:cs="Times New Roman" w:eastAsia="Times New Roman" w:hAnsi="Times New Roman"/>
            <w:sz w:val="18"/>
            <w:szCs w:val="18"/>
            <w:u w:val="single" w:color="auto"/>
            <w:color w:val="0000EE"/>
          </w:rPr>
          <w:t>September 16, 2024</w:t>
        </w:r>
      </w:hyperlink>
      <w:hyperlink r:id="rId7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83">
        <w:r>
          <w:rPr>
            <w:rFonts w:ascii="Times New Roman" w:cs="Times New Roman" w:eastAsia="Times New Roman" w:hAnsi="Times New Roman"/>
            <w:sz w:val="18"/>
            <w:szCs w:val="18"/>
            <w:u w:val="single" w:color="auto"/>
            <w:color w:val="0000EE"/>
          </w:rPr>
          <w:t>September 23, 2024</w:t>
        </w:r>
      </w:hyperlink>
      <w:hyperlink r:id="rId77">
        <w:r>
          <w:rPr>
            <w:rFonts w:ascii="Times New Roman" w:cs="Times New Roman" w:eastAsia="Times New Roman" w:hAnsi="Times New Roman"/>
            <w:sz w:val="18"/>
            <w:szCs w:val="18"/>
            <w:color w:val="000000"/>
          </w:rPr>
          <w:t>; and</w:t>
        </w:r>
      </w:hyperlink>
    </w:p>
    <w:p>
      <w:pPr>
        <w:spacing w:after="0" w:line="112" w:lineRule="exact"/>
        <w:rPr>
          <w:rFonts w:ascii="Times New Roman" w:cs="Times New Roman" w:eastAsia="Times New Roman" w:hAnsi="Times New Roman"/>
          <w:sz w:val="18"/>
          <w:szCs w:val="18"/>
          <w:color w:val="0000EE"/>
        </w:rPr>
      </w:pPr>
    </w:p>
    <w:p>
      <w:pPr>
        <w:ind w:left="1080" w:right="14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which is contained in our </w:t>
      </w:r>
      <w:hyperlink r:id="rId84">
        <w:r>
          <w:rPr>
            <w:rFonts w:ascii="Times New Roman" w:cs="Times New Roman" w:eastAsia="Times New Roman" w:hAnsi="Times New Roman"/>
            <w:sz w:val="18"/>
            <w:szCs w:val="18"/>
            <w:u w:val="single" w:color="auto"/>
            <w:color w:val="0000EE"/>
          </w:rPr>
          <w:t>Registration Statement on Form 8-A</w:t>
        </w:r>
      </w:hyperlink>
      <w:r>
        <w:rPr>
          <w:rFonts w:ascii="Times New Roman" w:cs="Times New Roman" w:eastAsia="Times New Roman" w:hAnsi="Times New Roman"/>
          <w:sz w:val="18"/>
          <w:szCs w:val="18"/>
          <w:color w:val="auto"/>
        </w:rPr>
        <w:t xml:space="preserve">, as updated by </w:t>
      </w:r>
      <w:hyperlink r:id="rId43">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March 31, 2024, together with any subsequent amendment or report filed with the SEC for the purpose of updating this description.</w:t>
      </w:r>
    </w:p>
    <w:p>
      <w:pPr>
        <w:spacing w:after="0" w:line="176" w:lineRule="exact"/>
        <w:rPr>
          <w:rFonts w:ascii="Times New Roman" w:cs="Times New Roman" w:eastAsia="Times New Roman" w:hAnsi="Times New Roman"/>
          <w:sz w:val="18"/>
          <w:szCs w:val="18"/>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herein any further filings we make with the SEC under Section 13(a), 13(c), 14 or 15(d) of the Exchange Act after the date of the filing of the registration statement to which this prospectus relates and until we terminate the offering of securities pursuant to this prospectus. Our subsequent filings with the SEC will automatically update and supersede information in this prospectus.</w:t>
      </w:r>
    </w:p>
    <w:p>
      <w:pPr>
        <w:spacing w:after="0" w:line="176"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documents listed above (excluding the exhibits attached thereto unless those exhibits are specifically incorporated by reference into those documents) may be obtained free of charge by each person to whom a copy of this prospectus is delivered, upon written or oral request, by contacting us at Take-Two Interactive Software, Inc., 110 West 44th Street, New York, New York 10036, Attention: Chief Legal Officer, telephone number (646) 536-2842.</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Willkie Farr &amp; Gallagher LLP, New York, New York will pass upon the validity of any securities we offer by this prospectus. If the validity of any securities is also passed upon by counsel for the underwriters of an offering of those securities, that counsel will be named in the prospectus supplement relating to that offering.</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Take-Two Interactive Software, Inc. appearing in Take-Two Interactive Software, Inc.’s Annual Report (Form 10-K) for the year ended March 31, 2024, and the effectiveness of Take-Two Interactive Software, Inc.’s internal control over financial reporting as of March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$1,000,000,000</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Take-Two Interactive Software, Inc.</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1412875</wp:posOffset>
            </wp:positionV>
            <wp:extent cx="1474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1050925</wp:posOffset>
            </wp:positionV>
            <wp:extent cx="960120" cy="8058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96012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i w:val="1"/>
          <w:iCs w:val="1"/>
          <w:color w:val="auto"/>
        </w:rPr>
        <w:t>Lead Bookrunning Managers</w:t>
      </w:r>
    </w:p>
    <w:p>
      <w:pPr>
        <w:spacing w:after="0" w:line="1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J.P. Morgan</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lowerLetter"/>
      <w:start w:val="2"/>
    </w:lvl>
  </w:abstractNum>
  <w:abstractNum w:abstractNumId="10">
    <w:nsid w:val="54E49EB4"/>
    <w:multiLevelType w:val="hybridMultilevel"/>
    <w:lvl w:ilvl="0">
      <w:lvlJc w:val="left"/>
      <w:lvlText w:val="(%1)"/>
      <w:numFmt w:val="lowerLetter"/>
      <w:start w:val="1"/>
    </w:lvl>
  </w:abstractNum>
  <w:abstractNum w:abstractNumId="11">
    <w:nsid w:val="71F32454"/>
    <w:multiLevelType w:val="hybridMultilevel"/>
    <w:lvl w:ilvl="0">
      <w:lvlJc w:val="left"/>
      <w:lvlText w:val="(%1)"/>
      <w:numFmt w:val="lowerLetter"/>
      <w:start w:val="3"/>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jpe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jpe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40" Type="http://schemas.openxmlformats.org/officeDocument/2006/relationships/hyperlink" Target="http://www.sec.gov/ix?doc=/Archives/edgar/data/946581/000162828025026694/ttwo-20250331.htm" TargetMode="External"/><Relationship Id="rId41" Type="http://schemas.openxmlformats.org/officeDocument/2006/relationships/hyperlink" Target="http://www.sec.gov/ix?doc=/Archives/edgar/data/0000946581/000130817924000655/lttwo2024_def14a.htm" TargetMode="External"/><Relationship Id="rId42" Type="http://schemas.openxmlformats.org/officeDocument/2006/relationships/hyperlink" Target="http://www.sec.gov/Archives/edgar/data/946581/000130817924000662/lttwo2024_defa14a.htm" TargetMode="External"/><Relationship Id="rId43" Type="http://schemas.openxmlformats.org/officeDocument/2006/relationships/hyperlink" Target="http://www.sec.gov/Archives/edgar/data/946581/000162828024024623/ex-41xdescriptionofregistr.htm" TargetMode="External"/><Relationship Id="rId73" Type="http://schemas.openxmlformats.org/officeDocument/2006/relationships/hyperlink" Target="http://www.sec.gov/ix?doc=/Archives/edgar/data/946581/000162828024024623/ttwo-20240331.htm" TargetMode="External"/><Relationship Id="rId74" Type="http://schemas.openxmlformats.org/officeDocument/2006/relationships/hyperlink" Target="http://www.sec.gov/ix?doc=/Archives/edgar/data/946581/000162828024036273/ttwo-20240630.htm" TargetMode="External"/><Relationship Id="rId75" Type="http://schemas.openxmlformats.org/officeDocument/2006/relationships/hyperlink" Target="http://www.sec.gov/ix?doc=/Archives/edgar/data/946581/000162828024045867/ttwo-20240930.htm" TargetMode="External"/><Relationship Id="rId76" Type="http://schemas.openxmlformats.org/officeDocument/2006/relationships/hyperlink" Target="http://www.sec.gov/ix?doc=/Archives/edgar/data/946581/000130817924000655/lttwo2024_def14a.htm" TargetMode="External"/><Relationship Id="rId77" Type="http://schemas.openxmlformats.org/officeDocument/2006/relationships/hyperlink" Target="http://www.sec.gov/ix?doc=/Archives/edgar/data/946581/000119312524083524/d817256d8k.htm" TargetMode="External"/><Relationship Id="rId78" Type="http://schemas.openxmlformats.org/officeDocument/2006/relationships/hyperlink" Target="http://www.sec.gov/ix?doc=/Archives/edgar/data/946581/000162828024016440/ttwo-20240416.htm" TargetMode="External"/><Relationship Id="rId79" Type="http://schemas.openxmlformats.org/officeDocument/2006/relationships/hyperlink" Target="http://www.sec.gov/ix?doc=/Archives/edgar/data/946581/000119312524159129/d791210d8ka.htm" TargetMode="External"/><Relationship Id="rId80" Type="http://schemas.openxmlformats.org/officeDocument/2006/relationships/hyperlink" Target="http://www.sec.gov/ix?doc=/Archives/edgar/data/946581/000119312524159952/d818250d8k.htm" TargetMode="External"/><Relationship Id="rId81" Type="http://schemas.openxmlformats.org/officeDocument/2006/relationships/hyperlink" Target="http://www.sec.gov/ix?doc=/Archives/edgar/data/946581/000119312524161599/d829315d8k.htm" TargetMode="External"/><Relationship Id="rId82" Type="http://schemas.openxmlformats.org/officeDocument/2006/relationships/hyperlink" Target="http://www.sec.gov/ix?doc=/Archives/edgar/data/946581/000119312524219235/d893212d8k.htm" TargetMode="External"/><Relationship Id="rId83" Type="http://schemas.openxmlformats.org/officeDocument/2006/relationships/hyperlink" Target="http://www.sec.gov/ix?doc=/Archives/edgar/data/946581/000162828024041114/ttwo-20240918.htm" TargetMode="External"/><Relationship Id="rId84" Type="http://schemas.openxmlformats.org/officeDocument/2006/relationships/hyperlink" Target="http://www.sec.gov/Archives/edgar/data/0000946581/000110465908019702/a08-9031_2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2025-05-20T15:14:05Z</dcterms:created>
  <dcterms:modified xsi:type="dcterms:W3CDTF">2025-05-20T15:14:05Z</dcterms:modified>
</cp:coreProperties>
</file>