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250"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On August 3, 2020, Take-Two Interactive Software, Inc. (the “Company”) issued a press release announcing the financial results of the Company for its first fiscal quarter ended June 30, 2020. A copy of the press release is attached to this Current Report as Exhibit 99.1 and is incorporated by reference herein.</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17"/>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hyperlink w:anchor="page5">
        <w:r>
          <w:rPr>
            <w:rFonts w:ascii="Arial" w:cs="Arial" w:eastAsia="Arial" w:hAnsi="Arial"/>
            <w:sz w:val="18"/>
            <w:szCs w:val="18"/>
            <w:u w:val="single" w:color="auto"/>
            <w:color w:val="0000EE"/>
          </w:rPr>
          <w:t>Press Release dated August 3, 2020 relating to Take-Two Interactive Software, Inc.’s financial results for its first fiscal quarter</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ended June 30, 2020.</w:t>
        </w:r>
      </w:hyperlink>
    </w:p>
    <w:p>
      <w:pPr>
        <w:spacing w:after="0" w:line="170"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INDEX</w:t>
            </w:r>
          </w:p>
        </w:tc>
        <w:tc>
          <w:tcPr>
            <w:tcW w:w="4760" w:type="dxa"/>
            <w:vAlign w:val="bottom"/>
            <w:gridSpan w:val="2"/>
          </w:tcPr>
          <w:p>
            <w:pPr>
              <w:spacing w:after="0"/>
              <w:rPr>
                <w:sz w:val="17"/>
                <w:szCs w:val="17"/>
                <w:color w:val="auto"/>
              </w:rPr>
            </w:pPr>
          </w:p>
        </w:tc>
      </w:tr>
      <w:tr>
        <w:trPr>
          <w:trHeight w:val="412"/>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4440" w:type="dxa"/>
            <w:vAlign w:val="bottom"/>
          </w:tcPr>
          <w:p>
            <w:pPr>
              <w:spacing w:after="0"/>
              <w:rPr>
                <w:sz w:val="24"/>
                <w:szCs w:val="24"/>
                <w:color w:val="auto"/>
              </w:rPr>
            </w:pPr>
          </w:p>
        </w:tc>
      </w:tr>
      <w:tr>
        <w:trPr>
          <w:trHeight w:val="412"/>
        </w:trPr>
        <w:tc>
          <w:tcPr>
            <w:tcW w:w="5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56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dated August 3, 2020 relating to Take-Two Interactive Software, Inc.’s financial results for its first fiscal quarter ended June</w:t>
              </w:r>
            </w:hyperlink>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30, 2020.</w:t>
              </w:r>
            </w:hyperlink>
          </w:p>
        </w:tc>
        <w:tc>
          <w:tcPr>
            <w:tcW w:w="3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40" w:type="dxa"/>
            <w:vAlign w:val="bottom"/>
          </w:tcPr>
          <w:p>
            <w:pPr>
              <w:spacing w:after="0"/>
              <w:rPr>
                <w:sz w:val="17"/>
                <w:szCs w:val="17"/>
                <w:color w:val="auto"/>
              </w:rPr>
            </w:pPr>
          </w:p>
        </w:tc>
      </w:tr>
    </w:tbl>
    <w:p>
      <w:pPr>
        <w:spacing w:after="0" w:line="229" w:lineRule="exact"/>
        <w:rPr>
          <w:sz w:val="20"/>
          <w:szCs w:val="20"/>
          <w:color w:val="auto"/>
        </w:rPr>
      </w:pPr>
    </w:p>
    <w:p>
      <w:pPr>
        <w:ind w:left="5580" w:right="4120" w:hanging="5572"/>
        <w:spacing w:after="0" w:line="778" w:lineRule="auto"/>
        <w:tabs>
          <w:tab w:leader="none" w:pos="113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Breitman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General Counsel Americas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&amp;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4" w:name="page5"/>
    <w:bookmarkEnd w:id="4"/>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144780</wp:posOffset>
            </wp:positionV>
            <wp:extent cx="6155055" cy="5915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505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60" w:type="dxa"/>
            <w:vAlign w:val="bottom"/>
            <w:gridSpan w:val="3"/>
          </w:tcPr>
          <w:p>
            <w:pPr>
              <w:ind w:left="480"/>
              <w:spacing w:after="0"/>
              <w:rPr>
                <w:sz w:val="20"/>
                <w:szCs w:val="20"/>
                <w:color w:val="auto"/>
              </w:rPr>
            </w:pPr>
            <w:r>
              <w:rPr>
                <w:rFonts w:ascii="Arial" w:cs="Arial" w:eastAsia="Arial" w:hAnsi="Arial"/>
                <w:sz w:val="18"/>
                <w:szCs w:val="18"/>
                <w:color w:val="auto"/>
              </w:rPr>
              <w:t>FOR IMMEDIATE RELEASE</w:t>
            </w: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40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060" w:type="dxa"/>
            <w:vAlign w:val="bottom"/>
            <w:gridSpan w:val="3"/>
          </w:tcPr>
          <w:p>
            <w:pPr>
              <w:ind w:left="1840"/>
              <w:spacing w:after="0"/>
              <w:rPr>
                <w:sz w:val="20"/>
                <w:szCs w:val="20"/>
                <w:color w:val="auto"/>
              </w:rPr>
            </w:pPr>
            <w:r>
              <w:rPr>
                <w:rFonts w:ascii="Arial" w:cs="Arial" w:eastAsia="Arial" w:hAnsi="Arial"/>
                <w:sz w:val="18"/>
                <w:szCs w:val="18"/>
                <w:color w:val="auto"/>
              </w:rPr>
              <w:t>(Corporate Press)</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5060" w:type="dxa"/>
            <w:vAlign w:val="bottom"/>
            <w:gridSpan w:val="3"/>
          </w:tcPr>
          <w:p>
            <w:pPr>
              <w:ind w:left="1840"/>
              <w:spacing w:after="0"/>
              <w:rPr>
                <w:sz w:val="20"/>
                <w:szCs w:val="20"/>
                <w:color w:val="auto"/>
              </w:rPr>
            </w:pPr>
            <w:r>
              <w:rPr>
                <w:rFonts w:ascii="Arial" w:cs="Arial" w:eastAsia="Arial" w:hAnsi="Arial"/>
                <w:sz w:val="18"/>
                <w:szCs w:val="18"/>
                <w:color w:val="auto"/>
              </w:rPr>
              <w:t>Alan Lewis</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5060" w:type="dxa"/>
            <w:vAlign w:val="bottom"/>
            <w:gridSpan w:val="3"/>
          </w:tcPr>
          <w:p>
            <w:pPr>
              <w:ind w:left="1840"/>
              <w:spacing w:after="0"/>
              <w:rPr>
                <w:sz w:val="20"/>
                <w:szCs w:val="20"/>
                <w:color w:val="auto"/>
              </w:rPr>
            </w:pPr>
            <w:r>
              <w:rPr>
                <w:rFonts w:ascii="Arial" w:cs="Arial" w:eastAsia="Arial" w:hAnsi="Arial"/>
                <w:sz w:val="18"/>
                <w:szCs w:val="18"/>
                <w:color w:val="auto"/>
              </w:rPr>
              <w:t>Vice President</w:t>
            </w:r>
          </w:p>
        </w:tc>
      </w:tr>
      <w:tr>
        <w:trPr>
          <w:trHeight w:val="212"/>
        </w:trPr>
        <w:tc>
          <w:tcPr>
            <w:tcW w:w="402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5060" w:type="dxa"/>
            <w:vAlign w:val="bottom"/>
            <w:gridSpan w:val="3"/>
          </w:tcPr>
          <w:p>
            <w:pPr>
              <w:ind w:left="1840"/>
              <w:spacing w:after="0"/>
              <w:rPr>
                <w:sz w:val="20"/>
                <w:szCs w:val="20"/>
                <w:color w:val="auto"/>
              </w:rPr>
            </w:pPr>
            <w:r>
              <w:rPr>
                <w:rFonts w:ascii="Arial" w:cs="Arial" w:eastAsia="Arial" w:hAnsi="Arial"/>
                <w:sz w:val="18"/>
                <w:szCs w:val="18"/>
                <w:color w:val="auto"/>
                <w:w w:val="92"/>
              </w:rPr>
              <w:t>Corporate Communications &amp; Public Affairs</w:t>
            </w:r>
          </w:p>
        </w:tc>
      </w:tr>
      <w:tr>
        <w:trPr>
          <w:trHeight w:val="22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5060" w:type="dxa"/>
            <w:vAlign w:val="bottom"/>
            <w:gridSpan w:val="3"/>
          </w:tcPr>
          <w:p>
            <w:pPr>
              <w:ind w:left="1840"/>
              <w:spacing w:after="0"/>
              <w:rPr>
                <w:sz w:val="20"/>
                <w:szCs w:val="20"/>
                <w:color w:val="auto"/>
              </w:rPr>
            </w:pPr>
            <w:r>
              <w:rPr>
                <w:rFonts w:ascii="Arial" w:cs="Arial" w:eastAsia="Arial" w:hAnsi="Arial"/>
                <w:sz w:val="18"/>
                <w:szCs w:val="18"/>
                <w:b w:val="1"/>
                <w:bCs w:val="1"/>
                <w:color w:val="auto"/>
              </w:rPr>
              <w:t>Take-Two Interactive Software, Inc.</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(646) 536-3005</w:t>
            </w:r>
          </w:p>
        </w:tc>
        <w:tc>
          <w:tcPr>
            <w:tcW w:w="1480" w:type="dxa"/>
            <w:vAlign w:val="bottom"/>
          </w:tcPr>
          <w:p>
            <w:pPr>
              <w:spacing w:after="0"/>
              <w:rPr>
                <w:sz w:val="18"/>
                <w:szCs w:val="18"/>
                <w:color w:val="auto"/>
              </w:rPr>
            </w:pPr>
          </w:p>
        </w:tc>
        <w:tc>
          <w:tcPr>
            <w:tcW w:w="4040" w:type="dxa"/>
            <w:vAlign w:val="bottom"/>
            <w:gridSpan w:val="2"/>
          </w:tcPr>
          <w:p>
            <w:pPr>
              <w:ind w:left="1840"/>
              <w:spacing w:after="0"/>
              <w:rPr>
                <w:sz w:val="20"/>
                <w:szCs w:val="20"/>
                <w:color w:val="auto"/>
              </w:rPr>
            </w:pPr>
            <w:r>
              <w:rPr>
                <w:rFonts w:ascii="Arial" w:cs="Arial" w:eastAsia="Arial" w:hAnsi="Arial"/>
                <w:sz w:val="18"/>
                <w:szCs w:val="18"/>
                <w:color w:val="auto"/>
              </w:rPr>
              <w:t>(646) 536-2983</w:t>
            </w:r>
          </w:p>
        </w:tc>
        <w:tc>
          <w:tcPr>
            <w:tcW w:w="1020" w:type="dxa"/>
            <w:vAlign w:val="bottom"/>
          </w:tcPr>
          <w:p>
            <w:pPr>
              <w:spacing w:after="0"/>
              <w:rPr>
                <w:sz w:val="18"/>
                <w:szCs w:val="18"/>
                <w:color w:val="auto"/>
              </w:rPr>
            </w:pPr>
          </w:p>
        </w:tc>
      </w:tr>
      <w:tr>
        <w:trPr>
          <w:trHeight w:val="190"/>
        </w:trPr>
        <w:tc>
          <w:tcPr>
            <w:tcW w:w="254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1480" w:type="dxa"/>
            <w:vAlign w:val="bottom"/>
          </w:tcPr>
          <w:p>
            <w:pPr>
              <w:spacing w:after="0"/>
              <w:rPr>
                <w:sz w:val="16"/>
                <w:szCs w:val="16"/>
                <w:color w:val="auto"/>
              </w:rPr>
            </w:pPr>
          </w:p>
        </w:tc>
        <w:tc>
          <w:tcPr>
            <w:tcW w:w="5060" w:type="dxa"/>
            <w:vAlign w:val="bottom"/>
            <w:gridSpan w:val="3"/>
          </w:tcPr>
          <w:p>
            <w:pPr>
              <w:ind w:left="1840"/>
              <w:spacing w:after="0" w:line="190" w:lineRule="exact"/>
              <w:rPr>
                <w:sz w:val="20"/>
                <w:szCs w:val="20"/>
                <w:color w:val="auto"/>
              </w:rPr>
            </w:pPr>
            <w:r>
              <w:rPr>
                <w:rFonts w:ascii="Arial" w:cs="Arial" w:eastAsia="Arial" w:hAnsi="Arial"/>
                <w:sz w:val="18"/>
                <w:szCs w:val="18"/>
                <w:color w:val="auto"/>
              </w:rPr>
              <w:t>Alan.Lewis@take2games.com</w:t>
            </w:r>
          </w:p>
        </w:tc>
      </w:tr>
      <w:tr>
        <w:trPr>
          <w:trHeight w:val="20"/>
        </w:trPr>
        <w:tc>
          <w:tcPr>
            <w:tcW w:w="2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Take-Two Interactive Software, Inc. Reports Strong Results for Fiscal First Quarter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revenue grew 54% to $831.3 million, a fiscal first quarter record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income per diluted share increased 88% to $0.77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cash provided by operating activities for the three-months ended June 30, 2020 increased 310% to $445.4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Adjusted Unrestricted Operating Cash Flow (Non-GAAP) for the three-months ended June 30, 2020 increased 595% to $324.0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Bookings grew 136% to $996.2 million, a fiscal first quarter record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raises outlook for fiscal year 2021</w:t>
      </w:r>
    </w:p>
    <w:p>
      <w:pPr>
        <w:spacing w:after="0" w:line="2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New York, NY – August 3, 2020</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strong results for its fiscal first quarter 2021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ended June 30, 2020. In addition, the Company provided its initial outlook for its fiscal second quarter ending September 30, 2020 and increased its outlook for the fiscal year 2021, ending March 31, 2021. For additional information, please see the fiscal first quarter 2021 results slide deck posted to the Company’s investor relations website at </w:t>
      </w:r>
      <w:r>
        <w:rPr>
          <w:rFonts w:ascii="Arial" w:cs="Arial" w:eastAsia="Arial" w:hAnsi="Arial"/>
          <w:sz w:val="18"/>
          <w:szCs w:val="18"/>
          <w:u w:val="single" w:color="auto"/>
          <w:color w:val="auto"/>
        </w:rPr>
        <w:t>http://ir.take2games.com</w:t>
      </w:r>
      <w:r>
        <w:rPr>
          <w:rFonts w:ascii="Arial" w:cs="Arial" w:eastAsia="Arial" w:hAnsi="Arial"/>
          <w:sz w:val="18"/>
          <w:szCs w:val="18"/>
          <w:color w:val="auto"/>
        </w:rPr>
        <w:t>.</w:t>
      </w:r>
    </w:p>
    <w:p>
      <w:pPr>
        <w:sectPr>
          <w:pgSz w:w="11900" w:h="16909"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Fiscal First Quarter 2021 Financial Highlights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GAAP net revenue increased 54% to $831.3 million, a fiscal first quarter record, as compared to $540.5 million in last year’s fiscal first quarter. Recurrent consumer spending (which is generated from ongoing consumer engagement and includes virtual currency, add-on content and in-game purchases) increased 52% and accounted for 58% of total GAAP net revenue. The largest contributors to GAAP net revenue in fiscal first quarter 2021 were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Social Point’s mobile offerings; the </w:t>
      </w:r>
      <w:r>
        <w:rPr>
          <w:rFonts w:ascii="Arial" w:cs="Arial" w:eastAsia="Arial" w:hAnsi="Arial"/>
          <w:sz w:val="18"/>
          <w:szCs w:val="18"/>
          <w:i w:val="1"/>
          <w:iCs w:val="1"/>
          <w:color w:val="auto"/>
        </w:rPr>
        <w:t>WWE®</w:t>
      </w:r>
      <w:r>
        <w:rPr>
          <w:rFonts w:ascii="Arial" w:cs="Arial" w:eastAsia="Arial" w:hAnsi="Arial"/>
          <w:sz w:val="18"/>
          <w:szCs w:val="18"/>
          <w:color w:val="auto"/>
        </w:rPr>
        <w:t xml:space="preserve"> series; and </w:t>
      </w:r>
      <w:r>
        <w:rPr>
          <w:rFonts w:ascii="Arial" w:cs="Arial" w:eastAsia="Arial" w:hAnsi="Arial"/>
          <w:sz w:val="18"/>
          <w:szCs w:val="18"/>
          <w:i w:val="1"/>
          <w:iCs w:val="1"/>
          <w:color w:val="auto"/>
        </w:rPr>
        <w:t>The Outer Worlds</w:t>
      </w:r>
      <w:r>
        <w:rPr>
          <w:rFonts w:ascii="Arial" w:cs="Arial" w:eastAsia="Arial" w:hAnsi="Arial"/>
          <w:sz w:val="18"/>
          <w:szCs w:val="18"/>
          <w:color w:val="auto"/>
        </w:rPr>
        <w: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Digitally-delivered GAAP net revenue increased 70% to $726.2 million, as compared to $427.8 million in last year’s fiscal first quarter, and accounted for 87% of total GAAP net revenue. The largest contributors to GAAP digitally-delivered net revenue in fiscal first quarter 2021 were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the</w:t>
      </w:r>
      <w:r>
        <w:rPr>
          <w:rFonts w:ascii="Arial" w:cs="Arial" w:eastAsia="Arial" w:hAnsi="Arial"/>
          <w:sz w:val="18"/>
          <w:szCs w:val="18"/>
          <w:i w:val="1"/>
          <w:iCs w:val="1"/>
          <w:color w:val="auto"/>
        </w:rPr>
        <w:t xml:space="preserve"> WWE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Social Point’s mobile offerings.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GAAP net income increased 91% to $88.5 million, or $0.77 per diluted share, as compared to $46.3 million, or $0.41 per diluted share, for the comparable period last year.</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three-month period ended June 30, 2020, GAAP net cash provided by operating activities increased 310% to $445.4 million, as compared to $108.5 million in the same period last year. During the three-month period ended June 30, 2020, Adjusted Unrestricted Operating Cash Flow (Non-GAAP), which is defined as GAAP net cash from operating activities, adjusted for changes in restricted cash, increased 594% to $324.0 million, as compared to $46.6 million in the same period last year (please see the section below titled “Non-GAAP Financial Measure” for additional information). As of June 30, 2020, the Company had cash and short-term investments of $2.285 billion.</w:t>
      </w:r>
    </w:p>
    <w:p>
      <w:pPr>
        <w:spacing w:after="0" w:line="18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following data, together with a management reporting tax rate of 16%,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9"/>
              </w:rPr>
              <w:t>Three Months Ended June 30, 2020</w:t>
            </w: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3"/>
              </w:rPr>
              <w:t>Financial Data</w:t>
            </w: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Change in deferred</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Amortization &amp;</w:t>
            </w:r>
          </w:p>
        </w:tc>
        <w:tc>
          <w:tcPr>
            <w:tcW w:w="100" w:type="dxa"/>
            <w:vAlign w:val="bottom"/>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revenue and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impairment of</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Statement of</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related cost of</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Stock-based</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acquired intangible</w:t>
            </w: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operations</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goods sold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compensation</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8"/>
              </w:rPr>
              <w:t>assets</w:t>
            </w: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831,310</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164,939</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476,689</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(1,223)</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(29,033)</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(3,282)</w:t>
            </w: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354,621</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166,162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29,033</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272,478</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(24,378)</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82,143</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166,162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53,411</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8,218</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90,361</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165,401</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53,411</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order to calculate net income per diluted share for management reporting purposes, the Company uses its fully diluted share count of 114.96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Metric – Net Bookings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7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 xml:space="preserve">During fiscal first quarter 2021, total Net Bookings grew 136% to $996.2 million, a fiscal first quarter record, as compared to $422.2 million during last year’s fiscal first quarter. Net Bookings from recurrent consumer spending grew 127% and accounted for 65% of total Net Bookings. The largest contributors to Net Bookings in fiscal first quarter 2021 were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Online</w:t>
      </w:r>
      <w:r>
        <w:rPr>
          <w:rFonts w:ascii="Arial" w:cs="Arial" w:eastAsia="Arial" w:hAnsi="Arial"/>
          <w:sz w:val="16"/>
          <w:szCs w:val="16"/>
          <w:color w:val="auto"/>
        </w:rPr>
        <w:t>;</w:t>
      </w:r>
      <w:r>
        <w:rPr>
          <w:rFonts w:ascii="Arial" w:cs="Arial" w:eastAsia="Arial" w:hAnsi="Arial"/>
          <w:sz w:val="16"/>
          <w:szCs w:val="16"/>
          <w:i w:val="1"/>
          <w:iCs w:val="1"/>
          <w:color w:val="auto"/>
        </w:rPr>
        <w:t xml:space="preserve"> Borderlands 3</w:t>
      </w:r>
      <w:r>
        <w:rPr>
          <w:rFonts w:ascii="Arial" w:cs="Arial" w:eastAsia="Arial" w:hAnsi="Arial"/>
          <w:sz w:val="16"/>
          <w:szCs w:val="16"/>
          <w:color w:val="auto"/>
        </w:rPr>
        <w:t>; Social Point’s mobile offerings;</w:t>
      </w:r>
      <w:r>
        <w:rPr>
          <w:rFonts w:ascii="Arial" w:cs="Arial" w:eastAsia="Arial" w:hAnsi="Arial"/>
          <w:sz w:val="16"/>
          <w:szCs w:val="16"/>
          <w:i w:val="1"/>
          <w:iCs w:val="1"/>
          <w:color w:val="auto"/>
        </w:rPr>
        <w:t xml:space="preserve"> Sid Meier’s Civilization VI</w:t>
      </w:r>
      <w:r>
        <w:rPr>
          <w:rFonts w:ascii="Arial" w:cs="Arial" w:eastAsia="Arial" w:hAnsi="Arial"/>
          <w:sz w:val="16"/>
          <w:szCs w:val="16"/>
          <w:color w:val="auto"/>
        </w:rPr>
        <w:t>; the</w:t>
      </w:r>
      <w:r>
        <w:rPr>
          <w:rFonts w:ascii="Arial" w:cs="Arial" w:eastAsia="Arial" w:hAnsi="Arial"/>
          <w:sz w:val="16"/>
          <w:szCs w:val="16"/>
          <w:i w:val="1"/>
          <w:iCs w:val="1"/>
          <w:color w:val="auto"/>
        </w:rPr>
        <w:t xml:space="preserve"> WWE </w:t>
      </w:r>
      <w:r>
        <w:rPr>
          <w:rFonts w:ascii="Arial" w:cs="Arial" w:eastAsia="Arial" w:hAnsi="Arial"/>
          <w:sz w:val="16"/>
          <w:szCs w:val="16"/>
          <w:color w:val="auto"/>
        </w:rPr>
        <w:t>series; and</w:t>
      </w:r>
      <w:r>
        <w:rPr>
          <w:rFonts w:ascii="Arial" w:cs="Arial" w:eastAsia="Arial" w:hAnsi="Arial"/>
          <w:sz w:val="16"/>
          <w:szCs w:val="16"/>
          <w:i w:val="1"/>
          <w:iCs w:val="1"/>
          <w:color w:val="auto"/>
        </w:rPr>
        <w:t xml:space="preserve"> The Outer Worlds</w:t>
      </w:r>
      <w:r>
        <w:rPr>
          <w:rFonts w:ascii="Arial" w:cs="Arial" w:eastAsia="Arial" w:hAnsi="Arial"/>
          <w:sz w:val="16"/>
          <w:szCs w:val="16"/>
          <w:color w:val="auto"/>
        </w:rPr>
        <w:t>.</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Catalog accounted for $915.5 million of Net Bookings led by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Borderlands</w:t>
      </w:r>
      <w:r>
        <w:rPr>
          <w:rFonts w:ascii="Arial" w:cs="Arial" w:eastAsia="Arial" w:hAnsi="Arial"/>
          <w:sz w:val="18"/>
          <w:szCs w:val="18"/>
          <w:color w:val="auto"/>
        </w:rPr>
        <w:t xml:space="preserve">, Social Point’s mobile offerings, </w:t>
      </w:r>
      <w:r>
        <w:rPr>
          <w:rFonts w:ascii="Arial" w:cs="Arial" w:eastAsia="Arial" w:hAnsi="Arial"/>
          <w:sz w:val="18"/>
          <w:szCs w:val="18"/>
          <w:i w:val="1"/>
          <w:iCs w:val="1"/>
          <w:color w:val="auto"/>
        </w:rPr>
        <w:t>Sid Meier’s Civilization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WWE</w:t>
      </w:r>
      <w:r>
        <w:rPr>
          <w:rFonts w:ascii="Arial" w:cs="Arial" w:eastAsia="Arial" w:hAnsi="Arial"/>
          <w:sz w:val="18"/>
          <w:szCs w:val="18"/>
          <w:color w:val="auto"/>
        </w:rPr>
        <w:t xml:space="preserve"> series.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Digitally-delivered Net Bookings grew 139% to $915.2 million, as compared to $382.5 million in last year’s fiscal first quarter, and accounted for 92% of total Net Bookings. The largest contributors to digitally-delivered Net Bookings in fiscal first quarter 2021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Social Point’s mobile offerings;</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WWE </w:t>
      </w:r>
      <w:r>
        <w:rPr>
          <w:rFonts w:ascii="Arial" w:cs="Arial" w:eastAsia="Arial" w:hAnsi="Arial"/>
          <w:sz w:val="18"/>
          <w:szCs w:val="18"/>
          <w:color w:val="auto"/>
        </w:rPr>
        <w:t>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“Fiscal 2021 is off to a terrific start with first quarter operating results that significantly exceeded our expectations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fiscal first quarter records for GAAP net revenue and Net Bookings”, said Strauss Zelnick, Chairman and CEO of Take-Two. “Our extraordinary results were driven primarily by the outperformance of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and Social Point’s mobile games.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our better-than-expected first quarter operating results and increased forecast for the balance of the year, we are raising our fiscal 2021 outlook, which is poised to be another great year for Take-Two.</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With the strongest development pipeline in the history of the Company and our ongoing investment in emerging markets, platforms and business models, Take-Two is exceedingly well positioned to capitalize on the many positive trends in our industry and to generate growth and margin expansion over the long-term.”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Response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Take-Two, our number one priority is the health and safety of our employees and their families. All of our offices moved largely to work-from-home environments by mid-March and several are starting to open on a voluntary basis. The digital nature of our content means our creative talent can continue to work on game development from home. Although the shift to remote working adds complexity and challenges in some areas of the game development process, based on our work to date, we currently do not expect any additional delays.</w:t>
      </w:r>
    </w:p>
    <w:p>
      <w:pPr>
        <w:spacing w:after="0" w:line="18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With more people staying at home, we have experienced, and are continuing to experience, heightened levels of engagement and Net Bookings growth-to-date. The full extent of the impact of the COVID-19 pandemic to our business, operations and financial results will depend on numerous evolving factors that we are not able to predict. The key risks to our business are set forth under the heading “Cautionary Note Regarding Forward Looking Statements” in this release and in Take-Two’s Annual Report on Form 10-K for the fiscal year ended March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April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w:t>
      </w:r>
    </w:p>
    <w:p>
      <w:pPr>
        <w:spacing w:after="0" w:line="229" w:lineRule="exact"/>
        <w:rPr>
          <w:sz w:val="20"/>
          <w:szCs w:val="20"/>
          <w:color w:val="auto"/>
        </w:rPr>
      </w:pPr>
    </w:p>
    <w:p>
      <w:pPr>
        <w:ind w:left="340" w:hanging="332"/>
        <w:spacing w:after="0" w:line="29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 previously announced, during the months of April and May 2020, our labels came together to donate 5% of Net Bookings (after platform fees) from in-game purchases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Online</w:t>
      </w:r>
      <w:r>
        <w:rPr>
          <w:rFonts w:ascii="Arial" w:cs="Arial" w:eastAsia="Arial" w:hAnsi="Arial"/>
          <w:sz w:val="16"/>
          <w:szCs w:val="16"/>
          <w:color w:val="auto"/>
        </w:rPr>
        <w:t xml:space="preserve"> from Rockstar Games, </w:t>
      </w:r>
      <w:r>
        <w:rPr>
          <w:rFonts w:ascii="Arial" w:cs="Arial" w:eastAsia="Arial" w:hAnsi="Arial"/>
          <w:sz w:val="16"/>
          <w:szCs w:val="16"/>
          <w:i w:val="1"/>
          <w:iCs w:val="1"/>
          <w:color w:val="auto"/>
        </w:rPr>
        <w:t>NBA 2K20</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2K19</w:t>
      </w:r>
      <w:r>
        <w:rPr>
          <w:rFonts w:ascii="Arial" w:cs="Arial" w:eastAsia="Arial" w:hAnsi="Arial"/>
          <w:sz w:val="16"/>
          <w:szCs w:val="16"/>
          <w:color w:val="auto"/>
        </w:rPr>
        <w:t xml:space="preserve"> from 2K Games, </w:t>
      </w:r>
      <w:r>
        <w:rPr>
          <w:rFonts w:ascii="Arial" w:cs="Arial" w:eastAsia="Arial" w:hAnsi="Arial"/>
          <w:sz w:val="16"/>
          <w:szCs w:val="16"/>
          <w:i w:val="1"/>
          <w:iCs w:val="1"/>
          <w:color w:val="auto"/>
        </w:rPr>
        <w:t>Dragon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City </w:t>
      </w:r>
      <w:r>
        <w:rPr>
          <w:rFonts w:ascii="Arial" w:cs="Arial" w:eastAsia="Arial" w:hAnsi="Arial"/>
          <w:sz w:val="16"/>
          <w:szCs w:val="16"/>
          <w:color w:val="auto"/>
        </w:rPr>
        <w:t>from Social Point, as well as from full-game digital sales of</w:t>
      </w:r>
      <w:r>
        <w:rPr>
          <w:rFonts w:ascii="Arial" w:cs="Arial" w:eastAsia="Arial" w:hAnsi="Arial"/>
          <w:sz w:val="16"/>
          <w:szCs w:val="16"/>
          <w:i w:val="1"/>
          <w:iCs w:val="1"/>
          <w:color w:val="auto"/>
        </w:rPr>
        <w:t xml:space="preserve"> The Outer Worlds </w:t>
      </w:r>
      <w:r>
        <w:rPr>
          <w:rFonts w:ascii="Arial" w:cs="Arial" w:eastAsia="Arial" w:hAnsi="Arial"/>
          <w:sz w:val="16"/>
          <w:szCs w:val="16"/>
          <w:color w:val="auto"/>
        </w:rPr>
        <w:t>from Private Division, to support an array of COVID-19 charities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local businesses in need. As a result of this effort, we proudly raised over $15 million and provided support to more than 180 organizations throughout the world, including Covenant House, Doctors Without Borders/Médecins Sans Frontières (MSF), Feeding America, International Medical Corps, Robin Hood, and Save the Children to name a few. Our efforts supported food banks, shelters and first responders; provided healthcare workers and hospitals with protective equipment; funded research for a COVID-19 vaccine; provided relief funds for small businesses in the regions where we operate; and endowed numerous industry-related organizations to deliver essential in-home STEM education and game design programs for students.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including:</w:t>
      </w:r>
    </w:p>
    <w:p>
      <w:pPr>
        <w:spacing w:after="0" w:line="225" w:lineRule="exact"/>
        <w:rPr>
          <w:rFonts w:ascii="Arial" w:cs="Arial" w:eastAsia="Arial" w:hAnsi="Arial"/>
          <w:sz w:val="18"/>
          <w:szCs w:val="18"/>
          <w:color w:val="auto"/>
        </w:rPr>
      </w:pPr>
    </w:p>
    <w:p>
      <w:pPr>
        <w:ind w:left="660" w:right="140" w:hanging="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The Naturalist</w:t>
      </w:r>
      <w:r>
        <w:rPr>
          <w:rFonts w:ascii="Arial" w:cs="Arial" w:eastAsia="Arial" w:hAnsi="Arial"/>
          <w:sz w:val="18"/>
          <w:szCs w:val="18"/>
          <w:color w:val="auto"/>
        </w:rPr>
        <w:t xml:space="preserve">, a massive new update to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featuring a new Frontier Pursuit that will introduce players to the secrets of naturalism as part of an all-new Role, plus a new Outlaw Pass, tons of community-requested features and fixes, and much more to play and discover in the months to come.</w:t>
      </w:r>
    </w:p>
    <w:p>
      <w:pPr>
        <w:spacing w:after="0" w:line="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   Six new maps and additional variations to Showdown Mode.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Released new free content updates for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Gerald's Last Play,</w:t>
      </w:r>
      <w:r>
        <w:rPr>
          <w:rFonts w:ascii="Arial" w:cs="Arial" w:eastAsia="Arial" w:hAnsi="Arial"/>
          <w:sz w:val="17"/>
          <w:szCs w:val="17"/>
          <w:color w:val="auto"/>
        </w:rPr>
        <w:t xml:space="preserve"> featuring six new missions for solo and co-op play.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40" w:right="20" w:hanging="332"/>
        <w:spacing w:after="0" w:line="27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Announced that they will bring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V to the new generation of consoles, including PlayStation 5, in the second half of calendar 2021. The next generation versions of the game will feature a range of technical improvements, visual upgrades, and performance enhancements to take full advantage of the latest hardware. For the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community, the journey will continue on next generation with more new updates, including additional content exclusive to the new consoles and PC. There will also be a new standalone version of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coming in the second half of calendar 2021, which will be available for free exclusively for PlayStation 5 players during the first three months. Additionally, all PlayStation Plus members on PlayStation 4 will each get 1 million GTA dollars deposited into their in-game Maze Bank account each month they play </w:t>
      </w:r>
      <w:r>
        <w:rPr>
          <w:rFonts w:ascii="Arial" w:cs="Arial" w:eastAsia="Arial" w:hAnsi="Arial"/>
          <w:sz w:val="17"/>
          <w:szCs w:val="17"/>
          <w:i w:val="1"/>
          <w:iCs w:val="1"/>
          <w:color w:val="auto"/>
        </w:rPr>
        <w:t xml:space="preserve">Grand Theft Auto Online </w:t>
      </w:r>
      <w:r>
        <w:rPr>
          <w:rFonts w:ascii="Arial" w:cs="Arial" w:eastAsia="Arial" w:hAnsi="Arial"/>
          <w:sz w:val="17"/>
          <w:szCs w:val="17"/>
          <w:color w:val="auto"/>
        </w:rPr>
        <w:t>until the launch of the game on PlayStation 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2K:</w:t>
      </w:r>
    </w:p>
    <w:p>
      <w:pPr>
        <w:spacing w:after="0" w:line="229" w:lineRule="exact"/>
        <w:rPr>
          <w:sz w:val="20"/>
          <w:szCs w:val="20"/>
          <w:color w:val="auto"/>
        </w:rPr>
      </w:pPr>
    </w:p>
    <w:p>
      <w:pPr>
        <w:ind w:left="340" w:hanging="332"/>
        <w:spacing w:after="0" w:line="23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Released </w:t>
      </w:r>
      <w:r>
        <w:rPr>
          <w:rFonts w:ascii="Arial" w:cs="Arial" w:eastAsia="Arial" w:hAnsi="Arial"/>
          <w:sz w:val="17"/>
          <w:szCs w:val="17"/>
          <w:i w:val="1"/>
          <w:iCs w:val="1"/>
          <w:color w:val="auto"/>
        </w:rPr>
        <w:t>Mafia II Definitive Edition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Mafia III Definitive Edition</w:t>
      </w:r>
      <w:r>
        <w:rPr>
          <w:rFonts w:ascii="Arial" w:cs="Arial" w:eastAsia="Arial" w:hAnsi="Arial"/>
          <w:sz w:val="17"/>
          <w:szCs w:val="17"/>
          <w:color w:val="auto"/>
        </w:rPr>
        <w:t xml:space="preserve"> as part of the </w:t>
      </w:r>
      <w:r>
        <w:rPr>
          <w:rFonts w:ascii="Arial" w:cs="Arial" w:eastAsia="Arial" w:hAnsi="Arial"/>
          <w:sz w:val="17"/>
          <w:szCs w:val="17"/>
          <w:i w:val="1"/>
          <w:iCs w:val="1"/>
          <w:color w:val="auto"/>
        </w:rPr>
        <w:t>Mafia Trilogy</w:t>
      </w:r>
      <w:r>
        <w:rPr>
          <w:rFonts w:ascii="Arial" w:cs="Arial" w:eastAsia="Arial" w:hAnsi="Arial"/>
          <w:sz w:val="17"/>
          <w:szCs w:val="17"/>
          <w:color w:val="auto"/>
        </w:rPr>
        <w:t xml:space="preserve">, which combines all three previously released </w:t>
      </w:r>
      <w:r>
        <w:rPr>
          <w:rFonts w:ascii="Arial" w:cs="Arial" w:eastAsia="Arial" w:hAnsi="Arial"/>
          <w:sz w:val="17"/>
          <w:szCs w:val="17"/>
          <w:i w:val="1"/>
          <w:iCs w:val="1"/>
          <w:color w:val="auto"/>
        </w:rPr>
        <w:t>Mafia</w:t>
      </w:r>
      <w:r>
        <w:rPr>
          <w:rFonts w:ascii="Arial" w:cs="Arial" w:eastAsia="Arial" w:hAnsi="Arial"/>
          <w:sz w:val="17"/>
          <w:szCs w:val="17"/>
          <w:color w:val="auto"/>
        </w:rPr>
        <w:t xml:space="preserve"> titles into a single package for PlayStation 4, Xbox One and PC. </w:t>
      </w:r>
      <w:r>
        <w:rPr>
          <w:rFonts w:ascii="Arial" w:cs="Arial" w:eastAsia="Arial" w:hAnsi="Arial"/>
          <w:sz w:val="17"/>
          <w:szCs w:val="17"/>
          <w:i w:val="1"/>
          <w:iCs w:val="1"/>
          <w:color w:val="auto"/>
        </w:rPr>
        <w:t>Mafia I Definitive Edition</w:t>
      </w:r>
      <w:r>
        <w:rPr>
          <w:rFonts w:ascii="Arial" w:cs="Arial" w:eastAsia="Arial" w:hAnsi="Arial"/>
          <w:sz w:val="17"/>
          <w:szCs w:val="17"/>
          <w:color w:val="auto"/>
        </w:rPr>
        <w:t xml:space="preserve"> will become available September 25</w:t>
      </w:r>
      <w:r>
        <w:rPr>
          <w:rFonts w:ascii="Arial" w:cs="Arial" w:eastAsia="Arial" w:hAnsi="Arial"/>
          <w:sz w:val="28"/>
          <w:szCs w:val="28"/>
          <w:color w:val="auto"/>
          <w:vertAlign w:val="superscript"/>
        </w:rPr>
        <w:t>th</w:t>
      </w:r>
      <w:r>
        <w:rPr>
          <w:rFonts w:ascii="Arial" w:cs="Arial" w:eastAsia="Arial" w:hAnsi="Arial"/>
          <w:sz w:val="17"/>
          <w:szCs w:val="17"/>
          <w:color w:val="auto"/>
        </w:rPr>
        <w:t>, as the game is being completely remade, including new technology, new voice acting, new game mechanics, and more.</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BioShock: The Collection</w:t>
      </w:r>
      <w:r>
        <w:rPr>
          <w:rFonts w:ascii="Arial" w:cs="Arial" w:eastAsia="Arial" w:hAnsi="Arial"/>
          <w:sz w:val="18"/>
          <w:szCs w:val="18"/>
          <w:color w:val="auto"/>
        </w:rPr>
        <w:t xml:space="preserve">, </w:t>
      </w:r>
      <w:r>
        <w:rPr>
          <w:rFonts w:ascii="Arial" w:cs="Arial" w:eastAsia="Arial" w:hAnsi="Arial"/>
          <w:sz w:val="18"/>
          <w:szCs w:val="18"/>
          <w:i w:val="1"/>
          <w:iCs w:val="1"/>
          <w:color w:val="auto"/>
        </w:rPr>
        <w:t>XCOM 2 Collection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Borderlands Legendary Collection</w:t>
      </w:r>
      <w:r>
        <w:rPr>
          <w:rFonts w:ascii="Arial" w:cs="Arial" w:eastAsia="Arial" w:hAnsi="Arial"/>
          <w:sz w:val="18"/>
          <w:szCs w:val="18"/>
          <w:color w:val="auto"/>
        </w:rPr>
        <w:t xml:space="preserve"> on Nintendo Switch.</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Released </w:t>
      </w:r>
      <w:r>
        <w:rPr>
          <w:rFonts w:ascii="Arial" w:cs="Arial" w:eastAsia="Arial" w:hAnsi="Arial"/>
          <w:sz w:val="18"/>
          <w:szCs w:val="18"/>
          <w:i w:val="1"/>
          <w:iCs w:val="1"/>
          <w:color w:val="auto"/>
        </w:rPr>
        <w:t>XCOM®: Chimera Squad</w:t>
      </w:r>
      <w:r>
        <w:rPr>
          <w:rFonts w:ascii="Arial" w:cs="Arial" w:eastAsia="Arial" w:hAnsi="Arial"/>
          <w:sz w:val="18"/>
          <w:szCs w:val="18"/>
          <w:color w:val="auto"/>
        </w:rPr>
        <w:t xml:space="preserve"> digitally for PC via Steam. </w:t>
      </w:r>
      <w:r>
        <w:rPr>
          <w:rFonts w:ascii="Arial" w:cs="Arial" w:eastAsia="Arial" w:hAnsi="Arial"/>
          <w:sz w:val="18"/>
          <w:szCs w:val="18"/>
          <w:i w:val="1"/>
          <w:iCs w:val="1"/>
          <w:color w:val="auto"/>
        </w:rPr>
        <w:t>XCOM: Chimera Squad</w:t>
      </w:r>
      <w:r>
        <w:rPr>
          <w:rFonts w:ascii="Arial" w:cs="Arial" w:eastAsia="Arial" w:hAnsi="Arial"/>
          <w:sz w:val="18"/>
          <w:szCs w:val="18"/>
          <w:color w:val="auto"/>
        </w:rPr>
        <w:t xml:space="preserve"> is an all-new standalone title in the award-winning, turn-based, </w:t>
      </w:r>
      <w:r>
        <w:rPr>
          <w:rFonts w:ascii="Arial" w:cs="Arial" w:eastAsia="Arial" w:hAnsi="Arial"/>
          <w:sz w:val="18"/>
          <w:szCs w:val="18"/>
          <w:i w:val="1"/>
          <w:iCs w:val="1"/>
          <w:color w:val="auto"/>
        </w:rPr>
        <w:t>XCOM</w:t>
      </w:r>
      <w:r>
        <w:rPr>
          <w:rFonts w:ascii="Arial" w:cs="Arial" w:eastAsia="Arial" w:hAnsi="Arial"/>
          <w:sz w:val="18"/>
          <w:szCs w:val="18"/>
          <w:color w:val="auto"/>
        </w:rPr>
        <w:t xml:space="preserve"> tactical series.</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Released the </w:t>
      </w:r>
      <w:r>
        <w:rPr>
          <w:rFonts w:ascii="Arial" w:cs="Arial" w:eastAsia="Arial" w:hAnsi="Arial"/>
          <w:sz w:val="18"/>
          <w:szCs w:val="18"/>
          <w:i w:val="1"/>
          <w:iCs w:val="1"/>
          <w:color w:val="auto"/>
        </w:rPr>
        <w:t>Sid Meier's Civilization VI – New Frontier Pass</w:t>
      </w:r>
      <w:r>
        <w:rPr>
          <w:rFonts w:ascii="Arial" w:cs="Arial" w:eastAsia="Arial" w:hAnsi="Arial"/>
          <w:sz w:val="18"/>
          <w:szCs w:val="18"/>
          <w:color w:val="auto"/>
        </w:rPr>
        <w:t>, which provides eight new civilizations, nine new leaders, and a variety of new gameplay modes and content for the strategy title from Firaxis Games. The new content will be delivered to consumers via six downloadable packs on a bimonthly basis from May 2020 to March 2021.</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Launched, together with Gearbox Software, </w:t>
      </w:r>
      <w:r>
        <w:rPr>
          <w:rFonts w:ascii="Arial" w:cs="Arial" w:eastAsia="Arial" w:hAnsi="Arial"/>
          <w:sz w:val="18"/>
          <w:szCs w:val="18"/>
          <w:i w:val="1"/>
          <w:iCs w:val="1"/>
          <w:color w:val="auto"/>
        </w:rPr>
        <w:t>Borderlands Science,</w:t>
      </w:r>
      <w:r>
        <w:rPr>
          <w:rFonts w:ascii="Arial" w:cs="Arial" w:eastAsia="Arial" w:hAnsi="Arial"/>
          <w:sz w:val="18"/>
          <w:szCs w:val="18"/>
          <w:color w:val="auto"/>
        </w:rPr>
        <w:t xml:space="preserve"> an interactive game within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that invites players to map the human gut microbiome to advance vital medical studies while earning in-game rewards. This major initiative is the result of international partnerships with researchers and scientists at McGill University, Massively Multiplayer Online Science (MMOS), and The Microsetta Initiative at UC San Diego School of Medicine. Emmy-nominated Big Bang Theory star and scientist Dr. Mayim Bialik lent her voice to the project, helping guide players on their journey.</w:t>
      </w:r>
    </w:p>
    <w:p>
      <w:pPr>
        <w:spacing w:after="0" w:line="1" w:lineRule="exact"/>
        <w:rPr>
          <w:rFonts w:ascii="Arial" w:cs="Arial" w:eastAsia="Arial" w:hAnsi="Arial"/>
          <w:sz w:val="18"/>
          <w:szCs w:val="18"/>
          <w:color w:val="auto"/>
        </w:rPr>
      </w:pPr>
    </w:p>
    <w:p>
      <w:pPr>
        <w:ind w:left="340" w:right="160" w:hanging="332"/>
        <w:spacing w:after="0" w:line="25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Unveiled the full roster of cover athletes for </w:t>
      </w:r>
      <w:r>
        <w:rPr>
          <w:rFonts w:ascii="Arial" w:cs="Arial" w:eastAsia="Arial" w:hAnsi="Arial"/>
          <w:sz w:val="16"/>
          <w:szCs w:val="16"/>
          <w:i w:val="1"/>
          <w:iCs w:val="1"/>
          <w:color w:val="auto"/>
        </w:rPr>
        <w:t>NBA 2K21</w:t>
      </w:r>
      <w:r>
        <w:rPr>
          <w:rFonts w:ascii="Arial" w:cs="Arial" w:eastAsia="Arial" w:hAnsi="Arial"/>
          <w:sz w:val="16"/>
          <w:szCs w:val="16"/>
          <w:color w:val="auto"/>
        </w:rPr>
        <w:t xml:space="preserve">, the next iteration of the top-rated and top-selling NBA video game simulation series. On the cover of the current-generation version of </w:t>
      </w:r>
      <w:r>
        <w:rPr>
          <w:rFonts w:ascii="Arial" w:cs="Arial" w:eastAsia="Arial" w:hAnsi="Arial"/>
          <w:sz w:val="16"/>
          <w:szCs w:val="16"/>
          <w:i w:val="1"/>
          <w:iCs w:val="1"/>
          <w:color w:val="auto"/>
        </w:rPr>
        <w:t>NBA 2K21</w:t>
      </w:r>
      <w:r>
        <w:rPr>
          <w:rFonts w:ascii="Arial" w:cs="Arial" w:eastAsia="Arial" w:hAnsi="Arial"/>
          <w:sz w:val="16"/>
          <w:szCs w:val="16"/>
          <w:color w:val="auto"/>
        </w:rPr>
        <w:t xml:space="preserve"> is five-time NBA All-Star and Portland Trail Blazers' standout Damian Lillard. Zion Williamson – New Orleans Pelicans forward, 2019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Overall Pick and consensus 2019 National College Player of the Year, lands the cover for the PlayStation 5 and Xbox Series X version. Finally, NBA legend Kobe Bryant’s lifetime achievement of basketball excellence is celebrated in</w:t>
      </w:r>
    </w:p>
    <w:p>
      <w:pPr>
        <w:ind w:left="340" w:right="120"/>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Mamba Forever Edition</w:t>
      </w:r>
      <w:r>
        <w:rPr>
          <w:rFonts w:ascii="Arial" w:cs="Arial" w:eastAsia="Arial" w:hAnsi="Arial"/>
          <w:sz w:val="17"/>
          <w:szCs w:val="17"/>
          <w:color w:val="auto"/>
        </w:rPr>
        <w:t xml:space="preserve">. </w:t>
      </w:r>
      <w:r>
        <w:rPr>
          <w:rFonts w:ascii="Arial" w:cs="Arial" w:eastAsia="Arial" w:hAnsi="Arial"/>
          <w:sz w:val="17"/>
          <w:szCs w:val="17"/>
          <w:i w:val="1"/>
          <w:iCs w:val="1"/>
          <w:color w:val="auto"/>
        </w:rPr>
        <w:t>NBA 2K21</w:t>
      </w:r>
      <w:r>
        <w:rPr>
          <w:rFonts w:ascii="Arial" w:cs="Arial" w:eastAsia="Arial" w:hAnsi="Arial"/>
          <w:sz w:val="17"/>
          <w:szCs w:val="17"/>
          <w:color w:val="auto"/>
        </w:rPr>
        <w:t xml:space="preserve"> will be available for $59.99 on current-generation platforms; the PlayStation 5 and Xbox Series X version of </w:t>
      </w:r>
      <w:r>
        <w:rPr>
          <w:rFonts w:ascii="Arial" w:cs="Arial" w:eastAsia="Arial" w:hAnsi="Arial"/>
          <w:sz w:val="17"/>
          <w:szCs w:val="17"/>
          <w:i w:val="1"/>
          <w:iCs w:val="1"/>
          <w:color w:val="auto"/>
        </w:rPr>
        <w:t>NBA 2K21</w:t>
      </w:r>
      <w:r>
        <w:rPr>
          <w:rFonts w:ascii="Arial" w:cs="Arial" w:eastAsia="Arial" w:hAnsi="Arial"/>
          <w:sz w:val="17"/>
          <w:szCs w:val="17"/>
          <w:color w:val="auto"/>
        </w:rPr>
        <w:t xml:space="preserve"> will be available for $69.99. </w:t>
      </w:r>
      <w:r>
        <w:rPr>
          <w:rFonts w:ascii="Arial" w:cs="Arial" w:eastAsia="Arial" w:hAnsi="Arial"/>
          <w:sz w:val="17"/>
          <w:szCs w:val="17"/>
          <w:i w:val="1"/>
          <w:iCs w:val="1"/>
          <w:color w:val="auto"/>
        </w:rPr>
        <w:t>NBA 2K21 Mamba Forever Edition</w:t>
      </w:r>
      <w:r>
        <w:rPr>
          <w:rFonts w:ascii="Arial" w:cs="Arial" w:eastAsia="Arial" w:hAnsi="Arial"/>
          <w:sz w:val="17"/>
          <w:szCs w:val="17"/>
          <w:color w:val="auto"/>
        </w:rPr>
        <w:t xml:space="preserve"> will be available for $99.99 for both current and next-generation platforms. It includes dual-access when purchasing </w:t>
      </w:r>
      <w:r>
        <w:rPr>
          <w:rFonts w:ascii="Arial" w:cs="Arial" w:eastAsia="Arial" w:hAnsi="Arial"/>
          <w:sz w:val="17"/>
          <w:szCs w:val="17"/>
          <w:i w:val="1"/>
          <w:iCs w:val="1"/>
          <w:color w:val="auto"/>
        </w:rPr>
        <w:t>Mamba Forever Edition</w:t>
      </w:r>
      <w:r>
        <w:rPr>
          <w:rFonts w:ascii="Arial" w:cs="Arial" w:eastAsia="Arial" w:hAnsi="Arial"/>
          <w:sz w:val="17"/>
          <w:szCs w:val="17"/>
          <w:color w:val="auto"/>
        </w:rPr>
        <w:t xml:space="preserve"> on either current or next-generation platforms and provides a copy of the standard edition game on the other generation at no additional cost, within the same console family.</w:t>
      </w: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Announced that </w:t>
      </w:r>
      <w:r>
        <w:rPr>
          <w:rFonts w:ascii="Arial" w:cs="Arial" w:eastAsia="Arial" w:hAnsi="Arial"/>
          <w:sz w:val="18"/>
          <w:szCs w:val="18"/>
          <w:i w:val="1"/>
          <w:iCs w:val="1"/>
          <w:color w:val="auto"/>
        </w:rPr>
        <w:t>WWE 2K Battlegrounds</w:t>
      </w:r>
      <w:r>
        <w:rPr>
          <w:rFonts w:ascii="Arial" w:cs="Arial" w:eastAsia="Arial" w:hAnsi="Arial"/>
          <w:sz w:val="18"/>
          <w:szCs w:val="18"/>
          <w:color w:val="auto"/>
        </w:rPr>
        <w:t xml:space="preserve">, the arcade-style brawler that will bring over-the-top WWE action to a new level of intensity, will release worldwide on September 18, 2020 for PlayStation 4, Xbox One, Windows PC via Steam, Nintendo Switch and Stadia. Featuring a roster of more than 70 WWE Superstars and Legends at launch, with additional Superstars to be released thereafter, </w:t>
      </w:r>
      <w:r>
        <w:rPr>
          <w:rFonts w:ascii="Arial" w:cs="Arial" w:eastAsia="Arial" w:hAnsi="Arial"/>
          <w:sz w:val="18"/>
          <w:szCs w:val="18"/>
          <w:i w:val="1"/>
          <w:iCs w:val="1"/>
          <w:color w:val="auto"/>
        </w:rPr>
        <w:t>WWE 2K Battlegrounds</w:t>
      </w:r>
      <w:r>
        <w:rPr>
          <w:rFonts w:ascii="Arial" w:cs="Arial" w:eastAsia="Arial" w:hAnsi="Arial"/>
          <w:sz w:val="18"/>
          <w:szCs w:val="18"/>
          <w:color w:val="auto"/>
        </w:rPr>
        <w:t xml:space="preserve"> is now available for pre-order in digital formats and at participating retailers.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PGA TOUR 2K21</w:t>
      </w:r>
      <w:r>
        <w:rPr>
          <w:rFonts w:ascii="Arial" w:cs="Arial" w:eastAsia="Arial" w:hAnsi="Arial"/>
          <w:sz w:val="18"/>
          <w:szCs w:val="18"/>
          <w:color w:val="auto"/>
        </w:rPr>
        <w:t xml:space="preserve"> from HB Studios is planned for launch on August 21, 2020 for PlayStation 4, Xbox One, Switch (digital), PC and Stadia. The game will feature PGA TOUR professional Justin Thomas as its cover athlete; officially licensed pro players, courses and gear; the most realistic course scanning to date; play-by-play commentary by Luke Elvy and Rich Beem; a new PGA TOUR Career Mode, online and local multiplayer; course and player customization; and online societies.</w:t>
      </w:r>
    </w:p>
    <w:p>
      <w:pPr>
        <w:spacing w:after="0" w:line="1" w:lineRule="exact"/>
        <w:rPr>
          <w:rFonts w:ascii="Arial" w:cs="Arial" w:eastAsia="Arial" w:hAnsi="Arial"/>
          <w:sz w:val="18"/>
          <w:szCs w:val="18"/>
          <w:color w:val="auto"/>
        </w:rPr>
      </w:pPr>
    </w:p>
    <w:p>
      <w:pPr>
        <w:ind w:left="340" w:right="40" w:hanging="332"/>
        <w:spacing w:after="0" w:line="270"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NBA 2K League</w:t>
      </w:r>
      <w:r>
        <w:rPr>
          <w:rFonts w:ascii="Arial" w:cs="Arial" w:eastAsia="Arial" w:hAnsi="Arial"/>
          <w:sz w:val="17"/>
          <w:szCs w:val="17"/>
          <w:color w:val="auto"/>
        </w:rPr>
        <w:t xml:space="preserve"> 2020 regular season began on May 5, 2020 with all 23 teams participating in remote gameplay from their local markets through the 12-week regular season, and three in-season tournaments – THE TIPOFF, THE TURN, and THE TICKET between August 13-15, 2020. The Playoffs will run between August 19-22, 2020, before the Finals on August 29, 2020. All matches air live on the </w:t>
      </w:r>
      <w:r>
        <w:rPr>
          <w:rFonts w:ascii="Arial" w:cs="Arial" w:eastAsia="Arial" w:hAnsi="Arial"/>
          <w:sz w:val="17"/>
          <w:szCs w:val="17"/>
          <w:i w:val="1"/>
          <w:iCs w:val="1"/>
          <w:color w:val="auto"/>
        </w:rPr>
        <w:t>NBA 2K League</w:t>
      </w:r>
      <w:r>
        <w:rPr>
          <w:rFonts w:ascii="Arial" w:cs="Arial" w:eastAsia="Arial" w:hAnsi="Arial"/>
          <w:sz w:val="17"/>
          <w:szCs w:val="17"/>
          <w:color w:val="auto"/>
        </w:rPr>
        <w:t xml:space="preserve">’s Twitch channel, in addition to select matches airing live on ESPN2, ESPN’s digital platforms and the </w:t>
      </w:r>
      <w:r>
        <w:rPr>
          <w:rFonts w:ascii="Arial" w:cs="Arial" w:eastAsia="Arial" w:hAnsi="Arial"/>
          <w:sz w:val="17"/>
          <w:szCs w:val="17"/>
          <w:i w:val="1"/>
          <w:iCs w:val="1"/>
          <w:color w:val="auto"/>
        </w:rPr>
        <w:t>NBA 2K League</w:t>
      </w:r>
      <w:r>
        <w:rPr>
          <w:rFonts w:ascii="Arial" w:cs="Arial" w:eastAsia="Arial" w:hAnsi="Arial"/>
          <w:sz w:val="17"/>
          <w:szCs w:val="17"/>
          <w:color w:val="auto"/>
        </w:rPr>
        <w:t xml:space="preserve">’s YouTube channel, and on delay on eGG Network in Southeast Asia. In addition, in June, as part of a multiyear agreement, livestreams of </w:t>
      </w:r>
      <w:r>
        <w:rPr>
          <w:rFonts w:ascii="Arial" w:cs="Arial" w:eastAsia="Arial" w:hAnsi="Arial"/>
          <w:sz w:val="17"/>
          <w:szCs w:val="17"/>
          <w:i w:val="1"/>
          <w:iCs w:val="1"/>
          <w:color w:val="auto"/>
        </w:rPr>
        <w:t>League</w:t>
      </w:r>
      <w:r>
        <w:rPr>
          <w:rFonts w:ascii="Arial" w:cs="Arial" w:eastAsia="Arial" w:hAnsi="Arial"/>
          <w:sz w:val="17"/>
          <w:szCs w:val="17"/>
          <w:color w:val="auto"/>
        </w:rPr>
        <w:t xml:space="preserve"> games began airing on Dash Radio's </w:t>
      </w:r>
      <w:r>
        <w:rPr>
          <w:rFonts w:ascii="Arial" w:cs="Arial" w:eastAsia="Arial" w:hAnsi="Arial"/>
          <w:sz w:val="17"/>
          <w:szCs w:val="17"/>
          <w:i w:val="1"/>
          <w:iCs w:val="1"/>
          <w:color w:val="auto"/>
        </w:rPr>
        <w:t>Nothin’ But Net</w:t>
      </w:r>
      <w:r>
        <w:rPr>
          <w:rFonts w:ascii="Arial" w:cs="Arial" w:eastAsia="Arial" w:hAnsi="Arial"/>
          <w:sz w:val="17"/>
          <w:szCs w:val="17"/>
          <w:color w:val="auto"/>
        </w:rPr>
        <w:t xml:space="preserve"> channel on the digital network that has more than 12 million subscribers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ind w:left="340" w:right="1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a partnership with OneTeam Partners and the National Football League Players Association that will allow the label to include the names, numbers, images and likenesses for over 2,000 current NFL players in multiple, non-simulation football games that are currently in development and set to launch starting in calendar year 2021, during fiscal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Division:</w:t>
      </w:r>
    </w:p>
    <w:p>
      <w:pPr>
        <w:spacing w:after="0" w:line="229" w:lineRule="exact"/>
        <w:rPr>
          <w:sz w:val="20"/>
          <w:szCs w:val="20"/>
          <w:color w:val="auto"/>
        </w:rPr>
      </w:pPr>
    </w:p>
    <w:p>
      <w:pPr>
        <w:jc w:val="both"/>
        <w:ind w:left="340" w:right="56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the debut title from V1 Interactive, the independent studio founded by Marcus Lehto, co-creator of </w:t>
      </w:r>
      <w:r>
        <w:rPr>
          <w:rFonts w:ascii="Arial" w:cs="Arial" w:eastAsia="Arial" w:hAnsi="Arial"/>
          <w:sz w:val="18"/>
          <w:szCs w:val="18"/>
          <w:i w:val="1"/>
          <w:iCs w:val="1"/>
          <w:color w:val="auto"/>
        </w:rPr>
        <w:t>Halo</w:t>
      </w:r>
      <w:r>
        <w:rPr>
          <w:rFonts w:ascii="Arial" w:cs="Arial" w:eastAsia="Arial" w:hAnsi="Arial"/>
          <w:sz w:val="18"/>
          <w:szCs w:val="18"/>
          <w:color w:val="auto"/>
        </w:rPr>
        <w:t xml:space="preserve">, digitally for PlayStation 4, Xbox One and PC.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is a sci-fi, first-person shooter that blends real-time tactical elements to create an entirely new experience.</w:t>
      </w:r>
    </w:p>
    <w:p>
      <w:pPr>
        <w:spacing w:after="0" w:line="2"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Released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the award-winning title created by renowned RPG developer Obsidian Entertainment, for Nintendo Switch. </w:t>
      </w:r>
      <w:r>
        <w:rPr>
          <w:rFonts w:ascii="Arial" w:cs="Arial" w:eastAsia="Arial" w:hAnsi="Arial"/>
          <w:sz w:val="18"/>
          <w:szCs w:val="18"/>
          <w:i w:val="1"/>
          <w:iCs w:val="1"/>
          <w:color w:val="auto"/>
        </w:rPr>
        <w:t>The Outer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Worlds </w:t>
      </w:r>
      <w:r>
        <w:rPr>
          <w:rFonts w:ascii="Arial" w:cs="Arial" w:eastAsia="Arial" w:hAnsi="Arial"/>
          <w:sz w:val="18"/>
          <w:szCs w:val="18"/>
          <w:color w:val="auto"/>
        </w:rPr>
        <w:t>is also available on PlayStation 4, Xbox One and PC. In addition, Private Division announced that on September 9, 2020 they will release</w:t>
      </w:r>
      <w:r>
        <w:rPr>
          <w:rFonts w:ascii="Arial" w:cs="Arial" w:eastAsia="Arial" w:hAnsi="Arial"/>
          <w:sz w:val="18"/>
          <w:szCs w:val="18"/>
          <w:i w:val="1"/>
          <w:iCs w:val="1"/>
          <w:color w:val="auto"/>
        </w:rPr>
        <w:t xml:space="preserve"> Peril on Gorgon</w:t>
      </w:r>
      <w:r>
        <w:rPr>
          <w:rFonts w:ascii="Arial" w:cs="Arial" w:eastAsia="Arial" w:hAnsi="Arial"/>
          <w:sz w:val="18"/>
          <w:szCs w:val="18"/>
          <w:color w:val="auto"/>
        </w:rPr>
        <w:t>, the first narrative expansion for</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r>
        <w:rPr>
          <w:rFonts w:ascii="Arial" w:cs="Arial" w:eastAsia="Arial" w:hAnsi="Arial"/>
          <w:sz w:val="18"/>
          <w:szCs w:val="18"/>
          <w:i w:val="1"/>
          <w:iCs w:val="1"/>
          <w:color w:val="auto"/>
        </w:rPr>
        <w:t xml:space="preserve"> Peril on Gorgon </w:t>
      </w:r>
      <w:r>
        <w:rPr>
          <w:rFonts w:ascii="Arial" w:cs="Arial" w:eastAsia="Arial" w:hAnsi="Arial"/>
          <w:sz w:val="18"/>
          <w:szCs w:val="18"/>
          <w:color w:val="auto"/>
        </w:rPr>
        <w:t>is the first of two narrative expansions that can be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individually or bundled at a discount in </w:t>
      </w:r>
      <w:r>
        <w:rPr>
          <w:rFonts w:ascii="Arial" w:cs="Arial" w:eastAsia="Arial" w:hAnsi="Arial"/>
          <w:sz w:val="18"/>
          <w:szCs w:val="18"/>
          <w:i w:val="1"/>
          <w:iCs w:val="1"/>
          <w:color w:val="auto"/>
        </w:rPr>
        <w:t>The Outer Worlds Expansion Pass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Launched, in partnership with the European Space Agency, a new </w:t>
      </w:r>
      <w:r>
        <w:rPr>
          <w:rFonts w:ascii="Arial" w:cs="Arial" w:eastAsia="Arial" w:hAnsi="Arial"/>
          <w:sz w:val="18"/>
          <w:szCs w:val="18"/>
          <w:i w:val="1"/>
          <w:iCs w:val="1"/>
          <w:color w:val="auto"/>
        </w:rPr>
        <w:t>Kerbal Space Program</w:t>
      </w:r>
      <w:r>
        <w:rPr>
          <w:rFonts w:ascii="Arial" w:cs="Arial" w:eastAsia="Arial" w:hAnsi="Arial"/>
          <w:sz w:val="18"/>
          <w:szCs w:val="18"/>
          <w:color w:val="auto"/>
        </w:rPr>
        <w:t xml:space="preserve"> update, entitled </w:t>
      </w:r>
      <w:r>
        <w:rPr>
          <w:rFonts w:ascii="Arial" w:cs="Arial" w:eastAsia="Arial" w:hAnsi="Arial"/>
          <w:sz w:val="18"/>
          <w:szCs w:val="18"/>
          <w:i w:val="1"/>
          <w:iCs w:val="1"/>
          <w:color w:val="auto"/>
        </w:rPr>
        <w:t>Shared Horizons</w:t>
      </w:r>
      <w:r>
        <w:rPr>
          <w:rFonts w:ascii="Arial" w:cs="Arial" w:eastAsia="Arial" w:hAnsi="Arial"/>
          <w:sz w:val="18"/>
          <w:szCs w:val="18"/>
          <w:color w:val="auto"/>
        </w:rPr>
        <w:t xml:space="preserve"> for PC. The update will also be available later this year on consoles.</w:t>
      </w:r>
    </w:p>
    <w:p>
      <w:pPr>
        <w:jc w:val="both"/>
        <w:ind w:left="340" w:right="6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Announced three new publishing agreements with top independent developers Moon Studios, League of Geeks, and Roll7. In collaboration with these developers, Private Division will announce more details about each specific project in the future. These titles are in early development and do not have set release dates. The first of these titles is expected to launch in fiscal year 2022.</w:t>
      </w:r>
    </w:p>
    <w:p>
      <w:pPr>
        <w:spacing w:after="0" w:line="1" w:lineRule="exact"/>
        <w:rPr>
          <w:rFonts w:ascii="Arial" w:cs="Arial" w:eastAsia="Arial" w:hAnsi="Arial"/>
          <w:sz w:val="18"/>
          <w:szCs w:val="18"/>
          <w:color w:val="auto"/>
        </w:rPr>
      </w:pPr>
    </w:p>
    <w:p>
      <w:pPr>
        <w:ind w:left="340" w:right="12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Announced that </w:t>
      </w:r>
      <w:r>
        <w:rPr>
          <w:rFonts w:ascii="Arial" w:cs="Arial" w:eastAsia="Arial" w:hAnsi="Arial"/>
          <w:sz w:val="18"/>
          <w:szCs w:val="18"/>
          <w:i w:val="1"/>
          <w:iCs w:val="1"/>
          <w:color w:val="auto"/>
        </w:rPr>
        <w:t>Kerbal Space Program 2</w:t>
      </w:r>
      <w:r>
        <w:rPr>
          <w:rFonts w:ascii="Arial" w:cs="Arial" w:eastAsia="Arial" w:hAnsi="Arial"/>
          <w:sz w:val="18"/>
          <w:szCs w:val="18"/>
          <w:color w:val="auto"/>
        </w:rPr>
        <w:t xml:space="preserve"> is planned for launch in Fall 2021 on PlayStation 4, Xbox One and PC. The team at Intercept Games is hard at work creating the best </w:t>
      </w:r>
      <w:r>
        <w:rPr>
          <w:rFonts w:ascii="Arial" w:cs="Arial" w:eastAsia="Arial" w:hAnsi="Arial"/>
          <w:sz w:val="18"/>
          <w:szCs w:val="18"/>
          <w:i w:val="1"/>
          <w:iCs w:val="1"/>
          <w:color w:val="auto"/>
        </w:rPr>
        <w:t>Kerbal Space Program</w:t>
      </w:r>
      <w:r>
        <w:rPr>
          <w:rFonts w:ascii="Arial" w:cs="Arial" w:eastAsia="Arial" w:hAnsi="Arial"/>
          <w:sz w:val="18"/>
          <w:szCs w:val="18"/>
          <w:color w:val="auto"/>
        </w:rPr>
        <w:t xml:space="preserve"> experience possible.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Take-Two is providing its initial outlook for its fiscal second quarter ending September 30, 2020 and increasing its outlook for the fiscal year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Ending September 30, 2020</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revenue is expected to range from $750 to $800 million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income is expected to range from $98 to $110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$0.85 to $0.96</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115.0 million </w:t>
      </w:r>
      <w:r>
        <w:rPr>
          <w:rFonts w:ascii="Arial" w:cs="Arial" w:eastAsia="Arial" w:hAnsi="Arial"/>
          <w:sz w:val="23"/>
          <w:szCs w:val="23"/>
          <w:color w:val="auto"/>
          <w:vertAlign w:val="superscript"/>
        </w:rPr>
        <w:t>(1)</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$775 to $825 million</w:t>
      </w:r>
    </w:p>
    <w:p>
      <w:pPr>
        <w:spacing w:after="0" w:line="20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w w:val="94"/>
              </w:rPr>
              <w:t>Three Months Ending September 30, 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Financial Data</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left="93"/>
              <w:spacing w:after="0" w:line="191" w:lineRule="exact"/>
              <w:rPr>
                <w:sz w:val="20"/>
                <w:szCs w:val="20"/>
                <w:color w:val="auto"/>
              </w:rPr>
            </w:pPr>
            <w:r>
              <w:rPr>
                <w:rFonts w:ascii="Arial" w:cs="Arial" w:eastAsia="Arial" w:hAnsi="Arial"/>
                <w:sz w:val="18"/>
                <w:szCs w:val="18"/>
                <w:b w:val="1"/>
                <w:bCs w:val="1"/>
                <w:color w:val="auto"/>
                <w:w w:val="89"/>
              </w:rPr>
              <w:t>Change 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b w:val="1"/>
                <w:bCs w:val="1"/>
                <w:color w:val="auto"/>
                <w:w w:val="90"/>
              </w:rPr>
              <w:t>deferred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Amortization of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b w:val="1"/>
                <w:bCs w:val="1"/>
                <w:color w:val="auto"/>
                <w:w w:val="88"/>
              </w:rPr>
              <w:t>revenue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acquired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 xml:space="preserve">GAAP outlook </w:t>
            </w:r>
            <w:r>
              <w:rPr>
                <w:rFonts w:ascii="Arial" w:cs="Arial" w:eastAsia="Arial" w:hAnsi="Arial"/>
                <w:sz w:val="29"/>
                <w:szCs w:val="29"/>
                <w:b w:val="1"/>
                <w:bCs w:val="1"/>
                <w:color w:val="auto"/>
                <w:w w:val="92"/>
                <w:vertAlign w:val="superscript"/>
              </w:rPr>
              <w:t>(2)</w:t>
            </w:r>
          </w:p>
        </w:tc>
        <w:tc>
          <w:tcPr>
            <w:tcW w:w="240" w:type="dxa"/>
            <w:vAlign w:val="bottom"/>
          </w:tcPr>
          <w:p>
            <w:pPr>
              <w:spacing w:after="0"/>
              <w:rPr>
                <w:sz w:val="18"/>
                <w:szCs w:val="18"/>
                <w:color w:val="auto"/>
              </w:rPr>
            </w:pPr>
          </w:p>
        </w:tc>
        <w:tc>
          <w:tcPr>
            <w:tcW w:w="1280" w:type="dxa"/>
            <w:vAlign w:val="bottom"/>
          </w:tcPr>
          <w:p>
            <w:pPr>
              <w:jc w:val="center"/>
              <w:ind w:left="113"/>
              <w:spacing w:after="0"/>
              <w:rPr>
                <w:sz w:val="20"/>
                <w:szCs w:val="20"/>
                <w:color w:val="auto"/>
              </w:rPr>
            </w:pPr>
            <w:r>
              <w:rPr>
                <w:rFonts w:ascii="Arial" w:cs="Arial" w:eastAsia="Arial" w:hAnsi="Arial"/>
                <w:sz w:val="18"/>
                <w:szCs w:val="18"/>
                <w:b w:val="1"/>
                <w:bCs w:val="1"/>
                <w:color w:val="auto"/>
                <w:w w:val="87"/>
              </w:rPr>
              <w:t>related cost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Stock-based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intangible</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ind w:left="113"/>
              <w:spacing w:after="0"/>
              <w:rPr>
                <w:sz w:val="20"/>
                <w:szCs w:val="20"/>
                <w:color w:val="auto"/>
              </w:rPr>
            </w:pPr>
            <w:r>
              <w:rPr>
                <w:rFonts w:ascii="Arial" w:cs="Arial" w:eastAsia="Arial" w:hAnsi="Arial"/>
                <w:sz w:val="18"/>
                <w:szCs w:val="18"/>
                <w:b w:val="1"/>
                <w:bCs w:val="1"/>
                <w:color w:val="auto"/>
                <w:w w:val="83"/>
              </w:rPr>
              <w:t>goods sold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assets</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$750 to $800</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Cost of goods sold</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$355 to $381</w:t>
            </w:r>
          </w:p>
        </w:tc>
        <w:tc>
          <w:tcPr>
            <w:tcW w:w="1520" w:type="dxa"/>
            <w:vAlign w:val="bottom"/>
            <w:gridSpan w:val="2"/>
          </w:tcPr>
          <w:p>
            <w:pPr>
              <w:jc w:val="right"/>
              <w:ind w:right="111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30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$285 to $295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net</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($1)</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7"/>
              </w:rPr>
              <w:t>$111 to $125</w:t>
            </w:r>
          </w:p>
        </w:tc>
        <w:tc>
          <w:tcPr>
            <w:tcW w:w="1520" w:type="dxa"/>
            <w:vAlign w:val="bottom"/>
            <w:gridSpan w:val="2"/>
            <w:shd w:val="clear" w:color="auto" w:fill="CCEEFF"/>
          </w:tcPr>
          <w:p>
            <w:pPr>
              <w:jc w:val="right"/>
              <w:ind w:right="111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648"/>
        </w:trPr>
        <w:tc>
          <w:tcPr>
            <w:tcW w:w="4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Fiscal Year Ending March 31, 2021</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GAAP net revenue is expected to range from $2.80 to $2.90 billion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GAAP net income is expected to range from $349 to $380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$3.04 to $3.30</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115.0 million </w:t>
      </w:r>
      <w:r>
        <w:rPr>
          <w:rFonts w:ascii="Arial" w:cs="Arial" w:eastAsia="Arial" w:hAnsi="Arial"/>
          <w:sz w:val="23"/>
          <w:szCs w:val="23"/>
          <w:color w:val="auto"/>
          <w:vertAlign w:val="superscript"/>
        </w:rPr>
        <w:t>(1)</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$475 million</w:t>
      </w:r>
    </w:p>
    <w:p>
      <w:pPr>
        <w:spacing w:after="0" w:line="7"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5"/>
          <w:szCs w:val="15"/>
          <w:color w:val="auto"/>
        </w:rPr>
        <w:t xml:space="preserve">Adjusted Unrestricted Operating Cash Flow (Non-GAAP) is expected to be over $500 million </w:t>
      </w:r>
      <w:r>
        <w:rPr>
          <w:rFonts w:ascii="Arial" w:cs="Arial" w:eastAsia="Arial" w:hAnsi="Arial"/>
          <w:sz w:val="23"/>
          <w:szCs w:val="23"/>
          <w:color w:val="auto"/>
          <w:vertAlign w:val="superscript"/>
        </w:rPr>
        <w:t>(3)</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$75 million</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$2.80 to $2.90 billion</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2"/>
              </w:rPr>
              <w:t>Twelve Months Ending March 31,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Financial Data</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left="50"/>
              <w:spacing w:after="0" w:line="191" w:lineRule="exact"/>
              <w:rPr>
                <w:sz w:val="20"/>
                <w:szCs w:val="20"/>
                <w:color w:val="auto"/>
              </w:rPr>
            </w:pPr>
            <w:r>
              <w:rPr>
                <w:rFonts w:ascii="Arial" w:cs="Arial" w:eastAsia="Arial" w:hAnsi="Arial"/>
                <w:sz w:val="18"/>
                <w:szCs w:val="18"/>
                <w:b w:val="1"/>
                <w:bCs w:val="1"/>
                <w:color w:val="auto"/>
                <w:w w:val="89"/>
              </w:rPr>
              <w:t>Change 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deferred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Amortization of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revenue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acquired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2"/>
              </w:rPr>
              <w:t xml:space="preserve">GAAP outlook </w:t>
            </w:r>
            <w:r>
              <w:rPr>
                <w:rFonts w:ascii="Arial" w:cs="Arial" w:eastAsia="Arial" w:hAnsi="Arial"/>
                <w:sz w:val="29"/>
                <w:szCs w:val="29"/>
                <w:b w:val="1"/>
                <w:bCs w:val="1"/>
                <w:color w:val="auto"/>
                <w:w w:val="92"/>
                <w:vertAlign w:val="superscript"/>
              </w:rPr>
              <w:t>(2)</w:t>
            </w:r>
          </w:p>
        </w:tc>
        <w:tc>
          <w:tcPr>
            <w:tcW w:w="240" w:type="dxa"/>
            <w:vAlign w:val="bottom"/>
          </w:tcPr>
          <w:p>
            <w:pPr>
              <w:spacing w:after="0"/>
              <w:rPr>
                <w:sz w:val="18"/>
                <w:szCs w:val="18"/>
                <w:color w:val="auto"/>
              </w:rPr>
            </w:pPr>
          </w:p>
        </w:tc>
        <w:tc>
          <w:tcPr>
            <w:tcW w:w="128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related cost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Stock-based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intangible</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b w:val="1"/>
                <w:bCs w:val="1"/>
                <w:color w:val="auto"/>
                <w:w w:val="83"/>
              </w:rPr>
              <w:t>goods sold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assets</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$2,800 to $2,900</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Cost of goods sold</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$1,275 to $1,320</w:t>
            </w:r>
          </w:p>
        </w:tc>
        <w:tc>
          <w:tcPr>
            <w:tcW w:w="152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$1,151 to $1,171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net</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($13)</w:t>
            </w:r>
          </w:p>
        </w:tc>
        <w:tc>
          <w:tcPr>
            <w:tcW w:w="152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$387 to $422</w:t>
            </w:r>
          </w:p>
        </w:tc>
        <w:tc>
          <w:tcPr>
            <w:tcW w:w="15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113.9 million basic shares and 1.1 million shares representing the potential dilution from unvested employee stock grants.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$25 million net decrease in restricted cash for fiscal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Key assumptions and dependencies underlying the Company’s outlook include: the timely delivery of the titles included in this financial outlook; continuing benefit from sheltering at home, which we have included in the fiscal second quarter 2021, but have not yet factored into the back half of the fiscal year; a stable economic environment; continued consumer acceptance of Xbox One and PlayStation 4; the ability to develop and publish products that capture market share for these current generation systems while also leveraging opportunities on next-gen consoles, PC, mobile and other platforms; and stable foreign exchange rates. See also “Cautionary Note Regarding Forward Looking Statements”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titles have been released since April 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Label</w:t>
            </w:r>
          </w:p>
        </w:tc>
        <w:tc>
          <w:tcPr>
            <w:tcW w:w="5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Title</w:t>
            </w:r>
          </w:p>
        </w:tc>
        <w:tc>
          <w:tcPr>
            <w:tcW w:w="3040" w:type="dxa"/>
            <w:vAlign w:val="bottom"/>
            <w:gridSpan w:val="3"/>
          </w:tcPr>
          <w:p>
            <w:pPr>
              <w:ind w:left="240"/>
              <w:spacing w:after="0"/>
              <w:rPr>
                <w:sz w:val="20"/>
                <w:szCs w:val="20"/>
                <w:color w:val="auto"/>
              </w:rPr>
            </w:pPr>
            <w:r>
              <w:rPr>
                <w:rFonts w:ascii="Arial" w:cs="Arial" w:eastAsia="Arial" w:hAnsi="Arial"/>
                <w:sz w:val="18"/>
                <w:szCs w:val="18"/>
                <w:b w:val="1"/>
                <w:bCs w:val="1"/>
                <w:color w:val="auto"/>
              </w:rPr>
              <w:t>Platforms</w:t>
            </w:r>
          </w:p>
        </w:tc>
        <w:tc>
          <w:tcPr>
            <w:tcW w:w="1560" w:type="dxa"/>
            <w:vAlign w:val="bottom"/>
          </w:tcPr>
          <w:p>
            <w:pPr>
              <w:spacing w:after="0"/>
              <w:rPr>
                <w:sz w:val="20"/>
                <w:szCs w:val="20"/>
                <w:color w:val="auto"/>
              </w:rPr>
            </w:pPr>
            <w:r>
              <w:rPr>
                <w:rFonts w:ascii="Arial" w:cs="Arial" w:eastAsia="Arial" w:hAnsi="Arial"/>
                <w:sz w:val="18"/>
                <w:szCs w:val="18"/>
                <w:b w:val="1"/>
                <w:bCs w:val="1"/>
                <w:color w:val="auto"/>
              </w:rPr>
              <w:t>Release Date</w:t>
            </w:r>
          </w:p>
        </w:tc>
      </w:tr>
      <w:tr>
        <w:trPr>
          <w:trHeight w:val="223"/>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2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XCOM: Chimera Squad</w:t>
            </w:r>
          </w:p>
        </w:tc>
        <w:tc>
          <w:tcPr>
            <w:tcW w:w="2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PC</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24, 2020</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Mafia II Definitive Edition and Mafia III Definitive Edition</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PS4, Xbox One, PC</w:t>
            </w:r>
          </w:p>
        </w:tc>
        <w:tc>
          <w:tcPr>
            <w:tcW w:w="1560" w:type="dxa"/>
            <w:vAlign w:val="bottom"/>
          </w:tcPr>
          <w:p>
            <w:pPr>
              <w:spacing w:after="0"/>
              <w:rPr>
                <w:sz w:val="20"/>
                <w:szCs w:val="20"/>
                <w:color w:val="auto"/>
              </w:rPr>
            </w:pPr>
            <w:r>
              <w:rPr>
                <w:rFonts w:ascii="Arial" w:cs="Arial" w:eastAsia="Arial" w:hAnsi="Arial"/>
                <w:sz w:val="18"/>
                <w:szCs w:val="18"/>
                <w:color w:val="auto"/>
              </w:rPr>
              <w:t>May 19, 2020</w:t>
            </w:r>
          </w:p>
        </w:tc>
      </w:tr>
      <w:tr>
        <w:trPr>
          <w:trHeight w:val="23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Sid Meier's Civilization VI - Frontier Pass (DLC)</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PS4, Xbox One, Switch, PC</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21,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BioShock: The Collection</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Switch</w:t>
            </w:r>
          </w:p>
        </w:tc>
        <w:tc>
          <w:tcPr>
            <w:tcW w:w="1560" w:type="dxa"/>
            <w:vAlign w:val="bottom"/>
          </w:tcPr>
          <w:p>
            <w:pPr>
              <w:spacing w:after="0"/>
              <w:rPr>
                <w:sz w:val="20"/>
                <w:szCs w:val="20"/>
                <w:color w:val="auto"/>
              </w:rPr>
            </w:pPr>
            <w:r>
              <w:rPr>
                <w:rFonts w:ascii="Arial" w:cs="Arial" w:eastAsia="Arial" w:hAnsi="Arial"/>
                <w:sz w:val="18"/>
                <w:szCs w:val="18"/>
                <w:color w:val="auto"/>
              </w:rPr>
              <w:t>May 29, 2020</w:t>
            </w:r>
          </w:p>
        </w:tc>
      </w:tr>
      <w:tr>
        <w:trPr>
          <w:trHeight w:val="229"/>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Borderlands Legendary Collection</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Switch</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29,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XCOM 2 Collection</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Switch</w:t>
            </w:r>
          </w:p>
        </w:tc>
        <w:tc>
          <w:tcPr>
            <w:tcW w:w="1560" w:type="dxa"/>
            <w:vAlign w:val="bottom"/>
          </w:tcPr>
          <w:p>
            <w:pPr>
              <w:spacing w:after="0"/>
              <w:rPr>
                <w:sz w:val="20"/>
                <w:szCs w:val="20"/>
                <w:color w:val="auto"/>
              </w:rPr>
            </w:pPr>
            <w:r>
              <w:rPr>
                <w:rFonts w:ascii="Arial" w:cs="Arial" w:eastAsia="Arial" w:hAnsi="Arial"/>
                <w:sz w:val="18"/>
                <w:szCs w:val="18"/>
                <w:color w:val="auto"/>
              </w:rPr>
              <w:t>May 29, 2020</w:t>
            </w:r>
          </w:p>
        </w:tc>
      </w:tr>
      <w:tr>
        <w:trPr>
          <w:trHeight w:val="229"/>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Private Division</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The Outer Worlds</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Switch</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June 5,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Private Division</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Disintegration</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PS4, Xbox One, PC</w:t>
            </w:r>
          </w:p>
        </w:tc>
        <w:tc>
          <w:tcPr>
            <w:tcW w:w="1560" w:type="dxa"/>
            <w:vAlign w:val="bottom"/>
          </w:tcPr>
          <w:p>
            <w:pPr>
              <w:spacing w:after="0"/>
              <w:rPr>
                <w:sz w:val="20"/>
                <w:szCs w:val="20"/>
                <w:color w:val="auto"/>
              </w:rPr>
            </w:pPr>
            <w:r>
              <w:rPr>
                <w:rFonts w:ascii="Arial" w:cs="Arial" w:eastAsia="Arial" w:hAnsi="Arial"/>
                <w:sz w:val="18"/>
                <w:szCs w:val="18"/>
                <w:color w:val="auto"/>
              </w:rPr>
              <w:t>June 16, 2020</w:t>
            </w:r>
          </w:p>
        </w:tc>
      </w:tr>
      <w:tr>
        <w:trPr>
          <w:trHeight w:val="229"/>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Borderlands 3: Bounty of Blood (DLC)</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PS4, Xbox One, PC, Stadia</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June 25,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Private Division</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Kerbal Space Program: Shared Horizons (free update)</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PC</w:t>
            </w:r>
          </w:p>
        </w:tc>
        <w:tc>
          <w:tcPr>
            <w:tcW w:w="1560" w:type="dxa"/>
            <w:vAlign w:val="bottom"/>
          </w:tcPr>
          <w:p>
            <w:pPr>
              <w:spacing w:after="0"/>
              <w:rPr>
                <w:sz w:val="20"/>
                <w:szCs w:val="20"/>
                <w:color w:val="auto"/>
              </w:rPr>
            </w:pPr>
            <w:r>
              <w:rPr>
                <w:rFonts w:ascii="Arial" w:cs="Arial" w:eastAsia="Arial" w:hAnsi="Arial"/>
                <w:sz w:val="18"/>
                <w:szCs w:val="18"/>
                <w:color w:val="auto"/>
              </w:rPr>
              <w:t>July 1, 2020</w:t>
            </w:r>
          </w:p>
        </w:tc>
      </w:tr>
      <w:tr>
        <w:trPr>
          <w:trHeight w:val="202"/>
        </w:trPr>
        <w:tc>
          <w:tcPr>
            <w:tcW w:w="1360" w:type="dxa"/>
            <w:vAlign w:val="bottom"/>
            <w:shd w:val="clear" w:color="auto" w:fill="CCEEFF"/>
          </w:tcPr>
          <w:p>
            <w:pPr>
              <w:spacing w:after="0"/>
              <w:rPr>
                <w:sz w:val="17"/>
                <w:szCs w:val="17"/>
                <w:color w:val="auto"/>
              </w:rPr>
            </w:pPr>
          </w:p>
        </w:tc>
        <w:tc>
          <w:tcPr>
            <w:tcW w:w="52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i w:val="1"/>
                <w:iCs w:val="1"/>
                <w:color w:val="auto"/>
              </w:rPr>
              <w:t>Sid Meier's Civilization VI – New Frontier Pass: Ethiopia</w:t>
            </w:r>
          </w:p>
        </w:tc>
        <w:tc>
          <w:tcPr>
            <w:tcW w:w="2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44"/>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Pack (DLC)</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PS4, Xbox One, Switch, PC</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July 23,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Rockstar Games</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Red Dead Online: The Naturalist</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PS4, Xbox One, PC. Stadia</w:t>
            </w:r>
          </w:p>
        </w:tc>
        <w:tc>
          <w:tcPr>
            <w:tcW w:w="1560" w:type="dxa"/>
            <w:vAlign w:val="bottom"/>
          </w:tcPr>
          <w:p>
            <w:pPr>
              <w:spacing w:after="0"/>
              <w:rPr>
                <w:sz w:val="20"/>
                <w:szCs w:val="20"/>
                <w:color w:val="auto"/>
              </w:rPr>
            </w:pPr>
            <w:r>
              <w:rPr>
                <w:rFonts w:ascii="Arial" w:cs="Arial" w:eastAsia="Arial" w:hAnsi="Arial"/>
                <w:sz w:val="18"/>
                <w:szCs w:val="18"/>
                <w:color w:val="auto"/>
              </w:rPr>
              <w:t>July 28, 2020</w:t>
            </w:r>
          </w:p>
        </w:tc>
      </w:tr>
      <w:tr>
        <w:trPr>
          <w:trHeight w:val="647"/>
        </w:trPr>
        <w:tc>
          <w:tcPr>
            <w:tcW w:w="1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Take-Two's lineup of future titles announced to-date includes: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Label</w:t>
            </w:r>
          </w:p>
        </w:tc>
        <w:tc>
          <w:tcPr>
            <w:tcW w:w="5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Title</w:t>
            </w:r>
          </w:p>
        </w:tc>
        <w:tc>
          <w:tcPr>
            <w:tcW w:w="3040" w:type="dxa"/>
            <w:vAlign w:val="bottom"/>
            <w:gridSpan w:val="3"/>
          </w:tcPr>
          <w:p>
            <w:pPr>
              <w:ind w:left="240"/>
              <w:spacing w:after="0"/>
              <w:rPr>
                <w:sz w:val="20"/>
                <w:szCs w:val="20"/>
                <w:color w:val="auto"/>
              </w:rPr>
            </w:pPr>
            <w:r>
              <w:rPr>
                <w:rFonts w:ascii="Arial" w:cs="Arial" w:eastAsia="Arial" w:hAnsi="Arial"/>
                <w:sz w:val="18"/>
                <w:szCs w:val="18"/>
                <w:b w:val="1"/>
                <w:bCs w:val="1"/>
                <w:color w:val="auto"/>
              </w:rPr>
              <w:t>Platforms</w:t>
            </w:r>
          </w:p>
        </w:tc>
        <w:tc>
          <w:tcPr>
            <w:tcW w:w="1560" w:type="dxa"/>
            <w:vAlign w:val="bottom"/>
          </w:tcPr>
          <w:p>
            <w:pPr>
              <w:spacing w:after="0"/>
              <w:rPr>
                <w:sz w:val="20"/>
                <w:szCs w:val="20"/>
                <w:color w:val="auto"/>
              </w:rPr>
            </w:pPr>
            <w:r>
              <w:rPr>
                <w:rFonts w:ascii="Arial" w:cs="Arial" w:eastAsia="Arial" w:hAnsi="Arial"/>
                <w:sz w:val="18"/>
                <w:szCs w:val="18"/>
                <w:b w:val="1"/>
                <w:bCs w:val="1"/>
                <w:color w:val="auto"/>
              </w:rPr>
              <w:t>Release Date</w:t>
            </w:r>
          </w:p>
        </w:tc>
      </w:tr>
      <w:tr>
        <w:trPr>
          <w:trHeight w:val="223"/>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2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PGA TOUR 2K21</w:t>
            </w:r>
          </w:p>
        </w:tc>
        <w:tc>
          <w:tcPr>
            <w:tcW w:w="2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PS4, Xbox One, Switch, PC Stadia</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21, 2020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NBA 2K21</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w w:val="98"/>
              </w:rPr>
              <w:t>PS4, Xbox One, Switch, PC, Stadia</w:t>
            </w:r>
          </w:p>
        </w:tc>
        <w:tc>
          <w:tcPr>
            <w:tcW w:w="1560" w:type="dxa"/>
            <w:vAlign w:val="bottom"/>
          </w:tcPr>
          <w:p>
            <w:pPr>
              <w:spacing w:after="0"/>
              <w:rPr>
                <w:sz w:val="20"/>
                <w:szCs w:val="20"/>
                <w:color w:val="auto"/>
              </w:rPr>
            </w:pPr>
            <w:r>
              <w:rPr>
                <w:rFonts w:ascii="Arial" w:cs="Arial" w:eastAsia="Arial" w:hAnsi="Arial"/>
                <w:sz w:val="18"/>
                <w:szCs w:val="18"/>
                <w:color w:val="auto"/>
              </w:rPr>
              <w:t>September 4, 2020</w:t>
            </w:r>
          </w:p>
        </w:tc>
      </w:tr>
      <w:tr>
        <w:trPr>
          <w:trHeight w:val="229"/>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WWE 2K Battlegrounds</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PS4, Xbox One, Switch, PC, Stadia</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18, 2020</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Mafia I Definitive Edition</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PS4, Xbox One, PC</w:t>
            </w:r>
          </w:p>
        </w:tc>
        <w:tc>
          <w:tcPr>
            <w:tcW w:w="1560" w:type="dxa"/>
            <w:vAlign w:val="bottom"/>
          </w:tcPr>
          <w:p>
            <w:pPr>
              <w:spacing w:after="0"/>
              <w:rPr>
                <w:sz w:val="20"/>
                <w:szCs w:val="20"/>
                <w:color w:val="auto"/>
              </w:rPr>
            </w:pPr>
            <w:r>
              <w:rPr>
                <w:rFonts w:ascii="Arial" w:cs="Arial" w:eastAsia="Arial" w:hAnsi="Arial"/>
                <w:sz w:val="18"/>
                <w:szCs w:val="18"/>
                <w:color w:val="auto"/>
                <w:w w:val="94"/>
              </w:rPr>
              <w:t>September 25, 2020</w:t>
            </w:r>
          </w:p>
        </w:tc>
      </w:tr>
      <w:tr>
        <w:trPr>
          <w:trHeight w:val="23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NBA 2K21</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PS5, Xbox Series X</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Holiday 2020</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w w:val="99"/>
              </w:rPr>
              <w:t>Rockstar Games</w:t>
            </w:r>
          </w:p>
        </w:tc>
        <w:tc>
          <w:tcPr>
            <w:tcW w:w="5280" w:type="dxa"/>
            <w:vAlign w:val="bottom"/>
            <w:gridSpan w:val="2"/>
          </w:tcPr>
          <w:p>
            <w:pPr>
              <w:ind w:left="220"/>
              <w:spacing w:after="0"/>
              <w:rPr>
                <w:sz w:val="20"/>
                <w:szCs w:val="20"/>
                <w:color w:val="auto"/>
              </w:rPr>
            </w:pPr>
            <w:r>
              <w:rPr>
                <w:rFonts w:ascii="Arial" w:cs="Arial" w:eastAsia="Arial" w:hAnsi="Arial"/>
                <w:sz w:val="18"/>
                <w:szCs w:val="18"/>
                <w:i w:val="1"/>
                <w:iCs w:val="1"/>
                <w:color w:val="auto"/>
              </w:rPr>
              <w:t>Grand Theft Auto V</w:t>
            </w:r>
          </w:p>
        </w:tc>
        <w:tc>
          <w:tcPr>
            <w:tcW w:w="3040" w:type="dxa"/>
            <w:vAlign w:val="bottom"/>
            <w:gridSpan w:val="3"/>
          </w:tcPr>
          <w:p>
            <w:pPr>
              <w:ind w:left="240"/>
              <w:spacing w:after="0"/>
              <w:rPr>
                <w:sz w:val="20"/>
                <w:szCs w:val="20"/>
                <w:color w:val="auto"/>
              </w:rPr>
            </w:pPr>
            <w:r>
              <w:rPr>
                <w:rFonts w:ascii="Arial" w:cs="Arial" w:eastAsia="Arial" w:hAnsi="Arial"/>
                <w:sz w:val="18"/>
                <w:szCs w:val="18"/>
                <w:color w:val="auto"/>
              </w:rPr>
              <w:t>PS5, Xbox Series X</w:t>
            </w:r>
          </w:p>
        </w:tc>
        <w:tc>
          <w:tcPr>
            <w:tcW w:w="1560" w:type="dxa"/>
            <w:vAlign w:val="bottom"/>
          </w:tcPr>
          <w:p>
            <w:pPr>
              <w:spacing w:after="0"/>
              <w:rPr>
                <w:sz w:val="20"/>
                <w:szCs w:val="20"/>
                <w:color w:val="auto"/>
              </w:rPr>
            </w:pPr>
            <w:r>
              <w:rPr>
                <w:rFonts w:ascii="Arial" w:cs="Arial" w:eastAsia="Arial" w:hAnsi="Arial"/>
                <w:sz w:val="18"/>
                <w:szCs w:val="18"/>
                <w:color w:val="auto"/>
              </w:rPr>
              <w:t>Fiscal 2022</w:t>
            </w:r>
          </w:p>
        </w:tc>
      </w:tr>
      <w:tr>
        <w:trPr>
          <w:trHeight w:val="23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Private Division</w:t>
            </w: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Kerbal Space Program 2</w:t>
            </w:r>
          </w:p>
        </w:tc>
        <w:tc>
          <w:tcPr>
            <w:tcW w:w="3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PS4, Xbox One, PC</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Fall 2021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Take-Two will host a conference call today at 4:30 p.m. Eastern Time to review these results and discuss other topics. The call can be accessed by dialing</w:t>
      </w:r>
    </w:p>
    <w:p>
      <w:pPr>
        <w:spacing w:after="0" w:line="46" w:lineRule="exact"/>
        <w:rPr>
          <w:sz w:val="20"/>
          <w:szCs w:val="20"/>
          <w:color w:val="auto"/>
        </w:rPr>
      </w:pPr>
    </w:p>
    <w:p>
      <w:pPr>
        <w:ind w:right="680" w:firstLine="8"/>
        <w:spacing w:after="0" w:line="260" w:lineRule="auto"/>
        <w:tabs>
          <w:tab w:leader="none" w:pos="4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407-0984 or (201) 689-8577. A live listen-only webcast of the call will be available by visiting </w:t>
      </w:r>
      <w:r>
        <w:rPr>
          <w:rFonts w:ascii="Arial" w:cs="Arial" w:eastAsia="Arial" w:hAnsi="Arial"/>
          <w:sz w:val="18"/>
          <w:szCs w:val="18"/>
          <w:u w:val="single" w:color="auto"/>
          <w:color w:val="auto"/>
        </w:rPr>
        <w:t>http://ir.take2games.com</w:t>
      </w:r>
      <w:r>
        <w:rPr>
          <w:rFonts w:ascii="Arial" w:cs="Arial" w:eastAsia="Arial" w:hAnsi="Arial"/>
          <w:sz w:val="18"/>
          <w:szCs w:val="18"/>
          <w:color w:val="auto"/>
        </w:rPr>
        <w:t xml:space="preserve"> and a replay will be available following the call at the same location.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7"/>
          <w:szCs w:val="17"/>
          <w:b w:val="1"/>
          <w:bCs w:val="1"/>
          <w:i w:val="1"/>
          <w:iCs w:val="1"/>
          <w:color w:val="auto"/>
        </w:rPr>
        <w:t>Adjusted Unrestricted Operating Cash Flow</w:t>
      </w:r>
      <w:r>
        <w:rPr>
          <w:rFonts w:ascii="Arial" w:cs="Arial" w:eastAsia="Arial" w:hAnsi="Arial"/>
          <w:sz w:val="17"/>
          <w:szCs w:val="17"/>
          <w:color w:val="auto"/>
        </w:rPr>
        <w:t>, which is defined as GAAP net cash from operating activities, adjusted for changes in restricted cash. 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Quarterly Report on Form 10−Q for the period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7"/>
          <w:szCs w:val="17"/>
          <w:i w:val="1"/>
          <w:iCs w:val="1"/>
          <w:color w:val="auto"/>
        </w:rPr>
        <w:t xml:space="preserve">Grand Theft Auto </w:t>
      </w:r>
      <w:r>
        <w:rPr>
          <w:rFonts w:ascii="Arial" w:cs="Arial" w:eastAsia="Arial" w:hAnsi="Arial"/>
          <w:sz w:val="17"/>
          <w:szCs w:val="17"/>
          <w:color w:val="auto"/>
        </w:rPr>
        <w:t>products and our ability to develop other hit titles; the timely release and significant market acceptance of our games; the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acceptable pricing levels on our games; and risks associated with international operations.</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auto"/>
        </w:rPr>
        <w:t>TAKE-TWO INTERACTIVE SOFTWARE,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3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540,459</w:t>
            </w:r>
          </w:p>
        </w:tc>
        <w:tc>
          <w:tcPr>
            <w:tcW w:w="100" w:type="dxa"/>
            <w:vAlign w:val="bottom"/>
            <w:shd w:val="clear" w:color="auto" w:fill="CCEEFF"/>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Internal royalties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214,063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62,889</w:t>
            </w: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royalties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148,047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108,441</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58,560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47,635</w:t>
            </w: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56,019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22,504</w:t>
            </w:r>
          </w:p>
        </w:tc>
      </w:tr>
      <w:tr>
        <w:trPr>
          <w:trHeight w:val="209"/>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20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476,689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241,469</w:t>
            </w:r>
          </w:p>
        </w:tc>
        <w:tc>
          <w:tcPr>
            <w:tcW w:w="100" w:type="dxa"/>
            <w:vAlign w:val="bottom"/>
            <w:tcBorders>
              <w:bottom w:val="single" w:sz="8" w:color="CCEEFF"/>
            </w:tcBorders>
          </w:tcPr>
          <w:p>
            <w:pPr>
              <w:spacing w:after="0"/>
              <w:rPr>
                <w:sz w:val="18"/>
                <w:szCs w:val="18"/>
                <w:color w:val="auto"/>
              </w:rPr>
            </w:pPr>
          </w:p>
        </w:tc>
      </w:tr>
      <w:tr>
        <w:trPr>
          <w:trHeight w:val="210"/>
        </w:trPr>
        <w:tc>
          <w:tcPr>
            <w:tcW w:w="6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Gross profit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354,621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298,990</w:t>
            </w:r>
          </w:p>
        </w:tc>
      </w:tr>
      <w:tr>
        <w:trPr>
          <w:trHeight w:val="216"/>
        </w:trPr>
        <w:tc>
          <w:tcPr>
            <w:tcW w:w="6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102,173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91,821</w:t>
            </w: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84,779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74,833</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73,108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68,963</w:t>
            </w: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11,257</w:t>
            </w:r>
          </w:p>
        </w:tc>
      </w:tr>
      <w:tr>
        <w:trPr>
          <w:trHeight w:val="229"/>
        </w:trPr>
        <w:tc>
          <w:tcPr>
            <w:tcW w:w="6340" w:type="dxa"/>
            <w:vAlign w:val="bottom"/>
          </w:tcPr>
          <w:p>
            <w:pPr>
              <w:ind w:left="180"/>
              <w:spacing w:after="0"/>
              <w:rPr>
                <w:sz w:val="20"/>
                <w:szCs w:val="20"/>
                <w:color w:val="auto"/>
              </w:rPr>
            </w:pPr>
            <w:r>
              <w:rPr>
                <w:rFonts w:ascii="Arial" w:cs="Arial" w:eastAsia="Arial" w:hAnsi="Arial"/>
                <w:sz w:val="18"/>
                <w:szCs w:val="18"/>
                <w:color w:val="auto"/>
              </w:rPr>
              <w:t>Business reorganization</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272,478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82,143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51,730</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10,425</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15,875</w:t>
            </w:r>
          </w:p>
        </w:tc>
      </w:tr>
      <w:tr>
        <w:trPr>
          <w:trHeight w:val="223"/>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18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1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0.77</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6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113,862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112,621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114,956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113,728</w:t>
            </w:r>
          </w:p>
        </w:tc>
      </w:tr>
      <w:tr>
        <w:trPr>
          <w:trHeight w:val="216"/>
        </w:trPr>
        <w:tc>
          <w:tcPr>
            <w:tcW w:w="6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Basic EPS: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88,505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46,280</w:t>
            </w:r>
          </w:p>
        </w:tc>
      </w:tr>
      <w:tr>
        <w:trPr>
          <w:trHeight w:val="216"/>
        </w:trPr>
        <w:tc>
          <w:tcPr>
            <w:tcW w:w="6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113,862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112,621</w:t>
            </w:r>
          </w:p>
        </w:tc>
      </w:tr>
      <w:tr>
        <w:trPr>
          <w:trHeight w:val="216"/>
        </w:trPr>
        <w:tc>
          <w:tcPr>
            <w:tcW w:w="6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18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6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Computation of Diluted EPS: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for diluted EPS calculation</w:t>
            </w:r>
          </w:p>
        </w:tc>
        <w:tc>
          <w:tcPr>
            <w:tcW w:w="21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88,505</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46,280</w:t>
            </w:r>
          </w:p>
        </w:tc>
      </w:tr>
      <w:tr>
        <w:trPr>
          <w:trHeight w:val="216"/>
        </w:trPr>
        <w:tc>
          <w:tcPr>
            <w:tcW w:w="6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113,862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112,621</w:t>
            </w:r>
          </w:p>
        </w:tc>
      </w:tr>
      <w:tr>
        <w:trPr>
          <w:trHeight w:val="229"/>
        </w:trPr>
        <w:tc>
          <w:tcPr>
            <w:tcW w:w="6340" w:type="dxa"/>
            <w:vAlign w:val="bottom"/>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1,094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r>
      <w:tr>
        <w:trPr>
          <w:trHeight w:val="210"/>
        </w:trPr>
        <w:tc>
          <w:tcPr>
            <w:tcW w:w="6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 - diluted</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114,956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1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0.77</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432"/>
        </w:trPr>
        <w:tc>
          <w:tcPr>
            <w:tcW w:w="6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auto"/>
        </w:rPr>
        <w:t>TAKE-TWO INTERACTIVE SOFTWARE, INC. and SUBSIDIARIES</w:t>
      </w:r>
    </w:p>
    <w:p>
      <w:pPr>
        <w:spacing w:after="0" w:line="3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1,404,124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880,825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467,622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w w:val="92"/>
              </w:rPr>
              <w:t>Accounts receivable, net of allowances of $2,201 and $443 at June 30, 2020 and March 31, 2020,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685,169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592,555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19,108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Software development costs and licenses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31,714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14,281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183,712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273,503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3,686,933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128,904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158,018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and licenses, net of current portion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409,962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389,825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386,494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46,746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51,260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120,892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116,676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 and cash equivalents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289,526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89,124</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138,435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123,977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5,369,241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4,948,832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56,410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1,136,628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928,100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27,602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2,148,740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32,851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153,506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152,059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Non-current software development royalties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300,970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82,146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2,718,213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$.01 par value, 5,000 shares authorized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tcPr>
          <w:p>
            <w:pPr>
              <w:spacing w:after="0" w:line="201" w:lineRule="exact"/>
              <w:rPr>
                <w:sz w:val="20"/>
                <w:szCs w:val="20"/>
                <w:color w:val="auto"/>
              </w:rPr>
            </w:pPr>
            <w:r>
              <w:rPr>
                <w:rFonts w:ascii="Arial" w:cs="Arial" w:eastAsia="Arial" w:hAnsi="Arial"/>
                <w:sz w:val="18"/>
                <w:szCs w:val="18"/>
                <w:color w:val="auto"/>
                <w:w w:val="90"/>
              </w:rPr>
              <w:t>Common stock, $.01 par value, 200,000 shares authorized; 136,689 and 135,927 shares issued and 114,268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1,367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113,506 outstanding at June 30, 2020 and March 31, 2020,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2,151,774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2,134,748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Treasury stock, at cost; 22,421 common shares at June 30, 2020 and, March 31, 2020,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(820,572)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(820,572)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1,370,590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(52,131)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(58,376)</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2,651,028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5,369,241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1"/>
              </w:rPr>
              <w:t>Three months ended June 30,</w:t>
            </w:r>
          </w:p>
        </w:tc>
      </w:tr>
      <w:tr>
        <w:trPr>
          <w:trHeight w:val="223"/>
        </w:trPr>
        <w:tc>
          <w:tcPr>
            <w:tcW w:w="8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88,505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46,280</w:t>
            </w: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57,441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30,498</w:t>
            </w: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12,298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11,134</w:t>
            </w: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Amortization of intellectual property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4,986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5,560</w:t>
            </w: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53,411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57,432</w:t>
            </w: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1,321</w:t>
            </w: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(91,846)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44,041</w:t>
            </w: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4,029</w:t>
            </w: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Software development costs and licenses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(60,219)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(56,968)</w:t>
            </w: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and other non-current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80,759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(131,121)</w:t>
            </w: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153,525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(15,871)</w:t>
            </w: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cost of goods sold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5,398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15,619</w:t>
            </w:r>
          </w:p>
        </w:tc>
      </w:tr>
      <w:tr>
        <w:trPr>
          <w:trHeight w:val="229"/>
        </w:trPr>
        <w:tc>
          <w:tcPr>
            <w:tcW w:w="820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144,220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96,581</w:t>
            </w:r>
          </w:p>
        </w:tc>
      </w:tr>
      <w:tr>
        <w:trPr>
          <w:trHeight w:val="210"/>
        </w:trPr>
        <w:tc>
          <w:tcPr>
            <w:tcW w:w="8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445,423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Change in bank time deposits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(161,026)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133,303</w:t>
            </w: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available-for-sale securities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117,738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82,424</w:t>
            </w: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(188,372)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(28,248)</w:t>
            </w: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(9,971)</w:t>
            </w: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(6,900)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acquisitions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10"/>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(247,465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166,793</w:t>
            </w:r>
          </w:p>
        </w:tc>
        <w:tc>
          <w:tcPr>
            <w:tcW w:w="10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(38,506)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(52,118)</w:t>
            </w: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6,503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Effects of foreign currency exchange rates on cash, cash equivalents, and restricted cash and cash equivalents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(3,201)</w:t>
            </w: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 in cash, cash equivalents, and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cash equivalents, and restricted cash and cash equivalents, beginning of year</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cash equivalents, and restricted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167,880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220,009</w:t>
            </w: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1,993,392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1,391,986</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2,161,272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1,611,995</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20" w:space="720"/>
            <w:col w:w="2900"/>
          </w:cols>
          <w:pgMar w:left="320" w:top="90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740" w:type="dxa"/>
            <w:vAlign w:val="bottom"/>
            <w:gridSpan w:val="4"/>
          </w:tcPr>
          <w:p>
            <w:pPr>
              <w:jc w:val="center"/>
              <w:ind w:right="33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center"/>
              <w:ind w:right="51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Pr>
          <w:p>
            <w:pPr>
              <w:spacing w:after="0"/>
              <w:rPr>
                <w:sz w:val="20"/>
                <w:szCs w:val="20"/>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color w:val="auto"/>
                <w:w w:val="87"/>
              </w:rPr>
              <w:t>June 30, 2019</w:t>
            </w:r>
          </w:p>
        </w:tc>
      </w:tr>
      <w:tr>
        <w:trPr>
          <w:trHeight w:val="223"/>
        </w:trPr>
        <w:tc>
          <w:tcPr>
            <w:tcW w:w="5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09"/>
        </w:trPr>
        <w:tc>
          <w:tcPr>
            <w:tcW w:w="5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5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470,490</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330,479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360,820</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831,310</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540,459</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9"/>
        </w:trPr>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587,112</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259,235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120" w:type="dxa"/>
            <w:vAlign w:val="bottom"/>
          </w:tcPr>
          <w:p>
            <w:pPr>
              <w:ind w:left="5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409,137</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163,005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996,249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34"/>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740" w:type="dxa"/>
            <w:vAlign w:val="bottom"/>
            <w:gridSpan w:val="4"/>
          </w:tcPr>
          <w:p>
            <w:pPr>
              <w:jc w:val="center"/>
              <w:ind w:right="33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center"/>
              <w:ind w:right="51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Pr>
          <w:p>
            <w:pPr>
              <w:spacing w:after="0"/>
              <w:rPr>
                <w:sz w:val="20"/>
                <w:szCs w:val="20"/>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color w:val="auto"/>
                <w:w w:val="87"/>
              </w:rPr>
              <w:t>June 30, 2019</w:t>
            </w:r>
          </w:p>
        </w:tc>
      </w:tr>
      <w:tr>
        <w:trPr>
          <w:trHeight w:val="223"/>
        </w:trPr>
        <w:tc>
          <w:tcPr>
            <w:tcW w:w="5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10"/>
        </w:trPr>
        <w:tc>
          <w:tcPr>
            <w:tcW w:w="5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540"/>
              <w:spacing w:after="0"/>
              <w:rPr>
                <w:sz w:val="20"/>
                <w:szCs w:val="20"/>
                <w:color w:val="auto"/>
              </w:rPr>
            </w:pPr>
            <w:r>
              <w:rPr>
                <w:rFonts w:ascii="Arial" w:cs="Arial" w:eastAsia="Arial" w:hAnsi="Arial"/>
                <w:sz w:val="18"/>
                <w:szCs w:val="18"/>
                <w:color w:val="auto"/>
              </w:rPr>
              <w:t>Digital online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726,226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87%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427,781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Physical retail and other</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105,084</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112,678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831,310</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540,459</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9"/>
        </w:trPr>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Digital online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915,189</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382,478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120" w:type="dxa"/>
            <w:vAlign w:val="bottom"/>
          </w:tcPr>
          <w:p>
            <w:pPr>
              <w:ind w:left="540"/>
              <w:spacing w:after="0"/>
              <w:rPr>
                <w:sz w:val="20"/>
                <w:szCs w:val="20"/>
                <w:color w:val="auto"/>
              </w:rPr>
            </w:pPr>
            <w:r>
              <w:rPr>
                <w:rFonts w:ascii="Arial" w:cs="Arial" w:eastAsia="Arial" w:hAnsi="Arial"/>
                <w:sz w:val="18"/>
                <w:szCs w:val="18"/>
                <w:color w:val="auto"/>
              </w:rPr>
              <w:t>Physical retail and other</w:t>
            </w:r>
          </w:p>
        </w:tc>
        <w:tc>
          <w:tcPr>
            <w:tcW w:w="1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81,060</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39,762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996,249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34"/>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740" w:type="dxa"/>
            <w:vAlign w:val="bottom"/>
            <w:gridSpan w:val="4"/>
          </w:tcPr>
          <w:p>
            <w:pPr>
              <w:jc w:val="center"/>
              <w:ind w:right="33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center"/>
              <w:ind w:right="51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Pr>
          <w:p>
            <w:pPr>
              <w:spacing w:after="0"/>
              <w:rPr>
                <w:sz w:val="20"/>
                <w:szCs w:val="20"/>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color w:val="auto"/>
                <w:w w:val="87"/>
              </w:rPr>
              <w:t>June 30, 2019</w:t>
            </w:r>
          </w:p>
        </w:tc>
      </w:tr>
      <w:tr>
        <w:trPr>
          <w:trHeight w:val="223"/>
        </w:trPr>
        <w:tc>
          <w:tcPr>
            <w:tcW w:w="5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09"/>
        </w:trPr>
        <w:tc>
          <w:tcPr>
            <w:tcW w:w="5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540"/>
              <w:spacing w:after="0"/>
              <w:rPr>
                <w:sz w:val="20"/>
                <w:szCs w:val="20"/>
                <w:color w:val="auto"/>
              </w:rPr>
            </w:pPr>
            <w:r>
              <w:rPr>
                <w:rFonts w:ascii="Arial" w:cs="Arial" w:eastAsia="Arial" w:hAnsi="Arial"/>
                <w:sz w:val="18"/>
                <w:szCs w:val="18"/>
                <w:color w:val="auto"/>
              </w:rPr>
              <w:t>Console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611,685</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434,814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PC and other</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219,625</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831,310</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540,459</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Console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722,798</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312,631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120" w:type="dxa"/>
            <w:vAlign w:val="bottom"/>
          </w:tcPr>
          <w:p>
            <w:pPr>
              <w:ind w:left="540"/>
              <w:spacing w:after="0"/>
              <w:rPr>
                <w:sz w:val="20"/>
                <w:szCs w:val="20"/>
                <w:color w:val="auto"/>
              </w:rPr>
            </w:pPr>
            <w:r>
              <w:rPr>
                <w:rFonts w:ascii="Arial" w:cs="Arial" w:eastAsia="Arial" w:hAnsi="Arial"/>
                <w:sz w:val="18"/>
                <w:szCs w:val="18"/>
                <w:color w:val="auto"/>
              </w:rPr>
              <w:t>PC and other</w:t>
            </w:r>
          </w:p>
        </w:tc>
        <w:tc>
          <w:tcPr>
            <w:tcW w:w="1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273,451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109,609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996,249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642"/>
        </w:trPr>
        <w:tc>
          <w:tcPr>
            <w:tcW w:w="5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1"/>
              </w:rPr>
              <w:t>Cost of goods sold-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560"/>
              <w:spacing w:after="0" w:line="135" w:lineRule="exact"/>
              <w:rPr>
                <w:sz w:val="20"/>
                <w:szCs w:val="20"/>
                <w:color w:val="auto"/>
              </w:rPr>
            </w:pPr>
            <w:r>
              <w:rPr>
                <w:rFonts w:ascii="Arial" w:cs="Arial" w:eastAsia="Arial" w:hAnsi="Arial"/>
                <w:sz w:val="13"/>
                <w:szCs w:val="13"/>
                <w:b w:val="1"/>
                <w:bCs w:val="1"/>
                <w:color w:val="auto"/>
                <w:w w:val="87"/>
              </w:rPr>
              <w:t>Software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3"/>
              </w:rPr>
              <w:t>Cost of goods sold-</w:t>
            </w:r>
          </w:p>
        </w:tc>
        <w:tc>
          <w:tcPr>
            <w:tcW w:w="200" w:type="dxa"/>
            <w:vAlign w:val="bottom"/>
          </w:tcPr>
          <w:p>
            <w:pPr>
              <w:spacing w:after="0"/>
              <w:rPr>
                <w:sz w:val="11"/>
                <w:szCs w:val="11"/>
                <w:color w:val="auto"/>
              </w:rPr>
            </w:pPr>
          </w:p>
        </w:tc>
        <w:tc>
          <w:tcPr>
            <w:tcW w:w="146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development costs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w w:val="81"/>
              </w:rPr>
              <w:t>Cost of goods sold-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Cost of goods sold-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General and</w:t>
            </w: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Three Months Ended June 30, 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rPr>
              <w:t>Net revenue</w:t>
            </w:r>
          </w:p>
        </w:tc>
        <w:tc>
          <w:tcPr>
            <w:tcW w:w="200" w:type="dxa"/>
            <w:vAlign w:val="bottom"/>
          </w:tcPr>
          <w:p>
            <w:pPr>
              <w:spacing w:after="0"/>
              <w:rPr>
                <w:sz w:val="13"/>
                <w:szCs w:val="13"/>
                <w:color w:val="auto"/>
              </w:rPr>
            </w:pPr>
          </w:p>
        </w:tc>
        <w:tc>
          <w:tcPr>
            <w:tcW w:w="1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Internal royalties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7"/>
              </w:rPr>
              <w:t>and royalties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b w:val="1"/>
                <w:bCs w:val="1"/>
                <w:color w:val="auto"/>
              </w:rPr>
              <w:t>Product costs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2"/>
              </w:rPr>
              <w:t>Licenses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administrative</w:t>
            </w:r>
          </w:p>
        </w:tc>
      </w:tr>
      <w:tr>
        <w:trPr>
          <w:trHeight w:val="128"/>
        </w:trPr>
        <w:tc>
          <w:tcPr>
            <w:tcW w:w="2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 reported</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3"/>
            <w:shd w:val="clear" w:color="auto" w:fill="CCEEFF"/>
          </w:tcPr>
          <w:p>
            <w:pPr>
              <w:ind w:left="560"/>
              <w:spacing w:after="0" w:line="129" w:lineRule="exact"/>
              <w:rPr>
                <w:sz w:val="20"/>
                <w:szCs w:val="20"/>
                <w:color w:val="auto"/>
              </w:rPr>
            </w:pPr>
            <w:r>
              <w:rPr>
                <w:rFonts w:ascii="Arial" w:cs="Arial" w:eastAsia="Arial" w:hAnsi="Arial"/>
                <w:sz w:val="13"/>
                <w:szCs w:val="13"/>
                <w:color w:val="auto"/>
                <w:w w:val="80"/>
              </w:rPr>
              <w:t>831,310</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214,063</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148,047</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58,560</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56,019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102,173</w:t>
            </w:r>
          </w:p>
        </w:tc>
        <w:tc>
          <w:tcPr>
            <w:tcW w:w="100" w:type="dxa"/>
            <w:vAlign w:val="bottom"/>
            <w:tcBorders>
              <w:top w:val="single" w:sz="8" w:color="CCEEFF"/>
            </w:tcBorders>
            <w:shd w:val="clear" w:color="auto" w:fill="CCEEFF"/>
          </w:tcPr>
          <w:p>
            <w:pPr>
              <w:spacing w:after="0"/>
              <w:rPr>
                <w:sz w:val="11"/>
                <w:szCs w:val="11"/>
                <w:color w:val="auto"/>
              </w:rPr>
            </w:pPr>
          </w:p>
        </w:tc>
      </w:tr>
      <w:tr>
        <w:trPr>
          <w:trHeight w:val="121"/>
        </w:trPr>
        <w:tc>
          <w:tcPr>
            <w:tcW w:w="2500" w:type="dxa"/>
            <w:vAlign w:val="bottom"/>
          </w:tcPr>
          <w:p>
            <w:pPr>
              <w:ind w:left="180"/>
              <w:spacing w:after="0" w:line="121" w:lineRule="exact"/>
              <w:rPr>
                <w:sz w:val="20"/>
                <w:szCs w:val="20"/>
                <w:color w:val="auto"/>
              </w:rPr>
            </w:pPr>
            <w:r>
              <w:rPr>
                <w:rFonts w:ascii="Arial" w:cs="Arial" w:eastAsia="Arial" w:hAnsi="Arial"/>
                <w:sz w:val="13"/>
                <w:szCs w:val="13"/>
                <w:color w:val="auto"/>
                <w:w w:val="94"/>
              </w:rPr>
              <w:t>Net effect from deferral and related cost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500" w:type="dxa"/>
            <w:vAlign w:val="bottom"/>
          </w:tcPr>
          <w:p>
            <w:pPr>
              <w:ind w:left="180"/>
              <w:spacing w:after="0"/>
              <w:rPr>
                <w:sz w:val="20"/>
                <w:szCs w:val="20"/>
                <w:color w:val="auto"/>
              </w:rPr>
            </w:pPr>
            <w:r>
              <w:rPr>
                <w:rFonts w:ascii="Arial" w:cs="Arial" w:eastAsia="Arial" w:hAnsi="Arial"/>
                <w:sz w:val="13"/>
                <w:szCs w:val="13"/>
                <w:color w:val="auto"/>
              </w:rPr>
              <w:t>goods sold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4"/>
          </w:tcPr>
          <w:p>
            <w:pPr>
              <w:ind w:left="560"/>
              <w:spacing w:after="0"/>
              <w:rPr>
                <w:sz w:val="20"/>
                <w:szCs w:val="20"/>
                <w:color w:val="auto"/>
              </w:rPr>
            </w:pPr>
            <w:r>
              <w:rPr>
                <w:rFonts w:ascii="Arial" w:cs="Arial" w:eastAsia="Arial" w:hAnsi="Arial"/>
                <w:sz w:val="13"/>
                <w:szCs w:val="13"/>
                <w:color w:val="auto"/>
                <w:w w:val="93"/>
              </w:rPr>
              <w:t>164,939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4,050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tcPr>
          <w:p>
            <w:pPr>
              <w:jc w:val="right"/>
              <w:ind w:right="97"/>
              <w:spacing w:after="0"/>
              <w:rPr>
                <w:sz w:val="20"/>
                <w:szCs w:val="20"/>
                <w:color w:val="auto"/>
              </w:rPr>
            </w:pPr>
            <w:r>
              <w:rPr>
                <w:rFonts w:ascii="Arial" w:cs="Arial" w:eastAsia="Arial" w:hAnsi="Arial"/>
                <w:sz w:val="13"/>
                <w:szCs w:val="13"/>
                <w:color w:val="auto"/>
              </w:rPr>
              <w:t>(4,823)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(29,033)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(13,200)</w:t>
            </w:r>
          </w:p>
        </w:tc>
      </w:tr>
      <w:tr>
        <w:trPr>
          <w:trHeight w:val="121"/>
        </w:trPr>
        <w:tc>
          <w:tcPr>
            <w:tcW w:w="2500" w:type="dxa"/>
            <w:vAlign w:val="bottom"/>
          </w:tcPr>
          <w:p>
            <w:pPr>
              <w:ind w:left="180"/>
              <w:spacing w:after="0" w:line="121" w:lineRule="exact"/>
              <w:rPr>
                <w:sz w:val="20"/>
                <w:szCs w:val="20"/>
                <w:color w:val="auto"/>
              </w:rPr>
            </w:pPr>
            <w:r>
              <w:rPr>
                <w:rFonts w:ascii="Arial" w:cs="Arial" w:eastAsia="Arial" w:hAnsi="Arial"/>
                <w:sz w:val="13"/>
                <w:szCs w:val="13"/>
                <w:color w:val="auto"/>
                <w:w w:val="98"/>
              </w:rPr>
              <w:t>Amortization and impairment of acquired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0"/>
        </w:trPr>
        <w:tc>
          <w:tcPr>
            <w:tcW w:w="2500" w:type="dxa"/>
            <w:vAlign w:val="bottom"/>
          </w:tcPr>
          <w:p>
            <w:pPr>
              <w:ind w:left="18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(3,282)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6"/>
              </w:rPr>
              <w:t>Selling and</w:t>
            </w:r>
          </w:p>
        </w:tc>
        <w:tc>
          <w:tcPr>
            <w:tcW w:w="160" w:type="dxa"/>
            <w:vAlign w:val="bottom"/>
          </w:tcPr>
          <w:p>
            <w:pPr>
              <w:spacing w:after="0"/>
              <w:rPr>
                <w:sz w:val="24"/>
                <w:szCs w:val="24"/>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Research and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Depreciation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left="137"/>
              <w:spacing w:after="0"/>
              <w:rPr>
                <w:sz w:val="20"/>
                <w:szCs w:val="20"/>
                <w:color w:val="auto"/>
              </w:rPr>
            </w:pPr>
            <w:r>
              <w:rPr>
                <w:rFonts w:ascii="Arial" w:cs="Arial" w:eastAsia="Arial" w:hAnsi="Arial"/>
                <w:sz w:val="13"/>
                <w:szCs w:val="13"/>
                <w:b w:val="1"/>
                <w:bCs w:val="1"/>
                <w:color w:val="auto"/>
                <w:w w:val="79"/>
              </w:rPr>
              <w:t>Business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Interest and other,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Three Months Ended June 30, 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0"/>
              </w:rPr>
              <w:t>marketing</w:t>
            </w:r>
          </w:p>
        </w:tc>
        <w:tc>
          <w:tcPr>
            <w:tcW w:w="160" w:type="dxa"/>
            <w:vAlign w:val="bottom"/>
          </w:tcPr>
          <w:p>
            <w:pPr>
              <w:spacing w:after="0"/>
              <w:rPr>
                <w:sz w:val="13"/>
                <w:szCs w:val="13"/>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amortization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left="137"/>
              <w:spacing w:after="0"/>
              <w:rPr>
                <w:sz w:val="20"/>
                <w:szCs w:val="20"/>
                <w:color w:val="auto"/>
              </w:rPr>
            </w:pPr>
            <w:r>
              <w:rPr>
                <w:rFonts w:ascii="Arial" w:cs="Arial" w:eastAsia="Arial" w:hAnsi="Arial"/>
                <w:sz w:val="13"/>
                <w:szCs w:val="13"/>
                <w:b w:val="1"/>
                <w:bCs w:val="1"/>
                <w:color w:val="auto"/>
                <w:w w:val="87"/>
              </w:rPr>
              <w:t>reorganization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net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2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 reported</w:t>
            </w: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84,779</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0"/>
              </w:rPr>
              <w:t>73,108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12,418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8,218</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00" w:type="dxa"/>
            <w:vAlign w:val="bottom"/>
            <w:gridSpan w:val="3"/>
          </w:tcPr>
          <w:p>
            <w:pPr>
              <w:ind w:left="180"/>
              <w:spacing w:after="0" w:line="135" w:lineRule="exact"/>
              <w:rPr>
                <w:sz w:val="20"/>
                <w:szCs w:val="20"/>
                <w:color w:val="auto"/>
              </w:rPr>
            </w:pPr>
            <w:r>
              <w:rPr>
                <w:rFonts w:ascii="Arial" w:cs="Arial" w:eastAsia="Arial" w:hAnsi="Arial"/>
                <w:sz w:val="13"/>
                <w:szCs w:val="13"/>
                <w:color w:val="auto"/>
                <w:w w:val="87"/>
              </w:rPr>
              <w:t>Net effect from deferral and related cost of goods sold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(761)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7"/>
              </w:rPr>
              <w:t>(4,728)</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7"/>
              </w:rPr>
              <w:t>(6,450)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00" w:type="dxa"/>
            <w:vAlign w:val="bottom"/>
            <w:gridSpan w:val="3"/>
          </w:tcPr>
          <w:p>
            <w:pPr>
              <w:ind w:left="180"/>
              <w:spacing w:after="0" w:line="135" w:lineRule="exact"/>
              <w:rPr>
                <w:sz w:val="20"/>
                <w:szCs w:val="20"/>
                <w:color w:val="auto"/>
              </w:rPr>
            </w:pPr>
            <w:r>
              <w:rPr>
                <w:rFonts w:ascii="Arial" w:cs="Arial" w:eastAsia="Arial" w:hAnsi="Arial"/>
                <w:sz w:val="13"/>
                <w:szCs w:val="13"/>
                <w:color w:val="auto"/>
                <w:w w:val="90"/>
              </w:rPr>
              <w:t>Amortization and impairment of acquired intangibles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87"/>
              </w:rPr>
              <w:t>(1,552)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(120)</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Loss on long-term investments</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60"/>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1"/>
              </w:rPr>
              <w:t>Cost of goods sold-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560"/>
              <w:spacing w:after="0" w:line="135" w:lineRule="exact"/>
              <w:rPr>
                <w:sz w:val="20"/>
                <w:szCs w:val="20"/>
                <w:color w:val="auto"/>
              </w:rPr>
            </w:pPr>
            <w:r>
              <w:rPr>
                <w:rFonts w:ascii="Arial" w:cs="Arial" w:eastAsia="Arial" w:hAnsi="Arial"/>
                <w:sz w:val="13"/>
                <w:szCs w:val="13"/>
                <w:b w:val="1"/>
                <w:bCs w:val="1"/>
                <w:color w:val="auto"/>
                <w:w w:val="87"/>
              </w:rPr>
              <w:t>Software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3"/>
              </w:rPr>
              <w:t>Cost of goods sold-</w:t>
            </w:r>
          </w:p>
        </w:tc>
        <w:tc>
          <w:tcPr>
            <w:tcW w:w="200" w:type="dxa"/>
            <w:vAlign w:val="bottom"/>
          </w:tcPr>
          <w:p>
            <w:pPr>
              <w:spacing w:after="0"/>
              <w:rPr>
                <w:sz w:val="11"/>
                <w:szCs w:val="11"/>
                <w:color w:val="auto"/>
              </w:rPr>
            </w:pPr>
          </w:p>
        </w:tc>
        <w:tc>
          <w:tcPr>
            <w:tcW w:w="146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development costs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w w:val="81"/>
              </w:rPr>
              <w:t>Cost of goods sold-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Cost of goods sold-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General and</w:t>
            </w: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Three Months Ended June 30, 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rPr>
              <w:t>Net revenue</w:t>
            </w:r>
          </w:p>
        </w:tc>
        <w:tc>
          <w:tcPr>
            <w:tcW w:w="200" w:type="dxa"/>
            <w:vAlign w:val="bottom"/>
          </w:tcPr>
          <w:p>
            <w:pPr>
              <w:spacing w:after="0"/>
              <w:rPr>
                <w:sz w:val="13"/>
                <w:szCs w:val="13"/>
                <w:color w:val="auto"/>
              </w:rPr>
            </w:pPr>
          </w:p>
        </w:tc>
        <w:tc>
          <w:tcPr>
            <w:tcW w:w="1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Internal royalties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7"/>
              </w:rPr>
              <w:t>and royalties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b w:val="1"/>
                <w:bCs w:val="1"/>
                <w:color w:val="auto"/>
              </w:rPr>
              <w:t>Product costs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2"/>
              </w:rPr>
              <w:t>Licenses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administrative</w:t>
            </w:r>
          </w:p>
        </w:tc>
      </w:tr>
      <w:tr>
        <w:trPr>
          <w:trHeight w:val="128"/>
        </w:trPr>
        <w:tc>
          <w:tcPr>
            <w:tcW w:w="2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 reported</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3"/>
            <w:shd w:val="clear" w:color="auto" w:fill="CCEEFF"/>
          </w:tcPr>
          <w:p>
            <w:pPr>
              <w:ind w:left="560"/>
              <w:spacing w:after="0" w:line="129" w:lineRule="exact"/>
              <w:rPr>
                <w:sz w:val="20"/>
                <w:szCs w:val="20"/>
                <w:color w:val="auto"/>
              </w:rPr>
            </w:pPr>
            <w:r>
              <w:rPr>
                <w:rFonts w:ascii="Arial" w:cs="Arial" w:eastAsia="Arial" w:hAnsi="Arial"/>
                <w:sz w:val="13"/>
                <w:szCs w:val="13"/>
                <w:color w:val="auto"/>
                <w:w w:val="80"/>
              </w:rPr>
              <w:t>540,459</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62,889</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108,441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47,635</w:t>
            </w:r>
          </w:p>
        </w:tc>
        <w:tc>
          <w:tcPr>
            <w:tcW w:w="2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22,504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74,833</w:t>
            </w:r>
          </w:p>
        </w:tc>
        <w:tc>
          <w:tcPr>
            <w:tcW w:w="100" w:type="dxa"/>
            <w:vAlign w:val="bottom"/>
            <w:tcBorders>
              <w:top w:val="single" w:sz="8" w:color="CCEEFF"/>
            </w:tcBorders>
            <w:shd w:val="clear" w:color="auto" w:fill="CCEEFF"/>
          </w:tcPr>
          <w:p>
            <w:pPr>
              <w:spacing w:after="0"/>
              <w:rPr>
                <w:sz w:val="11"/>
                <w:szCs w:val="11"/>
                <w:color w:val="auto"/>
              </w:rPr>
            </w:pPr>
          </w:p>
        </w:tc>
      </w:tr>
      <w:tr>
        <w:trPr>
          <w:trHeight w:val="121"/>
        </w:trPr>
        <w:tc>
          <w:tcPr>
            <w:tcW w:w="2500" w:type="dxa"/>
            <w:vAlign w:val="bottom"/>
          </w:tcPr>
          <w:p>
            <w:pPr>
              <w:ind w:left="180"/>
              <w:spacing w:after="0" w:line="121" w:lineRule="exact"/>
              <w:rPr>
                <w:sz w:val="20"/>
                <w:szCs w:val="20"/>
                <w:color w:val="auto"/>
              </w:rPr>
            </w:pPr>
            <w:r>
              <w:rPr>
                <w:rFonts w:ascii="Arial" w:cs="Arial" w:eastAsia="Arial" w:hAnsi="Arial"/>
                <w:sz w:val="13"/>
                <w:szCs w:val="13"/>
                <w:color w:val="auto"/>
                <w:w w:val="94"/>
              </w:rPr>
              <w:t>Net effect from deferral and related cost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500" w:type="dxa"/>
            <w:vAlign w:val="bottom"/>
          </w:tcPr>
          <w:p>
            <w:pPr>
              <w:ind w:left="180"/>
              <w:spacing w:after="0"/>
              <w:rPr>
                <w:sz w:val="20"/>
                <w:szCs w:val="20"/>
                <w:color w:val="auto"/>
              </w:rPr>
            </w:pPr>
            <w:r>
              <w:rPr>
                <w:rFonts w:ascii="Arial" w:cs="Arial" w:eastAsia="Arial" w:hAnsi="Arial"/>
                <w:sz w:val="13"/>
                <w:szCs w:val="13"/>
                <w:color w:val="auto"/>
              </w:rPr>
              <w:t>goods sold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4"/>
          </w:tcPr>
          <w:p>
            <w:pPr>
              <w:jc w:val="right"/>
              <w:spacing w:after="0"/>
              <w:rPr>
                <w:sz w:val="20"/>
                <w:szCs w:val="20"/>
                <w:color w:val="auto"/>
              </w:rPr>
            </w:pPr>
            <w:r>
              <w:rPr>
                <w:rFonts w:ascii="Arial" w:cs="Arial" w:eastAsia="Arial" w:hAnsi="Arial"/>
                <w:sz w:val="13"/>
                <w:szCs w:val="13"/>
                <w:color w:val="auto"/>
              </w:rPr>
              <w:t>(118,220)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(13,159)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tcPr>
          <w:p>
            <w:pPr>
              <w:jc w:val="right"/>
              <w:ind w:right="97"/>
              <w:spacing w:after="0"/>
              <w:rPr>
                <w:sz w:val="20"/>
                <w:szCs w:val="20"/>
                <w:color w:val="auto"/>
              </w:rPr>
            </w:pPr>
            <w:r>
              <w:rPr>
                <w:rFonts w:ascii="Arial" w:cs="Arial" w:eastAsia="Arial" w:hAnsi="Arial"/>
                <w:sz w:val="13"/>
                <w:szCs w:val="13"/>
                <w:color w:val="auto"/>
              </w:rPr>
              <w:t>(15,649)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(789)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(30,798)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(13,567)</w:t>
            </w:r>
          </w:p>
        </w:tc>
      </w:tr>
      <w:tr>
        <w:trPr>
          <w:trHeight w:val="121"/>
        </w:trPr>
        <w:tc>
          <w:tcPr>
            <w:tcW w:w="2500" w:type="dxa"/>
            <w:vAlign w:val="bottom"/>
          </w:tcPr>
          <w:p>
            <w:pPr>
              <w:ind w:left="180"/>
              <w:spacing w:after="0" w:line="121" w:lineRule="exact"/>
              <w:rPr>
                <w:sz w:val="20"/>
                <w:szCs w:val="20"/>
                <w:color w:val="auto"/>
              </w:rPr>
            </w:pPr>
            <w:r>
              <w:rPr>
                <w:rFonts w:ascii="Arial" w:cs="Arial" w:eastAsia="Arial" w:hAnsi="Arial"/>
                <w:sz w:val="13"/>
                <w:szCs w:val="13"/>
                <w:color w:val="auto"/>
                <w:w w:val="98"/>
              </w:rPr>
              <w:t>Amortization and impairment of acquired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500" w:type="dxa"/>
            <w:vAlign w:val="bottom"/>
          </w:tcPr>
          <w:p>
            <w:pPr>
              <w:ind w:left="18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(3,705)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Acquisition related expenses</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(326)</w:t>
            </w:r>
          </w:p>
        </w:tc>
      </w:tr>
      <w:tr>
        <w:trPr>
          <w:trHeight w:val="360"/>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6"/>
              </w:rPr>
              <w:t>Selling and</w:t>
            </w:r>
          </w:p>
        </w:tc>
        <w:tc>
          <w:tcPr>
            <w:tcW w:w="160" w:type="dxa"/>
            <w:vAlign w:val="bottom"/>
          </w:tcPr>
          <w:p>
            <w:pPr>
              <w:spacing w:after="0"/>
              <w:rPr>
                <w:sz w:val="24"/>
                <w:szCs w:val="24"/>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Research and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Depreciation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left="137"/>
              <w:spacing w:after="0"/>
              <w:rPr>
                <w:sz w:val="20"/>
                <w:szCs w:val="20"/>
                <w:color w:val="auto"/>
              </w:rPr>
            </w:pPr>
            <w:r>
              <w:rPr>
                <w:rFonts w:ascii="Arial" w:cs="Arial" w:eastAsia="Arial" w:hAnsi="Arial"/>
                <w:sz w:val="13"/>
                <w:szCs w:val="13"/>
                <w:b w:val="1"/>
                <w:bCs w:val="1"/>
                <w:color w:val="auto"/>
                <w:w w:val="79"/>
              </w:rPr>
              <w:t>Business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Interest and other,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Three Months Ended June 30, 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0"/>
              </w:rPr>
              <w:t>marketing</w:t>
            </w:r>
          </w:p>
        </w:tc>
        <w:tc>
          <w:tcPr>
            <w:tcW w:w="160" w:type="dxa"/>
            <w:vAlign w:val="bottom"/>
          </w:tcPr>
          <w:p>
            <w:pPr>
              <w:spacing w:after="0"/>
              <w:rPr>
                <w:sz w:val="13"/>
                <w:szCs w:val="13"/>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amortization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left="137"/>
              <w:spacing w:after="0"/>
              <w:rPr>
                <w:sz w:val="20"/>
                <w:szCs w:val="20"/>
                <w:color w:val="auto"/>
              </w:rPr>
            </w:pPr>
            <w:r>
              <w:rPr>
                <w:rFonts w:ascii="Arial" w:cs="Arial" w:eastAsia="Arial" w:hAnsi="Arial"/>
                <w:sz w:val="13"/>
                <w:szCs w:val="13"/>
                <w:b w:val="1"/>
                <w:bCs w:val="1"/>
                <w:color w:val="auto"/>
                <w:w w:val="87"/>
              </w:rPr>
              <w:t>reorganization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net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 reported</w:t>
            </w: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91,821</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0"/>
              </w:rPr>
              <w:t>68,963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11,257</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386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10,425</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00" w:type="dxa"/>
            <w:vAlign w:val="bottom"/>
            <w:gridSpan w:val="3"/>
          </w:tcPr>
          <w:p>
            <w:pPr>
              <w:ind w:left="180"/>
              <w:spacing w:after="0" w:line="135" w:lineRule="exact"/>
              <w:rPr>
                <w:sz w:val="20"/>
                <w:szCs w:val="20"/>
                <w:color w:val="auto"/>
              </w:rPr>
            </w:pPr>
            <w:r>
              <w:rPr>
                <w:rFonts w:ascii="Arial" w:cs="Arial" w:eastAsia="Arial" w:hAnsi="Arial"/>
                <w:sz w:val="13"/>
                <w:szCs w:val="13"/>
                <w:color w:val="auto"/>
                <w:w w:val="87"/>
              </w:rPr>
              <w:t>Net effect from deferral and related cost of goods sold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(494)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7"/>
              </w:rPr>
              <w:t>(6,476)</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7"/>
              </w:rPr>
              <w:t>(6,591)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00" w:type="dxa"/>
            <w:vAlign w:val="bottom"/>
            <w:gridSpan w:val="3"/>
          </w:tcPr>
          <w:p>
            <w:pPr>
              <w:ind w:left="180"/>
              <w:spacing w:after="0" w:line="135" w:lineRule="exact"/>
              <w:rPr>
                <w:sz w:val="20"/>
                <w:szCs w:val="20"/>
                <w:color w:val="auto"/>
              </w:rPr>
            </w:pPr>
            <w:r>
              <w:rPr>
                <w:rFonts w:ascii="Arial" w:cs="Arial" w:eastAsia="Arial" w:hAnsi="Arial"/>
                <w:sz w:val="13"/>
                <w:szCs w:val="13"/>
                <w:color w:val="auto"/>
                <w:w w:val="90"/>
              </w:rPr>
              <w:t>Amortization and impairment of acquired intangibles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87"/>
              </w:rPr>
              <w:t>(1,560)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Impact of business reorganization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gridSpan w:val="5"/>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432"/>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MEASURE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8"/>
          </w:tcPr>
          <w:p>
            <w:pPr>
              <w:ind w:left="2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60" w:type="dxa"/>
            <w:vAlign w:val="bottom"/>
            <w:tcBorders>
              <w:bottom w:val="single" w:sz="8" w:color="CCEEFF"/>
            </w:tcBorders>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09"/>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445,423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70"/>
        </w:trPr>
        <w:tc>
          <w:tcPr>
            <w:tcW w:w="83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Net change in Restricted cash </w:t>
            </w:r>
            <w:r>
              <w:rPr>
                <w:rFonts w:ascii="Arial" w:cs="Arial" w:eastAsia="Arial" w:hAnsi="Arial"/>
                <w:sz w:val="29"/>
                <w:szCs w:val="29"/>
                <w:color w:val="auto"/>
                <w:vertAlign w:val="superscript"/>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rPr>
              <w:t>(121,420)</w:t>
            </w:r>
          </w:p>
        </w:tc>
        <w:tc>
          <w:tcPr>
            <w:tcW w:w="220" w:type="dxa"/>
            <w:vAlign w:val="bottom"/>
          </w:tcPr>
          <w:p>
            <w:pPr>
              <w:spacing w:after="0"/>
              <w:rPr>
                <w:sz w:val="23"/>
                <w:szCs w:val="2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(61,909)</w:t>
            </w:r>
          </w:p>
        </w:tc>
        <w:tc>
          <w:tcPr>
            <w:tcW w:w="20" w:type="dxa"/>
            <w:vAlign w:val="bottom"/>
          </w:tcPr>
          <w:p>
            <w:pPr>
              <w:spacing w:after="0"/>
              <w:rPr>
                <w:sz w:val="23"/>
                <w:szCs w:val="23"/>
                <w:color w:val="auto"/>
              </w:rPr>
            </w:pPr>
          </w:p>
        </w:tc>
      </w:tr>
      <w:tr>
        <w:trPr>
          <w:trHeight w:val="223"/>
        </w:trPr>
        <w:tc>
          <w:tcPr>
            <w:tcW w:w="8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Unrestricted Operating Cash Flow</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324,003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461"/>
              <w:spacing w:after="0"/>
              <w:rPr>
                <w:sz w:val="20"/>
                <w:szCs w:val="20"/>
                <w:color w:val="auto"/>
              </w:rPr>
            </w:pPr>
            <w:r>
              <w:rPr>
                <w:rFonts w:ascii="Arial" w:cs="Arial" w:eastAsia="Arial" w:hAnsi="Arial"/>
                <w:sz w:val="18"/>
                <w:szCs w:val="18"/>
                <w:b w:val="1"/>
                <w:bCs w:val="1"/>
                <w:color w:val="auto"/>
              </w:rPr>
              <w:t>FY 2021</w:t>
            </w:r>
          </w:p>
        </w:tc>
        <w:tc>
          <w:tcPr>
            <w:tcW w:w="2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8"/>
                <w:szCs w:val="18"/>
                <w:b w:val="1"/>
                <w:bCs w:val="1"/>
                <w:color w:val="auto"/>
              </w:rPr>
              <w:t>FY 2020</w:t>
            </w:r>
          </w:p>
        </w:tc>
      </w:tr>
      <w:tr>
        <w:trPr>
          <w:trHeight w:val="210"/>
        </w:trPr>
        <w:tc>
          <w:tcPr>
            <w:tcW w:w="66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beginning of period (4/1)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635,728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 end of period (6/30)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rPr>
              <w:t>757,148</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627,370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 Net change in Restricted cash</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(121,420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2020-08-03T15:20:12Z</dcterms:created>
  <dcterms:modified xsi:type="dcterms:W3CDTF">2020-08-03T15:20:12Z</dcterms:modified>
</cp:coreProperties>
</file>