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39"/>
        <w:spacing w:after="0"/>
        <w:rPr>
          <w:sz w:val="20"/>
          <w:szCs w:val="20"/>
          <w:color w:val="auto"/>
        </w:rPr>
      </w:pPr>
      <w:r>
        <w:rPr>
          <w:rFonts w:ascii="Courier New" w:cs="Courier New" w:eastAsia="Courier New" w:hAnsi="Courier New"/>
          <w:sz w:val="16"/>
          <w:szCs w:val="16"/>
          <w:color w:val="auto"/>
        </w:rPr>
        <w:t>UNITED STATES</w:t>
      </w:r>
    </w:p>
    <w:p>
      <w:pPr>
        <w:spacing w:after="0" w:line="34"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4"/>
          <w:szCs w:val="24"/>
          <w:color w:val="auto"/>
        </w:rPr>
      </w:pPr>
    </w:p>
    <w:p>
      <w:pPr>
        <w:jc w:val="center"/>
        <w:ind w:right="3839"/>
        <w:spacing w:after="0"/>
        <w:rPr>
          <w:sz w:val="20"/>
          <w:szCs w:val="20"/>
          <w:color w:val="auto"/>
        </w:rPr>
      </w:pPr>
      <w:r>
        <w:rPr>
          <w:rFonts w:ascii="Courier New" w:cs="Courier New" w:eastAsia="Courier New" w:hAnsi="Courier New"/>
          <w:sz w:val="16"/>
          <w:szCs w:val="16"/>
          <w:color w:val="auto"/>
        </w:rPr>
        <w:t>WASHINGTON, D.C. 20549</w:t>
      </w:r>
    </w:p>
    <w:p>
      <w:pPr>
        <w:spacing w:after="0" w:line="343" w:lineRule="exact"/>
        <w:rPr>
          <w:sz w:val="24"/>
          <w:szCs w:val="24"/>
          <w:color w:val="auto"/>
        </w:rPr>
      </w:pPr>
    </w:p>
    <w:p>
      <w:pPr>
        <w:ind w:left="3261"/>
        <w:spacing w:after="0"/>
        <w:rPr>
          <w:sz w:val="20"/>
          <w:szCs w:val="20"/>
          <w:color w:val="auto"/>
        </w:rPr>
      </w:pPr>
      <w:r>
        <w:rPr>
          <w:rFonts w:ascii="Courier New" w:cs="Courier New" w:eastAsia="Courier New" w:hAnsi="Courier New"/>
          <w:sz w:val="16"/>
          <w:szCs w:val="16"/>
          <w:color w:val="auto"/>
        </w:rPr>
        <w:t>FORM 10-QSB</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(Mark One)</w:t>
      </w:r>
    </w:p>
    <w:p>
      <w:pPr>
        <w:spacing w:after="0" w:line="188" w:lineRule="exact"/>
        <w:rPr>
          <w:sz w:val="24"/>
          <w:szCs w:val="24"/>
          <w:color w:val="auto"/>
        </w:rPr>
      </w:pPr>
    </w:p>
    <w:p>
      <w:pPr>
        <w:ind w:left="481" w:right="4020" w:hanging="481"/>
        <w:spacing w:after="0" w:line="364" w:lineRule="auto"/>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under Section 13 or 15(d) of the Securities Exchange Act of 1934 For the quarterly period ended July 31, 1997</w:t>
      </w:r>
    </w:p>
    <w:p>
      <w:pPr>
        <w:spacing w:after="0" w:line="5" w:lineRule="exact"/>
        <w:rPr>
          <w:sz w:val="24"/>
          <w:szCs w:val="24"/>
          <w:color w:val="auto"/>
        </w:rPr>
      </w:pPr>
    </w:p>
    <w:p>
      <w:pPr>
        <w:ind w:left="3741"/>
        <w:spacing w:after="0"/>
        <w:rPr>
          <w:sz w:val="20"/>
          <w:szCs w:val="20"/>
          <w:color w:val="auto"/>
        </w:rPr>
      </w:pPr>
      <w:r>
        <w:rPr>
          <w:rFonts w:ascii="Courier New" w:cs="Courier New" w:eastAsia="Courier New" w:hAnsi="Courier New"/>
          <w:sz w:val="16"/>
          <w:szCs w:val="16"/>
          <w:color w:val="auto"/>
        </w:rPr>
        <w:t>OR</w:t>
      </w:r>
    </w:p>
    <w:p>
      <w:pPr>
        <w:spacing w:after="0" w:line="188" w:lineRule="exact"/>
        <w:rPr>
          <w:sz w:val="24"/>
          <w:szCs w:val="24"/>
          <w:color w:val="auto"/>
        </w:rPr>
      </w:pPr>
    </w:p>
    <w:p>
      <w:pPr>
        <w:ind w:left="481" w:right="3940" w:hanging="481"/>
        <w:spacing w:after="0" w:line="404" w:lineRule="auto"/>
        <w:tabs>
          <w:tab w:leader="none" w:pos="19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For the transition period from __________to__________</w:t>
      </w:r>
    </w:p>
    <w:p>
      <w:pPr>
        <w:spacing w:after="0" w:line="167" w:lineRule="exact"/>
        <w:rPr>
          <w:sz w:val="24"/>
          <w:szCs w:val="24"/>
          <w:color w:val="auto"/>
        </w:rPr>
      </w:pPr>
    </w:p>
    <w:p>
      <w:pPr>
        <w:ind w:left="2401"/>
        <w:spacing w:after="0"/>
        <w:rPr>
          <w:sz w:val="20"/>
          <w:szCs w:val="20"/>
          <w:color w:val="auto"/>
        </w:rPr>
      </w:pPr>
      <w:r>
        <w:rPr>
          <w:rFonts w:ascii="Courier New" w:cs="Courier New" w:eastAsia="Courier New" w:hAnsi="Courier New"/>
          <w:sz w:val="16"/>
          <w:szCs w:val="16"/>
          <w:color w:val="auto"/>
        </w:rPr>
        <w:t>Commission File Number 0-29230</w:t>
      </w:r>
    </w:p>
    <w:p>
      <w:pPr>
        <w:spacing w:after="0" w:line="188" w:lineRule="exact"/>
        <w:rPr>
          <w:sz w:val="24"/>
          <w:szCs w:val="24"/>
          <w:color w:val="auto"/>
        </w:rPr>
      </w:pPr>
    </w:p>
    <w:p>
      <w:pPr>
        <w:ind w:left="2201"/>
        <w:spacing w:after="0"/>
        <w:rPr>
          <w:sz w:val="20"/>
          <w:szCs w:val="20"/>
          <w:color w:val="auto"/>
        </w:rPr>
      </w:pPr>
      <w:r>
        <w:rPr>
          <w:rFonts w:ascii="Courier New" w:cs="Courier New" w:eastAsia="Courier New" w:hAnsi="Courier New"/>
          <w:sz w:val="16"/>
          <w:szCs w:val="16"/>
          <w:color w:val="auto"/>
        </w:rPr>
        <w:t>TAKE-TWO INTERACTIVE SOFTWARE, INC.</w:t>
      </w:r>
    </w:p>
    <w:p>
      <w:pPr>
        <w:spacing w:after="0" w:line="188" w:lineRule="exact"/>
        <w:rPr>
          <w:sz w:val="24"/>
          <w:szCs w:val="24"/>
          <w:color w:val="auto"/>
        </w:rPr>
      </w:pPr>
    </w:p>
    <w:tbl>
      <w:tblPr>
        <w:tblLayout w:type="fixed"/>
        <w:tblInd w:w="1" w:type="dxa"/>
        <w:tblCellMar>
          <w:top w:w="0" w:type="dxa"/>
          <w:left w:w="0" w:type="dxa"/>
          <w:bottom w:w="0" w:type="dxa"/>
          <w:right w:w="0" w:type="dxa"/>
        </w:tblCellMar>
      </w:tblPr>
      <w:tr>
        <w:trPr>
          <w:trHeight w:val="185"/>
        </w:trPr>
        <w:tc>
          <w:tcPr>
            <w:tcW w:w="4180" w:type="dxa"/>
            <w:vAlign w:val="bottom"/>
          </w:tcPr>
          <w:p>
            <w:pPr>
              <w:spacing w:after="0"/>
              <w:rPr>
                <w:sz w:val="20"/>
                <w:szCs w:val="20"/>
                <w:color w:val="auto"/>
              </w:rPr>
            </w:pPr>
            <w:r>
              <w:rPr>
                <w:rFonts w:ascii="Courier New" w:cs="Courier New" w:eastAsia="Courier New" w:hAnsi="Courier New"/>
                <w:sz w:val="16"/>
                <w:szCs w:val="16"/>
                <w:color w:val="auto"/>
              </w:rPr>
              <w:t>DELAWARE</w:t>
            </w:r>
          </w:p>
        </w:tc>
        <w:tc>
          <w:tcPr>
            <w:tcW w:w="35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51-0350842</w:t>
            </w:r>
          </w:p>
        </w:tc>
      </w:tr>
      <w:tr>
        <w:trPr>
          <w:trHeight w:val="271"/>
        </w:trPr>
        <w:tc>
          <w:tcPr>
            <w:tcW w:w="4180" w:type="dxa"/>
            <w:vAlign w:val="bottom"/>
          </w:tcPr>
          <w:p>
            <w:pPr>
              <w:spacing w:after="0"/>
              <w:rPr>
                <w:sz w:val="20"/>
                <w:szCs w:val="20"/>
                <w:color w:val="auto"/>
              </w:rPr>
            </w:pPr>
            <w:r>
              <w:rPr>
                <w:rFonts w:ascii="Courier New" w:cs="Courier New" w:eastAsia="Courier New" w:hAnsi="Courier New"/>
                <w:sz w:val="16"/>
                <w:szCs w:val="16"/>
                <w:color w:val="auto"/>
              </w:rPr>
              <w:t>(State of incorporation or organization)</w:t>
            </w:r>
          </w:p>
        </w:tc>
        <w:tc>
          <w:tcPr>
            <w:tcW w:w="350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9"/>
              </w:rPr>
              <w:t>(IRS Employer Identification No.)</w:t>
            </w:r>
          </w:p>
        </w:tc>
      </w:tr>
      <w:tr>
        <w:trPr>
          <w:trHeight w:val="283"/>
        </w:trPr>
        <w:tc>
          <w:tcPr>
            <w:tcW w:w="4180" w:type="dxa"/>
            <w:vAlign w:val="bottom"/>
          </w:tcPr>
          <w:p>
            <w:pPr>
              <w:spacing w:after="0"/>
              <w:rPr>
                <w:sz w:val="20"/>
                <w:szCs w:val="20"/>
                <w:color w:val="auto"/>
              </w:rPr>
            </w:pPr>
            <w:r>
              <w:rPr>
                <w:rFonts w:ascii="Courier New" w:cs="Courier New" w:eastAsia="Courier New" w:hAnsi="Courier New"/>
                <w:sz w:val="16"/>
                <w:szCs w:val="16"/>
                <w:color w:val="auto"/>
              </w:rPr>
              <w:t>575 Broadway,  New York, NY</w:t>
            </w:r>
          </w:p>
        </w:tc>
        <w:tc>
          <w:tcPr>
            <w:tcW w:w="920" w:type="dxa"/>
            <w:vAlign w:val="bottom"/>
          </w:tcPr>
          <w:p>
            <w:pPr>
              <w:ind w:left="340"/>
              <w:spacing w:after="0"/>
              <w:rPr>
                <w:sz w:val="20"/>
                <w:szCs w:val="20"/>
                <w:color w:val="auto"/>
              </w:rPr>
            </w:pPr>
            <w:r>
              <w:rPr>
                <w:rFonts w:ascii="Courier New" w:cs="Courier New" w:eastAsia="Courier New" w:hAnsi="Courier New"/>
                <w:sz w:val="16"/>
                <w:szCs w:val="16"/>
                <w:color w:val="auto"/>
              </w:rPr>
              <w:t>10012</w:t>
            </w:r>
          </w:p>
        </w:tc>
        <w:tc>
          <w:tcPr>
            <w:tcW w:w="2580" w:type="dxa"/>
            <w:vAlign w:val="bottom"/>
          </w:tcPr>
          <w:p>
            <w:pPr>
              <w:spacing w:after="0"/>
              <w:rPr>
                <w:sz w:val="24"/>
                <w:szCs w:val="24"/>
                <w:color w:val="auto"/>
              </w:rPr>
            </w:pPr>
          </w:p>
        </w:tc>
      </w:tr>
      <w:tr>
        <w:trPr>
          <w:trHeight w:val="271"/>
        </w:trPr>
        <w:tc>
          <w:tcPr>
            <w:tcW w:w="4180" w:type="dxa"/>
            <w:vAlign w:val="bottom"/>
          </w:tcPr>
          <w:p>
            <w:pPr>
              <w:spacing w:after="0"/>
              <w:rPr>
                <w:sz w:val="20"/>
                <w:szCs w:val="20"/>
                <w:color w:val="auto"/>
              </w:rPr>
            </w:pPr>
            <w:r>
              <w:rPr>
                <w:rFonts w:ascii="Courier New" w:cs="Courier New" w:eastAsia="Courier New" w:hAnsi="Courier New"/>
                <w:sz w:val="16"/>
                <w:szCs w:val="16"/>
                <w:color w:val="auto"/>
              </w:rPr>
              <w:t>(Address of principal executive offices)</w:t>
            </w:r>
          </w:p>
        </w:tc>
        <w:tc>
          <w:tcPr>
            <w:tcW w:w="350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(Zip Code)</w:t>
            </w:r>
          </w:p>
        </w:tc>
      </w:tr>
      <w:tr>
        <w:trPr>
          <w:trHeight w:val="370"/>
        </w:trPr>
        <w:tc>
          <w:tcPr>
            <w:tcW w:w="5100" w:type="dxa"/>
            <w:vAlign w:val="bottom"/>
            <w:gridSpan w:val="2"/>
          </w:tcPr>
          <w:p>
            <w:pPr>
              <w:spacing w:after="0"/>
              <w:rPr>
                <w:sz w:val="20"/>
                <w:szCs w:val="20"/>
                <w:color w:val="auto"/>
              </w:rPr>
            </w:pPr>
            <w:r>
              <w:rPr>
                <w:rFonts w:ascii="Courier New" w:cs="Courier New" w:eastAsia="Courier New" w:hAnsi="Courier New"/>
                <w:sz w:val="16"/>
                <w:szCs w:val="16"/>
                <w:color w:val="auto"/>
              </w:rPr>
              <w:t>Registrant's telephone number, including area code</w:t>
            </w:r>
          </w:p>
        </w:tc>
        <w:tc>
          <w:tcPr>
            <w:tcW w:w="2580" w:type="dxa"/>
            <w:vAlign w:val="bottom"/>
          </w:tcPr>
          <w:p>
            <w:pPr>
              <w:jc w:val="right"/>
              <w:ind w:right="1060"/>
              <w:spacing w:after="0"/>
              <w:rPr>
                <w:sz w:val="20"/>
                <w:szCs w:val="20"/>
                <w:color w:val="auto"/>
              </w:rPr>
            </w:pPr>
            <w:r>
              <w:rPr>
                <w:rFonts w:ascii="Courier New" w:cs="Courier New" w:eastAsia="Courier New" w:hAnsi="Courier New"/>
                <w:sz w:val="16"/>
                <w:szCs w:val="16"/>
                <w:color w:val="auto"/>
              </w:rPr>
              <w:t>(212) 941-2988</w:t>
            </w:r>
          </w:p>
        </w:tc>
      </w:tr>
    </w:tbl>
    <w:p>
      <w:pPr>
        <w:spacing w:after="0" w:line="98" w:lineRule="exact"/>
        <w:rPr>
          <w:sz w:val="24"/>
          <w:szCs w:val="24"/>
          <w:color w:val="auto"/>
        </w:rPr>
      </w:pPr>
    </w:p>
    <w:p>
      <w:pPr>
        <w:jc w:val="both"/>
        <w:ind w:left="1" w:right="3840"/>
        <w:spacing w:after="0" w:line="284"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X No__</w:t>
      </w:r>
    </w:p>
    <w:p>
      <w:pPr>
        <w:spacing w:after="0" w:line="66" w:lineRule="exact"/>
        <w:rPr>
          <w:sz w:val="24"/>
          <w:szCs w:val="24"/>
          <w:color w:val="auto"/>
        </w:rPr>
      </w:pPr>
    </w:p>
    <w:p>
      <w:pPr>
        <w:ind w:left="1" w:right="3940"/>
        <w:spacing w:after="0" w:line="364" w:lineRule="auto"/>
        <w:rPr>
          <w:sz w:val="20"/>
          <w:szCs w:val="20"/>
          <w:color w:val="auto"/>
        </w:rPr>
      </w:pPr>
      <w:r>
        <w:rPr>
          <w:rFonts w:ascii="Courier New" w:cs="Courier New" w:eastAsia="Courier New" w:hAnsi="Courier New"/>
          <w:sz w:val="16"/>
          <w:szCs w:val="16"/>
          <w:color w:val="auto"/>
        </w:rPr>
        <w:t>As of September 9, 1997, there were 9,195,043 shares of the registrant's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1"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TAKE-TWO INTERACTIVE</w:t>
            </w:r>
          </w:p>
        </w:tc>
        <w:tc>
          <w:tcPr>
            <w:tcW w:w="7720" w:type="dxa"/>
            <w:vAlign w:val="bottom"/>
          </w:tcPr>
          <w:p>
            <w:pPr>
              <w:ind w:left="40"/>
              <w:spacing w:after="0"/>
              <w:rPr>
                <w:sz w:val="20"/>
                <w:szCs w:val="20"/>
                <w:color w:val="auto"/>
              </w:rPr>
            </w:pPr>
            <w:r>
              <w:rPr>
                <w:rFonts w:ascii="Courier New" w:cs="Courier New" w:eastAsia="Courier New" w:hAnsi="Courier New"/>
                <w:sz w:val="16"/>
                <w:szCs w:val="16"/>
                <w:color w:val="auto"/>
              </w:rPr>
              <w:t>SOFTWARE, INC. and SUBSIDIARIES</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920" w:type="dxa"/>
            <w:vAlign w:val="bottom"/>
          </w:tcPr>
          <w:p>
            <w:pPr>
              <w:spacing w:after="0"/>
              <w:rPr>
                <w:sz w:val="23"/>
                <w:szCs w:val="23"/>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QUARTER</w:t>
            </w:r>
          </w:p>
        </w:tc>
        <w:tc>
          <w:tcPr>
            <w:tcW w:w="7720" w:type="dxa"/>
            <w:vAlign w:val="bottom"/>
          </w:tcPr>
          <w:p>
            <w:pPr>
              <w:ind w:left="40"/>
              <w:spacing w:after="0"/>
              <w:rPr>
                <w:sz w:val="20"/>
                <w:szCs w:val="20"/>
                <w:color w:val="auto"/>
              </w:rPr>
            </w:pPr>
            <w:r>
              <w:rPr>
                <w:rFonts w:ascii="Courier New" w:cs="Courier New" w:eastAsia="Courier New" w:hAnsi="Courier New"/>
                <w:sz w:val="16"/>
                <w:szCs w:val="16"/>
                <w:color w:val="auto"/>
              </w:rPr>
              <w:t>ENDED JULY 31, 1997</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720" w:type="dxa"/>
            <w:vAlign w:val="bottom"/>
          </w:tcPr>
          <w:p>
            <w:pPr>
              <w:ind w:left="40"/>
              <w:spacing w:after="0"/>
              <w:rPr>
                <w:sz w:val="20"/>
                <w:szCs w:val="20"/>
                <w:color w:val="auto"/>
              </w:rPr>
            </w:pPr>
            <w:r>
              <w:rPr>
                <w:rFonts w:ascii="Courier New" w:cs="Courier New" w:eastAsia="Courier New" w:hAnsi="Courier New"/>
                <w:sz w:val="16"/>
                <w:szCs w:val="16"/>
                <w:color w:val="auto"/>
              </w:rPr>
              <w:t>FORM 10-QSB</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720" w:type="dxa"/>
            <w:vAlign w:val="bottom"/>
          </w:tcPr>
          <w:p>
            <w:pPr>
              <w:ind w:left="320"/>
              <w:spacing w:after="0"/>
              <w:rPr>
                <w:sz w:val="20"/>
                <w:szCs w:val="20"/>
                <w:color w:val="auto"/>
              </w:rPr>
            </w:pPr>
            <w:r>
              <w:rPr>
                <w:rFonts w:ascii="Courier New" w:cs="Courier New" w:eastAsia="Courier New" w:hAnsi="Courier New"/>
                <w:sz w:val="16"/>
                <w:szCs w:val="16"/>
                <w:color w:val="auto"/>
              </w:rPr>
              <w:t>INDEX</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9"/>
        </w:trPr>
        <w:tc>
          <w:tcPr>
            <w:tcW w:w="92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FINANCIAL INFORMATION</w:t>
            </w:r>
          </w:p>
        </w:tc>
        <w:tc>
          <w:tcPr>
            <w:tcW w:w="7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Financial Statements</w:t>
            </w:r>
          </w:p>
        </w:tc>
        <w:tc>
          <w:tcPr>
            <w:tcW w:w="7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20" w:type="dxa"/>
            <w:vAlign w:val="bottom"/>
          </w:tcPr>
          <w:p>
            <w:pPr>
              <w:spacing w:after="0"/>
              <w:rPr>
                <w:sz w:val="24"/>
                <w:szCs w:val="24"/>
                <w:color w:val="auto"/>
              </w:rPr>
            </w:pPr>
          </w:p>
        </w:tc>
        <w:tc>
          <w:tcPr>
            <w:tcW w:w="10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Consolidated Balance Sheet - As of July 31, 1997 (unaudited)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283"/>
        </w:trPr>
        <w:tc>
          <w:tcPr>
            <w:tcW w:w="9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Consolidated Statements</w:t>
            </w:r>
          </w:p>
        </w:tc>
        <w:tc>
          <w:tcPr>
            <w:tcW w:w="7720" w:type="dxa"/>
            <w:vAlign w:val="bottom"/>
          </w:tcPr>
          <w:p>
            <w:pPr>
              <w:ind w:left="40"/>
              <w:spacing w:after="0"/>
              <w:rPr>
                <w:sz w:val="20"/>
                <w:szCs w:val="20"/>
                <w:color w:val="auto"/>
              </w:rPr>
            </w:pPr>
            <w:r>
              <w:rPr>
                <w:rFonts w:ascii="Courier New" w:cs="Courier New" w:eastAsia="Courier New" w:hAnsi="Courier New"/>
                <w:sz w:val="16"/>
                <w:szCs w:val="16"/>
                <w:color w:val="auto"/>
              </w:rPr>
              <w:t>of Operations - For the three months ended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10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July 31, 1996 and 1997 and the nine months ended July 31, 1996 and</w:t>
            </w:r>
          </w:p>
        </w:tc>
        <w:tc>
          <w:tcPr>
            <w:tcW w:w="4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271"/>
        </w:trPr>
        <w:tc>
          <w:tcPr>
            <w:tcW w:w="9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1997 (unaudited)</w:t>
            </w:r>
          </w:p>
        </w:tc>
        <w:tc>
          <w:tcPr>
            <w:tcW w:w="7720" w:type="dxa"/>
            <w:vAlign w:val="bottom"/>
          </w:tcPr>
          <w:p>
            <w:pPr>
              <w:spacing w:after="0"/>
              <w:rPr>
                <w:sz w:val="23"/>
                <w:szCs w:val="23"/>
                <w:color w:val="auto"/>
              </w:rPr>
            </w:pP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9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Consolidated Statements</w:t>
            </w:r>
          </w:p>
        </w:tc>
        <w:tc>
          <w:tcPr>
            <w:tcW w:w="7720" w:type="dxa"/>
            <w:vAlign w:val="bottom"/>
          </w:tcPr>
          <w:p>
            <w:pPr>
              <w:ind w:left="40"/>
              <w:spacing w:after="0"/>
              <w:rPr>
                <w:sz w:val="20"/>
                <w:szCs w:val="20"/>
                <w:color w:val="auto"/>
              </w:rPr>
            </w:pPr>
            <w:r>
              <w:rPr>
                <w:rFonts w:ascii="Courier New" w:cs="Courier New" w:eastAsia="Courier New" w:hAnsi="Courier New"/>
                <w:sz w:val="16"/>
                <w:szCs w:val="16"/>
                <w:color w:val="auto"/>
              </w:rPr>
              <w:t>of Cash Flows -  For the nine months ended July 31, 1996 and 1997 (unaudited)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370"/>
        </w:trPr>
        <w:tc>
          <w:tcPr>
            <w:tcW w:w="920" w:type="dxa"/>
            <w:vAlign w:val="bottom"/>
          </w:tcPr>
          <w:p>
            <w:pPr>
              <w:spacing w:after="0"/>
              <w:rPr>
                <w:sz w:val="24"/>
                <w:szCs w:val="24"/>
                <w:color w:val="auto"/>
              </w:rPr>
            </w:pPr>
          </w:p>
        </w:tc>
        <w:tc>
          <w:tcPr>
            <w:tcW w:w="10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Notes to Unaudited Consolidated Financial Statements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Management's Discussion</w:t>
            </w:r>
          </w:p>
        </w:tc>
        <w:tc>
          <w:tcPr>
            <w:tcW w:w="7720" w:type="dxa"/>
            <w:vAlign w:val="bottom"/>
          </w:tcPr>
          <w:p>
            <w:pPr>
              <w:ind w:left="40"/>
              <w:spacing w:after="0"/>
              <w:rPr>
                <w:sz w:val="20"/>
                <w:szCs w:val="20"/>
                <w:color w:val="auto"/>
              </w:rPr>
            </w:pPr>
            <w:r>
              <w:rPr>
                <w:rFonts w:ascii="Courier New" w:cs="Courier New" w:eastAsia="Courier New" w:hAnsi="Courier New"/>
                <w:sz w:val="16"/>
                <w:szCs w:val="16"/>
                <w:color w:val="auto"/>
              </w:rPr>
              <w:t>and Analysis of Financial Condition and Results of  Operations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OTHER INFORMATION</w:t>
            </w:r>
          </w:p>
        </w:tc>
        <w:tc>
          <w:tcPr>
            <w:tcW w:w="7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Legal Proceedings</w:t>
            </w:r>
          </w:p>
        </w:tc>
        <w:tc>
          <w:tcPr>
            <w:tcW w:w="77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Changes in Securities</w:t>
            </w:r>
          </w:p>
        </w:tc>
        <w:tc>
          <w:tcPr>
            <w:tcW w:w="77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370"/>
        </w:trPr>
        <w:tc>
          <w:tcPr>
            <w:tcW w:w="92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2400" w:type="dxa"/>
            <w:vAlign w:val="bottom"/>
          </w:tcPr>
          <w:p>
            <w:pPr>
              <w:ind w:left="140"/>
              <w:spacing w:after="0"/>
              <w:rPr>
                <w:sz w:val="20"/>
                <w:szCs w:val="20"/>
                <w:color w:val="auto"/>
              </w:rPr>
            </w:pPr>
            <w:r>
              <w:rPr>
                <w:rFonts w:ascii="Courier New" w:cs="Courier New" w:eastAsia="Courier New" w:hAnsi="Courier New"/>
                <w:sz w:val="16"/>
                <w:szCs w:val="16"/>
                <w:color w:val="auto"/>
              </w:rPr>
              <w:t>Exhibits and Reports on</w:t>
            </w:r>
          </w:p>
        </w:tc>
        <w:tc>
          <w:tcPr>
            <w:tcW w:w="7720" w:type="dxa"/>
            <w:vAlign w:val="bottom"/>
          </w:tcPr>
          <w:p>
            <w:pPr>
              <w:ind w:left="40"/>
              <w:spacing w:after="0"/>
              <w:rPr>
                <w:sz w:val="20"/>
                <w:szCs w:val="20"/>
                <w:color w:val="auto"/>
              </w:rPr>
            </w:pPr>
            <w:r>
              <w:rPr>
                <w:rFonts w:ascii="Courier New" w:cs="Courier New" w:eastAsia="Courier New" w:hAnsi="Courier New"/>
                <w:sz w:val="16"/>
                <w:szCs w:val="16"/>
                <w:color w:val="auto"/>
              </w:rPr>
              <w:t>Form 8-K</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bl>
    <w:p>
      <w:pPr>
        <w:sectPr>
          <w:pgSz w:w="11900" w:h="16838" w:orient="portrait"/>
          <w:cols w:equalWidth="0" w:num="1">
            <w:col w:w="11521"/>
          </w:cols>
          <w:pgMar w:left="239" w:top="210" w:right="1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Item 1.</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Balance Sheet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July 31, 1997 (unaudited)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ind w:left="2980"/>
              <w:spacing w:after="0"/>
              <w:rPr>
                <w:sz w:val="20"/>
                <w:szCs w:val="20"/>
                <w:color w:val="auto"/>
              </w:rPr>
            </w:pPr>
            <w:r>
              <w:rPr>
                <w:rFonts w:ascii="Courier New" w:cs="Courier New" w:eastAsia="Courier New" w:hAnsi="Courier New"/>
                <w:sz w:val="16"/>
                <w:szCs w:val="16"/>
                <w:color w:val="auto"/>
              </w:rPr>
              <w:t>ASSETS:</w:t>
            </w:r>
          </w:p>
        </w:tc>
        <w:tc>
          <w:tcPr>
            <w:tcW w:w="182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July 31, 1997</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7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8"/>
              </w:rPr>
              <w:t>(unaudited)</w:t>
            </w:r>
          </w:p>
        </w:tc>
        <w:tc>
          <w:tcPr>
            <w:tcW w:w="0" w:type="dxa"/>
            <w:vAlign w:val="bottom"/>
          </w:tcPr>
          <w:p>
            <w:pPr>
              <w:spacing w:after="0"/>
              <w:rPr>
                <w:sz w:val="1"/>
                <w:szCs w:val="1"/>
                <w:color w:val="auto"/>
              </w:rPr>
            </w:pPr>
          </w:p>
        </w:tc>
      </w:tr>
      <w:tr>
        <w:trPr>
          <w:trHeight w:val="283"/>
        </w:trPr>
        <w:tc>
          <w:tcPr>
            <w:tcW w:w="79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660" w:type="dxa"/>
            <w:vAlign w:val="bottom"/>
            <w:vMerge w:val="restart"/>
          </w:tcPr>
          <w:p>
            <w:pPr>
              <w:ind w:left="56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3,769,544</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Cash and cash equivalents</w:t>
            </w:r>
          </w:p>
        </w:tc>
        <w:tc>
          <w:tcPr>
            <w:tcW w:w="6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Accounts receivable, net of allowances of $633,076</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3,038,095</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Inventories</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456,022</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Prepaid royalties</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1,286,444</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Due from stockholder</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43,279</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Prepaids &amp; other current assets</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279,033</w:t>
            </w:r>
          </w:p>
        </w:tc>
        <w:tc>
          <w:tcPr>
            <w:tcW w:w="0" w:type="dxa"/>
            <w:vAlign w:val="bottom"/>
          </w:tcPr>
          <w:p>
            <w:pPr>
              <w:spacing w:after="0"/>
              <w:rPr>
                <w:sz w:val="1"/>
                <w:szCs w:val="1"/>
                <w:color w:val="auto"/>
              </w:rPr>
            </w:pPr>
          </w:p>
        </w:tc>
      </w:tr>
      <w:tr>
        <w:trPr>
          <w:trHeight w:val="185"/>
        </w:trPr>
        <w:tc>
          <w:tcPr>
            <w:tcW w:w="7980" w:type="dxa"/>
            <w:vAlign w:val="bottom"/>
            <w:vMerge w:val="restart"/>
          </w:tcPr>
          <w:p>
            <w:pPr>
              <w:ind w:left="1060"/>
              <w:spacing w:after="0"/>
              <w:rPr>
                <w:sz w:val="20"/>
                <w:szCs w:val="20"/>
                <w:color w:val="auto"/>
              </w:rPr>
            </w:pPr>
            <w:r>
              <w:rPr>
                <w:rFonts w:ascii="Courier New" w:cs="Courier New" w:eastAsia="Courier New" w:hAnsi="Courier New"/>
                <w:sz w:val="16"/>
                <w:szCs w:val="16"/>
                <w:color w:val="auto"/>
              </w:rPr>
              <w:t>Total current assets</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798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8,872,417</w:t>
            </w:r>
          </w:p>
        </w:tc>
        <w:tc>
          <w:tcPr>
            <w:tcW w:w="0" w:type="dxa"/>
            <w:vAlign w:val="bottom"/>
          </w:tcPr>
          <w:p>
            <w:pPr>
              <w:spacing w:after="0"/>
              <w:rPr>
                <w:sz w:val="1"/>
                <w:szCs w:val="1"/>
                <w:color w:val="auto"/>
              </w:rPr>
            </w:pPr>
          </w:p>
        </w:tc>
      </w:tr>
      <w:tr>
        <w:trPr>
          <w:trHeight w:val="283"/>
        </w:trPr>
        <w:tc>
          <w:tcPr>
            <w:tcW w:w="7980" w:type="dxa"/>
            <w:vAlign w:val="bottom"/>
          </w:tcPr>
          <w:p>
            <w:pPr>
              <w:spacing w:after="0"/>
              <w:rPr>
                <w:sz w:val="20"/>
                <w:szCs w:val="20"/>
                <w:color w:val="auto"/>
              </w:rPr>
            </w:pPr>
            <w:r>
              <w:rPr>
                <w:rFonts w:ascii="Courier New" w:cs="Courier New" w:eastAsia="Courier New" w:hAnsi="Courier New"/>
                <w:sz w:val="16"/>
                <w:szCs w:val="16"/>
                <w:color w:val="auto"/>
              </w:rPr>
              <w:t>Fixed assets, net</w:t>
            </w:r>
          </w:p>
        </w:tc>
        <w:tc>
          <w:tcPr>
            <w:tcW w:w="66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1,304,735</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20"/>
                <w:szCs w:val="20"/>
                <w:color w:val="auto"/>
              </w:rPr>
            </w:pPr>
            <w:r>
              <w:rPr>
                <w:rFonts w:ascii="Courier New" w:cs="Courier New" w:eastAsia="Courier New" w:hAnsi="Courier New"/>
                <w:sz w:val="16"/>
                <w:szCs w:val="16"/>
                <w:color w:val="auto"/>
              </w:rPr>
              <w:t>Capitalized software development costs, net</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3,394,305</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20"/>
                <w:szCs w:val="20"/>
                <w:color w:val="auto"/>
              </w:rPr>
            </w:pPr>
            <w:r>
              <w:rPr>
                <w:rFonts w:ascii="Courier New" w:cs="Courier New" w:eastAsia="Courier New" w:hAnsi="Courier New"/>
                <w:sz w:val="16"/>
                <w:szCs w:val="16"/>
                <w:color w:val="auto"/>
              </w:rPr>
              <w:t>Intangibles, net</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7,280,182</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62,923</w:t>
            </w:r>
          </w:p>
        </w:tc>
        <w:tc>
          <w:tcPr>
            <w:tcW w:w="0" w:type="dxa"/>
            <w:vAlign w:val="bottom"/>
          </w:tcPr>
          <w:p>
            <w:pPr>
              <w:spacing w:after="0"/>
              <w:rPr>
                <w:sz w:val="1"/>
                <w:szCs w:val="1"/>
                <w:color w:val="auto"/>
              </w:rPr>
            </w:pPr>
          </w:p>
        </w:tc>
      </w:tr>
      <w:tr>
        <w:trPr>
          <w:trHeight w:val="185"/>
        </w:trPr>
        <w:tc>
          <w:tcPr>
            <w:tcW w:w="7980" w:type="dxa"/>
            <w:vAlign w:val="bottom"/>
            <w:vMerge w:val="restart"/>
          </w:tcPr>
          <w:p>
            <w:pPr>
              <w:ind w:left="1060"/>
              <w:spacing w:after="0"/>
              <w:rPr>
                <w:sz w:val="20"/>
                <w:szCs w:val="20"/>
                <w:color w:val="auto"/>
              </w:rPr>
            </w:pPr>
            <w:r>
              <w:rPr>
                <w:rFonts w:ascii="Courier New" w:cs="Courier New" w:eastAsia="Courier New" w:hAnsi="Courier New"/>
                <w:sz w:val="16"/>
                <w:szCs w:val="16"/>
                <w:color w:val="auto"/>
              </w:rPr>
              <w:t>Total assets</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980" w:type="dxa"/>
            <w:vAlign w:val="bottom"/>
            <w:vMerge w:val="continue"/>
          </w:tcPr>
          <w:p>
            <w:pPr>
              <w:spacing w:after="0"/>
              <w:rPr>
                <w:sz w:val="16"/>
                <w:szCs w:val="16"/>
                <w:color w:val="auto"/>
              </w:rPr>
            </w:pP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$ 20,914,562</w:t>
            </w:r>
          </w:p>
        </w:tc>
        <w:tc>
          <w:tcPr>
            <w:tcW w:w="0" w:type="dxa"/>
            <w:vAlign w:val="bottom"/>
          </w:tcPr>
          <w:p>
            <w:pPr>
              <w:spacing w:after="0"/>
              <w:rPr>
                <w:sz w:val="1"/>
                <w:szCs w:val="1"/>
                <w:color w:val="auto"/>
              </w:rPr>
            </w:pPr>
          </w:p>
        </w:tc>
      </w:tr>
      <w:tr>
        <w:trPr>
          <w:trHeight w:val="271"/>
        </w:trPr>
        <w:tc>
          <w:tcPr>
            <w:tcW w:w="7980" w:type="dxa"/>
            <w:vAlign w:val="bottom"/>
          </w:tcPr>
          <w:p>
            <w:pPr>
              <w:spacing w:after="0"/>
              <w:rPr>
                <w:sz w:val="23"/>
                <w:szCs w:val="23"/>
                <w:color w:val="auto"/>
              </w:rPr>
            </w:pP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0"/>
        </w:trPr>
        <w:tc>
          <w:tcPr>
            <w:tcW w:w="7980" w:type="dxa"/>
            <w:vAlign w:val="bottom"/>
          </w:tcPr>
          <w:p>
            <w:pPr>
              <w:ind w:left="1640"/>
              <w:spacing w:after="0"/>
              <w:rPr>
                <w:sz w:val="20"/>
                <w:szCs w:val="20"/>
                <w:color w:val="auto"/>
              </w:rPr>
            </w:pPr>
            <w:r>
              <w:rPr>
                <w:rFonts w:ascii="Courier New" w:cs="Courier New" w:eastAsia="Courier New" w:hAnsi="Courier New"/>
                <w:sz w:val="16"/>
                <w:szCs w:val="16"/>
                <w:color w:val="auto"/>
              </w:rPr>
              <w:t>LIABILITIES and STOCKHOLDERS' EQUITY:</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9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660" w:type="dxa"/>
            <w:vAlign w:val="bottom"/>
            <w:vMerge w:val="restart"/>
          </w:tcPr>
          <w:p>
            <w:pPr>
              <w:ind w:left="56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553,101</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Current portion of notes payable, net of discount</w:t>
            </w:r>
          </w:p>
        </w:tc>
        <w:tc>
          <w:tcPr>
            <w:tcW w:w="6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Current portion of notes payable due to related parties, net of discount</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149,748</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Current portion of capital lease obligation</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153,328</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Line of credit, current portion</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870,309</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Accounts payable</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2,576,657</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Accrued expenses</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1,631,131</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Due to stockholders</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132,178</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Due to related party</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15,150</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Advances-principally distributors</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1,120,895</w:t>
            </w:r>
          </w:p>
        </w:tc>
        <w:tc>
          <w:tcPr>
            <w:tcW w:w="0" w:type="dxa"/>
            <w:vAlign w:val="bottom"/>
          </w:tcPr>
          <w:p>
            <w:pPr>
              <w:spacing w:after="0"/>
              <w:rPr>
                <w:sz w:val="1"/>
                <w:szCs w:val="1"/>
                <w:color w:val="auto"/>
              </w:rPr>
            </w:pPr>
          </w:p>
        </w:tc>
      </w:tr>
      <w:tr>
        <w:trPr>
          <w:trHeight w:val="185"/>
        </w:trPr>
        <w:tc>
          <w:tcPr>
            <w:tcW w:w="7980" w:type="dxa"/>
            <w:vAlign w:val="bottom"/>
            <w:vMerge w:val="restart"/>
          </w:tcPr>
          <w:p>
            <w:pPr>
              <w:ind w:left="1060"/>
              <w:spacing w:after="0"/>
              <w:rPr>
                <w:sz w:val="20"/>
                <w:szCs w:val="20"/>
                <w:color w:val="auto"/>
              </w:rPr>
            </w:pPr>
            <w:r>
              <w:rPr>
                <w:rFonts w:ascii="Courier New" w:cs="Courier New" w:eastAsia="Courier New" w:hAnsi="Courier New"/>
                <w:sz w:val="16"/>
                <w:szCs w:val="16"/>
                <w:color w:val="auto"/>
              </w:rPr>
              <w:t>Total current liabilities</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798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7,202,497</w:t>
            </w:r>
          </w:p>
        </w:tc>
        <w:tc>
          <w:tcPr>
            <w:tcW w:w="0" w:type="dxa"/>
            <w:vAlign w:val="bottom"/>
          </w:tcPr>
          <w:p>
            <w:pPr>
              <w:spacing w:after="0"/>
              <w:rPr>
                <w:sz w:val="1"/>
                <w:szCs w:val="1"/>
                <w:color w:val="auto"/>
              </w:rPr>
            </w:pPr>
          </w:p>
        </w:tc>
      </w:tr>
      <w:tr>
        <w:trPr>
          <w:trHeight w:val="283"/>
        </w:trPr>
        <w:tc>
          <w:tcPr>
            <w:tcW w:w="7980" w:type="dxa"/>
            <w:vAlign w:val="bottom"/>
          </w:tcPr>
          <w:p>
            <w:pPr>
              <w:spacing w:after="0"/>
              <w:rPr>
                <w:sz w:val="20"/>
                <w:szCs w:val="20"/>
                <w:color w:val="auto"/>
              </w:rPr>
            </w:pPr>
            <w:r>
              <w:rPr>
                <w:rFonts w:ascii="Courier New" w:cs="Courier New" w:eastAsia="Courier New" w:hAnsi="Courier New"/>
                <w:sz w:val="16"/>
                <w:szCs w:val="16"/>
                <w:color w:val="auto"/>
              </w:rPr>
              <w:t>Note payable, net of current portion and discount</w:t>
            </w:r>
          </w:p>
        </w:tc>
        <w:tc>
          <w:tcPr>
            <w:tcW w:w="66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384,367</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20"/>
                <w:szCs w:val="20"/>
                <w:color w:val="auto"/>
              </w:rPr>
            </w:pPr>
            <w:r>
              <w:rPr>
                <w:rFonts w:ascii="Courier New" w:cs="Courier New" w:eastAsia="Courier New" w:hAnsi="Courier New"/>
                <w:sz w:val="16"/>
                <w:szCs w:val="16"/>
                <w:color w:val="auto"/>
              </w:rPr>
              <w:t>Line of credit</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123,499</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20"/>
                <w:szCs w:val="20"/>
                <w:color w:val="auto"/>
              </w:rPr>
            </w:pPr>
            <w:r>
              <w:rPr>
                <w:rFonts w:ascii="Courier New" w:cs="Courier New" w:eastAsia="Courier New" w:hAnsi="Courier New"/>
                <w:sz w:val="16"/>
                <w:szCs w:val="16"/>
                <w:color w:val="auto"/>
              </w:rPr>
              <w:t>Notes payable due to related parties, net of discount</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1,386,169</w:t>
            </w:r>
          </w:p>
        </w:tc>
        <w:tc>
          <w:tcPr>
            <w:tcW w:w="0" w:type="dxa"/>
            <w:vAlign w:val="bottom"/>
          </w:tcPr>
          <w:p>
            <w:pPr>
              <w:spacing w:after="0"/>
              <w:rPr>
                <w:sz w:val="1"/>
                <w:szCs w:val="1"/>
                <w:color w:val="auto"/>
              </w:rPr>
            </w:pPr>
          </w:p>
        </w:tc>
      </w:tr>
      <w:tr>
        <w:trPr>
          <w:trHeight w:val="185"/>
        </w:trPr>
        <w:tc>
          <w:tcPr>
            <w:tcW w:w="7980" w:type="dxa"/>
            <w:vAlign w:val="bottom"/>
          </w:tcPr>
          <w:p>
            <w:pPr>
              <w:spacing w:after="0"/>
              <w:rPr>
                <w:sz w:val="20"/>
                <w:szCs w:val="20"/>
                <w:color w:val="auto"/>
              </w:rPr>
            </w:pPr>
            <w:r>
              <w:rPr>
                <w:rFonts w:ascii="Courier New" w:cs="Courier New" w:eastAsia="Courier New" w:hAnsi="Courier New"/>
                <w:sz w:val="16"/>
                <w:szCs w:val="16"/>
                <w:color w:val="auto"/>
              </w:rPr>
              <w:t>Capital lease obligation, net of current portion</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346,549</w:t>
            </w:r>
          </w:p>
        </w:tc>
        <w:tc>
          <w:tcPr>
            <w:tcW w:w="0" w:type="dxa"/>
            <w:vAlign w:val="bottom"/>
          </w:tcPr>
          <w:p>
            <w:pPr>
              <w:spacing w:after="0"/>
              <w:rPr>
                <w:sz w:val="1"/>
                <w:szCs w:val="1"/>
                <w:color w:val="auto"/>
              </w:rPr>
            </w:pPr>
          </w:p>
        </w:tc>
      </w:tr>
      <w:tr>
        <w:trPr>
          <w:trHeight w:val="185"/>
        </w:trPr>
        <w:tc>
          <w:tcPr>
            <w:tcW w:w="7980" w:type="dxa"/>
            <w:vAlign w:val="bottom"/>
            <w:vMerge w:val="restart"/>
          </w:tcPr>
          <w:p>
            <w:pPr>
              <w:ind w:left="1060"/>
              <w:spacing w:after="0"/>
              <w:rPr>
                <w:sz w:val="20"/>
                <w:szCs w:val="20"/>
                <w:color w:val="auto"/>
              </w:rPr>
            </w:pPr>
            <w:r>
              <w:rPr>
                <w:rFonts w:ascii="Courier New" w:cs="Courier New" w:eastAsia="Courier New" w:hAnsi="Courier New"/>
                <w:sz w:val="16"/>
                <w:szCs w:val="16"/>
                <w:color w:val="auto"/>
              </w:rPr>
              <w:t>Total liabilities</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9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9,443,081</w:t>
            </w:r>
          </w:p>
        </w:tc>
        <w:tc>
          <w:tcPr>
            <w:tcW w:w="0" w:type="dxa"/>
            <w:vAlign w:val="bottom"/>
          </w:tcPr>
          <w:p>
            <w:pPr>
              <w:spacing w:after="0"/>
              <w:rPr>
                <w:sz w:val="1"/>
                <w:szCs w:val="1"/>
                <w:color w:val="auto"/>
              </w:rPr>
            </w:pPr>
          </w:p>
        </w:tc>
      </w:tr>
      <w:tr>
        <w:trPr>
          <w:trHeight w:val="271"/>
        </w:trPr>
        <w:tc>
          <w:tcPr>
            <w:tcW w:w="7980" w:type="dxa"/>
            <w:vAlign w:val="bottom"/>
          </w:tcPr>
          <w:p>
            <w:pPr>
              <w:spacing w:after="0"/>
              <w:rPr>
                <w:sz w:val="23"/>
                <w:szCs w:val="23"/>
                <w:color w:val="auto"/>
              </w:rPr>
            </w:pP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79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Preferred stock - Class A; $1.00 par value; 317 shares authorized,</w:t>
            </w:r>
          </w:p>
        </w:tc>
        <w:tc>
          <w:tcPr>
            <w:tcW w:w="660" w:type="dxa"/>
            <w:vAlign w:val="bottom"/>
          </w:tcPr>
          <w:p>
            <w:pPr>
              <w:spacing w:after="0"/>
              <w:rPr>
                <w:sz w:val="16"/>
                <w:szCs w:val="16"/>
                <w:color w:val="auto"/>
              </w:rPr>
            </w:pPr>
          </w:p>
        </w:tc>
        <w:tc>
          <w:tcPr>
            <w:tcW w:w="11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317</w:t>
            </w:r>
          </w:p>
        </w:tc>
        <w:tc>
          <w:tcPr>
            <w:tcW w:w="0" w:type="dxa"/>
            <w:vAlign w:val="bottom"/>
          </w:tcPr>
          <w:p>
            <w:pPr>
              <w:spacing w:after="0"/>
              <w:rPr>
                <w:sz w:val="1"/>
                <w:szCs w:val="1"/>
                <w:color w:val="auto"/>
              </w:rPr>
            </w:pPr>
          </w:p>
        </w:tc>
      </w:tr>
      <w:tr>
        <w:trPr>
          <w:trHeight w:val="185"/>
        </w:trPr>
        <w:tc>
          <w:tcPr>
            <w:tcW w:w="7980" w:type="dxa"/>
            <w:vAlign w:val="bottom"/>
          </w:tcPr>
          <w:p>
            <w:pPr>
              <w:ind w:left="760"/>
              <w:spacing w:after="0"/>
              <w:rPr>
                <w:sz w:val="20"/>
                <w:szCs w:val="20"/>
                <w:color w:val="auto"/>
              </w:rPr>
            </w:pPr>
            <w:r>
              <w:rPr>
                <w:rFonts w:ascii="Courier New" w:cs="Courier New" w:eastAsia="Courier New" w:hAnsi="Courier New"/>
                <w:sz w:val="16"/>
                <w:szCs w:val="16"/>
                <w:color w:val="auto"/>
              </w:rPr>
              <w:t>issued and outstanding</w:t>
            </w:r>
          </w:p>
        </w:tc>
        <w:tc>
          <w:tcPr>
            <w:tcW w:w="6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Common stock, par value $.01 per share; 15,000,000 shares authorized;</w:t>
            </w:r>
          </w:p>
        </w:tc>
        <w:tc>
          <w:tcPr>
            <w:tcW w:w="660" w:type="dxa"/>
            <w:vAlign w:val="bottom"/>
          </w:tcPr>
          <w:p>
            <w:pPr>
              <w:spacing w:after="0"/>
              <w:rPr>
                <w:sz w:val="16"/>
                <w:szCs w:val="16"/>
                <w:color w:val="auto"/>
              </w:rPr>
            </w:pPr>
          </w:p>
        </w:tc>
        <w:tc>
          <w:tcPr>
            <w:tcW w:w="11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91,800</w:t>
            </w:r>
          </w:p>
        </w:tc>
        <w:tc>
          <w:tcPr>
            <w:tcW w:w="0" w:type="dxa"/>
            <w:vAlign w:val="bottom"/>
          </w:tcPr>
          <w:p>
            <w:pPr>
              <w:spacing w:after="0"/>
              <w:rPr>
                <w:sz w:val="1"/>
                <w:szCs w:val="1"/>
                <w:color w:val="auto"/>
              </w:rPr>
            </w:pPr>
          </w:p>
        </w:tc>
      </w:tr>
      <w:tr>
        <w:trPr>
          <w:trHeight w:val="185"/>
        </w:trPr>
        <w:tc>
          <w:tcPr>
            <w:tcW w:w="7980" w:type="dxa"/>
            <w:vAlign w:val="bottom"/>
          </w:tcPr>
          <w:p>
            <w:pPr>
              <w:ind w:left="760"/>
              <w:spacing w:after="0"/>
              <w:rPr>
                <w:sz w:val="20"/>
                <w:szCs w:val="20"/>
                <w:color w:val="auto"/>
              </w:rPr>
            </w:pPr>
            <w:r>
              <w:rPr>
                <w:rFonts w:ascii="Courier New" w:cs="Courier New" w:eastAsia="Courier New" w:hAnsi="Courier New"/>
                <w:sz w:val="16"/>
                <w:szCs w:val="16"/>
                <w:color w:val="auto"/>
              </w:rPr>
              <w:t>9,180,043 shares issued and outstanding</w:t>
            </w:r>
          </w:p>
        </w:tc>
        <w:tc>
          <w:tcPr>
            <w:tcW w:w="6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Additional paid-in capital</w:t>
            </w: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14,664,754</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Deferred compensation</w:t>
            </w: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(21,563)</w:t>
            </w:r>
          </w:p>
        </w:tc>
        <w:tc>
          <w:tcPr>
            <w:tcW w:w="0" w:type="dxa"/>
            <w:vAlign w:val="bottom"/>
          </w:tcPr>
          <w:p>
            <w:pPr>
              <w:spacing w:after="0"/>
              <w:rPr>
                <w:sz w:val="1"/>
                <w:szCs w:val="1"/>
                <w:color w:val="auto"/>
              </w:rPr>
            </w:pPr>
          </w:p>
        </w:tc>
      </w:tr>
      <w:tr>
        <w:trPr>
          <w:trHeight w:val="185"/>
        </w:trPr>
        <w:tc>
          <w:tcPr>
            <w:tcW w:w="7980" w:type="dxa"/>
            <w:vAlign w:val="bottom"/>
          </w:tcPr>
          <w:p>
            <w:pPr>
              <w:ind w:left="580"/>
              <w:spacing w:after="0"/>
              <w:rPr>
                <w:sz w:val="20"/>
                <w:szCs w:val="20"/>
                <w:color w:val="auto"/>
              </w:rPr>
            </w:pPr>
            <w:r>
              <w:rPr>
                <w:rFonts w:ascii="Courier New" w:cs="Courier New" w:eastAsia="Courier New" w:hAnsi="Courier New"/>
                <w:sz w:val="16"/>
                <w:szCs w:val="16"/>
                <w:color w:val="auto"/>
              </w:rPr>
              <w:t>Accumulated deficit</w:t>
            </w:r>
          </w:p>
        </w:tc>
        <w:tc>
          <w:tcPr>
            <w:tcW w:w="6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(3,263,827)</w:t>
            </w:r>
          </w:p>
        </w:tc>
        <w:tc>
          <w:tcPr>
            <w:tcW w:w="0" w:type="dxa"/>
            <w:vAlign w:val="bottom"/>
          </w:tcPr>
          <w:p>
            <w:pPr>
              <w:spacing w:after="0"/>
              <w:rPr>
                <w:sz w:val="1"/>
                <w:szCs w:val="1"/>
                <w:color w:val="auto"/>
              </w:rPr>
            </w:pPr>
          </w:p>
        </w:tc>
      </w:tr>
      <w:tr>
        <w:trPr>
          <w:trHeight w:val="185"/>
        </w:trPr>
        <w:tc>
          <w:tcPr>
            <w:tcW w:w="7980" w:type="dxa"/>
            <w:vAlign w:val="bottom"/>
            <w:vMerge w:val="restart"/>
          </w:tcPr>
          <w:p>
            <w:pPr>
              <w:ind w:left="1060"/>
              <w:spacing w:after="0"/>
              <w:rPr>
                <w:sz w:val="20"/>
                <w:szCs w:val="20"/>
                <w:color w:val="auto"/>
              </w:rPr>
            </w:pPr>
            <w:r>
              <w:rPr>
                <w:rFonts w:ascii="Courier New" w:cs="Courier New" w:eastAsia="Courier New" w:hAnsi="Courier New"/>
                <w:sz w:val="16"/>
                <w:szCs w:val="16"/>
                <w:color w:val="auto"/>
              </w:rPr>
              <w:t>Total stockholders' equity</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9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11,471,481</w:t>
            </w:r>
          </w:p>
        </w:tc>
        <w:tc>
          <w:tcPr>
            <w:tcW w:w="0" w:type="dxa"/>
            <w:vAlign w:val="bottom"/>
          </w:tcPr>
          <w:p>
            <w:pPr>
              <w:spacing w:after="0"/>
              <w:rPr>
                <w:sz w:val="1"/>
                <w:szCs w:val="1"/>
                <w:color w:val="auto"/>
              </w:rPr>
            </w:pPr>
          </w:p>
        </w:tc>
      </w:tr>
      <w:tr>
        <w:trPr>
          <w:trHeight w:val="185"/>
        </w:trPr>
        <w:tc>
          <w:tcPr>
            <w:tcW w:w="7980" w:type="dxa"/>
            <w:vAlign w:val="bottom"/>
            <w:vMerge w:val="restart"/>
          </w:tcPr>
          <w:p>
            <w:pPr>
              <w:ind w:left="106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980" w:type="dxa"/>
            <w:vAlign w:val="bottom"/>
            <w:vMerge w:val="continue"/>
          </w:tcPr>
          <w:p>
            <w:pPr>
              <w:spacing w:after="0"/>
              <w:rPr>
                <w:sz w:val="16"/>
                <w:szCs w:val="16"/>
                <w:color w:val="auto"/>
              </w:rPr>
            </w:pP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$ 20,914,562</w:t>
            </w:r>
          </w:p>
        </w:tc>
        <w:tc>
          <w:tcPr>
            <w:tcW w:w="0" w:type="dxa"/>
            <w:vAlign w:val="bottom"/>
          </w:tcPr>
          <w:p>
            <w:pPr>
              <w:spacing w:after="0"/>
              <w:rPr>
                <w:sz w:val="1"/>
                <w:szCs w:val="1"/>
                <w:color w:val="auto"/>
              </w:rPr>
            </w:pPr>
          </w:p>
        </w:tc>
      </w:tr>
      <w:tr>
        <w:trPr>
          <w:trHeight w:val="271"/>
        </w:trPr>
        <w:tc>
          <w:tcPr>
            <w:tcW w:w="7980" w:type="dxa"/>
            <w:vAlign w:val="bottom"/>
          </w:tcPr>
          <w:p>
            <w:pPr>
              <w:spacing w:after="0"/>
              <w:rPr>
                <w:sz w:val="23"/>
                <w:szCs w:val="23"/>
                <w:color w:val="auto"/>
              </w:rPr>
            </w:pPr>
          </w:p>
        </w:tc>
        <w:tc>
          <w:tcPr>
            <w:tcW w:w="182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199"/>
        <w:spacing w:after="0" w:line="364"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5" w:lineRule="exact"/>
        <w:rPr>
          <w:sz w:val="20"/>
          <w:szCs w:val="20"/>
          <w:color w:val="auto"/>
        </w:rPr>
      </w:pPr>
    </w:p>
    <w:p>
      <w:pPr>
        <w:ind w:left="75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three months ended July 31, 1996 and 1997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nine months ended July 31, 1996 and 1997 (unaudited)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3080" w:type="dxa"/>
            <w:vAlign w:val="bottom"/>
            <w:gridSpan w:val="4"/>
          </w:tcPr>
          <w:p>
            <w:pPr>
              <w:ind w:left="160"/>
              <w:spacing w:after="0"/>
              <w:rPr>
                <w:sz w:val="20"/>
                <w:szCs w:val="20"/>
                <w:color w:val="auto"/>
              </w:rPr>
            </w:pPr>
            <w:r>
              <w:rPr>
                <w:rFonts w:ascii="Courier New" w:cs="Courier New" w:eastAsia="Courier New" w:hAnsi="Courier New"/>
                <w:sz w:val="16"/>
                <w:szCs w:val="16"/>
                <w:color w:val="auto"/>
              </w:rPr>
              <w:t>Three Months Ended July 31,</w:t>
            </w:r>
          </w:p>
        </w:tc>
        <w:tc>
          <w:tcPr>
            <w:tcW w:w="280" w:type="dxa"/>
            <w:vAlign w:val="bottom"/>
          </w:tcPr>
          <w:p>
            <w:pPr>
              <w:spacing w:after="0"/>
              <w:rPr>
                <w:sz w:val="16"/>
                <w:szCs w:val="16"/>
                <w:color w:val="auto"/>
              </w:rPr>
            </w:pPr>
          </w:p>
        </w:tc>
        <w:tc>
          <w:tcPr>
            <w:tcW w:w="266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Nine Months Ended July 31,</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3080" w:type="dxa"/>
            <w:vAlign w:val="bottom"/>
            <w:gridSpan w:val="4"/>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12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6"/>
                <w:szCs w:val="16"/>
                <w:color w:val="auto"/>
              </w:rPr>
            </w:pPr>
          </w:p>
        </w:tc>
        <w:tc>
          <w:tcPr>
            <w:tcW w:w="11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5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(unaudited)</w:t>
            </w: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60" w:type="dxa"/>
            <w:vAlign w:val="bottom"/>
            <w:gridSpan w:val="3"/>
          </w:tcPr>
          <w:p>
            <w:pPr>
              <w:jc w:val="right"/>
              <w:ind w:right="700"/>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468"/>
        </w:trPr>
        <w:tc>
          <w:tcPr>
            <w:tcW w:w="54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545,423</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2,843,146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5,629,757</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$ 12,480,137</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Cost of sales</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353,668</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2,749,467</w:t>
            </w:r>
          </w:p>
        </w:tc>
        <w:tc>
          <w:tcPr>
            <w:tcW w:w="2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3,287,419</w:t>
            </w:r>
          </w:p>
        </w:tc>
        <w:tc>
          <w:tcPr>
            <w:tcW w:w="28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7,701,026</w:t>
            </w:r>
          </w:p>
        </w:tc>
        <w:tc>
          <w:tcPr>
            <w:tcW w:w="0" w:type="dxa"/>
            <w:vAlign w:val="bottom"/>
          </w:tcPr>
          <w:p>
            <w:pPr>
              <w:spacing w:after="0"/>
              <w:rPr>
                <w:sz w:val="1"/>
                <w:szCs w:val="1"/>
                <w:color w:val="auto"/>
              </w:rPr>
            </w:pPr>
          </w:p>
        </w:tc>
      </w:tr>
      <w:tr>
        <w:trPr>
          <w:trHeight w:val="185"/>
        </w:trPr>
        <w:tc>
          <w:tcPr>
            <w:tcW w:w="5420" w:type="dxa"/>
            <w:vAlign w:val="bottom"/>
            <w:vMerge w:val="restart"/>
          </w:tcPr>
          <w:p>
            <w:pPr>
              <w:ind w:left="860"/>
              <w:spacing w:after="0"/>
              <w:rPr>
                <w:sz w:val="20"/>
                <w:szCs w:val="20"/>
                <w:color w:val="auto"/>
              </w:rPr>
            </w:pPr>
            <w:r>
              <w:rPr>
                <w:rFonts w:ascii="Courier New" w:cs="Courier New" w:eastAsia="Courier New" w:hAnsi="Courier New"/>
                <w:sz w:val="16"/>
                <w:szCs w:val="16"/>
                <w:color w:val="auto"/>
              </w:rPr>
              <w:t>Gross profit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191,755</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93,679</w:t>
            </w:r>
          </w:p>
        </w:tc>
        <w:tc>
          <w:tcPr>
            <w:tcW w:w="2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2,342,338</w:t>
            </w:r>
          </w:p>
        </w:tc>
        <w:tc>
          <w:tcPr>
            <w:tcW w:w="28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4,779,111</w:t>
            </w:r>
          </w:p>
        </w:tc>
        <w:tc>
          <w:tcPr>
            <w:tcW w:w="0" w:type="dxa"/>
            <w:vAlign w:val="bottom"/>
          </w:tcPr>
          <w:p>
            <w:pPr>
              <w:spacing w:after="0"/>
              <w:rPr>
                <w:sz w:val="1"/>
                <w:szCs w:val="1"/>
                <w:color w:val="auto"/>
              </w:rPr>
            </w:pPr>
          </w:p>
        </w:tc>
      </w:tr>
      <w:tr>
        <w:trPr>
          <w:trHeight w:val="271"/>
        </w:trPr>
        <w:tc>
          <w:tcPr>
            <w:tcW w:w="54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54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40" w:type="dxa"/>
            <w:vAlign w:val="bottom"/>
          </w:tcPr>
          <w:p>
            <w:pPr>
              <w:spacing w:after="0"/>
              <w:rPr>
                <w:sz w:val="24"/>
                <w:szCs w:val="24"/>
                <w:color w:val="auto"/>
              </w:rPr>
            </w:pPr>
          </w:p>
        </w:tc>
        <w:tc>
          <w:tcPr>
            <w:tcW w:w="12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133,742</w:t>
            </w:r>
          </w:p>
        </w:tc>
        <w:tc>
          <w:tcPr>
            <w:tcW w:w="340" w:type="dxa"/>
            <w:vAlign w:val="bottom"/>
          </w:tcPr>
          <w:p>
            <w:pPr>
              <w:spacing w:after="0"/>
              <w:rPr>
                <w:sz w:val="24"/>
                <w:szCs w:val="24"/>
                <w:color w:val="auto"/>
              </w:rPr>
            </w:pPr>
          </w:p>
        </w:tc>
        <w:tc>
          <w:tcPr>
            <w:tcW w:w="12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289,064</w:t>
            </w:r>
          </w:p>
        </w:tc>
        <w:tc>
          <w:tcPr>
            <w:tcW w:w="280" w:type="dxa"/>
            <w:vAlign w:val="bottom"/>
          </w:tcPr>
          <w:p>
            <w:pPr>
              <w:spacing w:after="0"/>
              <w:rPr>
                <w:sz w:val="24"/>
                <w:szCs w:val="24"/>
                <w:color w:val="auto"/>
              </w:rPr>
            </w:pPr>
          </w:p>
        </w:tc>
        <w:tc>
          <w:tcPr>
            <w:tcW w:w="12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506,144</w:t>
            </w:r>
          </w:p>
        </w:tc>
        <w:tc>
          <w:tcPr>
            <w:tcW w:w="280" w:type="dxa"/>
            <w:vAlign w:val="bottom"/>
          </w:tcPr>
          <w:p>
            <w:pPr>
              <w:spacing w:after="0"/>
              <w:rPr>
                <w:sz w:val="24"/>
                <w:szCs w:val="24"/>
                <w:color w:val="auto"/>
              </w:rPr>
            </w:pPr>
          </w:p>
        </w:tc>
        <w:tc>
          <w:tcPr>
            <w:tcW w:w="11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890,003</w:t>
            </w:r>
          </w:p>
        </w:tc>
        <w:tc>
          <w:tcPr>
            <w:tcW w:w="0" w:type="dxa"/>
            <w:vAlign w:val="bottom"/>
          </w:tcPr>
          <w:p>
            <w:pPr>
              <w:spacing w:after="0"/>
              <w:rPr>
                <w:sz w:val="1"/>
                <w:szCs w:val="1"/>
                <w:color w:val="auto"/>
              </w:rPr>
            </w:pPr>
          </w:p>
        </w:tc>
      </w:tr>
      <w:tr>
        <w:trPr>
          <w:trHeight w:val="185"/>
        </w:trPr>
        <w:tc>
          <w:tcPr>
            <w:tcW w:w="5420" w:type="dxa"/>
            <w:vAlign w:val="bottom"/>
          </w:tcPr>
          <w:p>
            <w:pPr>
              <w:ind w:left="380"/>
              <w:spacing w:after="0"/>
              <w:rPr>
                <w:sz w:val="20"/>
                <w:szCs w:val="20"/>
                <w:color w:val="auto"/>
              </w:rPr>
            </w:pPr>
            <w:r>
              <w:rPr>
                <w:rFonts w:ascii="Courier New" w:cs="Courier New" w:eastAsia="Courier New" w:hAnsi="Courier New"/>
                <w:sz w:val="16"/>
                <w:szCs w:val="16"/>
                <w:color w:val="auto"/>
              </w:rPr>
              <w:t>Research and development costs</w:t>
            </w: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380"/>
              <w:spacing w:after="0"/>
              <w:rPr>
                <w:sz w:val="20"/>
                <w:szCs w:val="20"/>
                <w:color w:val="auto"/>
              </w:rPr>
            </w:pPr>
            <w:r>
              <w:rPr>
                <w:rFonts w:ascii="Courier New" w:cs="Courier New" w:eastAsia="Courier New" w:hAnsi="Courier New"/>
                <w:sz w:val="16"/>
                <w:szCs w:val="16"/>
                <w:color w:val="auto"/>
              </w:rPr>
              <w:t>Selling and marketing</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171,435</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235,084</w:t>
            </w:r>
          </w:p>
        </w:tc>
        <w:tc>
          <w:tcPr>
            <w:tcW w:w="2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1,434,215</w:t>
            </w:r>
          </w:p>
        </w:tc>
        <w:tc>
          <w:tcPr>
            <w:tcW w:w="28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2,734,494</w:t>
            </w:r>
          </w:p>
        </w:tc>
        <w:tc>
          <w:tcPr>
            <w:tcW w:w="0" w:type="dxa"/>
            <w:vAlign w:val="bottom"/>
          </w:tcPr>
          <w:p>
            <w:pPr>
              <w:spacing w:after="0"/>
              <w:rPr>
                <w:sz w:val="1"/>
                <w:szCs w:val="1"/>
                <w:color w:val="auto"/>
              </w:rPr>
            </w:pPr>
          </w:p>
        </w:tc>
      </w:tr>
      <w:tr>
        <w:trPr>
          <w:trHeight w:val="185"/>
        </w:trPr>
        <w:tc>
          <w:tcPr>
            <w:tcW w:w="5420" w:type="dxa"/>
            <w:vAlign w:val="bottom"/>
          </w:tcPr>
          <w:p>
            <w:pPr>
              <w:ind w:left="380"/>
              <w:spacing w:after="0"/>
              <w:rPr>
                <w:sz w:val="20"/>
                <w:szCs w:val="20"/>
                <w:color w:val="auto"/>
              </w:rPr>
            </w:pPr>
            <w:r>
              <w:rPr>
                <w:rFonts w:ascii="Courier New" w:cs="Courier New" w:eastAsia="Courier New" w:hAnsi="Courier New"/>
                <w:sz w:val="16"/>
                <w:szCs w:val="16"/>
                <w:color w:val="auto"/>
              </w:rPr>
              <w:t>General and administrative</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415,869</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774,149</w:t>
            </w:r>
          </w:p>
        </w:tc>
        <w:tc>
          <w:tcPr>
            <w:tcW w:w="2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1,279,388</w:t>
            </w:r>
          </w:p>
        </w:tc>
        <w:tc>
          <w:tcPr>
            <w:tcW w:w="28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1,816,942</w:t>
            </w:r>
          </w:p>
        </w:tc>
        <w:tc>
          <w:tcPr>
            <w:tcW w:w="0" w:type="dxa"/>
            <w:vAlign w:val="bottom"/>
          </w:tcPr>
          <w:p>
            <w:pPr>
              <w:spacing w:after="0"/>
              <w:rPr>
                <w:sz w:val="1"/>
                <w:szCs w:val="1"/>
                <w:color w:val="auto"/>
              </w:rPr>
            </w:pPr>
          </w:p>
        </w:tc>
      </w:tr>
      <w:tr>
        <w:trPr>
          <w:trHeight w:val="185"/>
        </w:trPr>
        <w:tc>
          <w:tcPr>
            <w:tcW w:w="5420" w:type="dxa"/>
            <w:vAlign w:val="bottom"/>
          </w:tcPr>
          <w:p>
            <w:pPr>
              <w:ind w:left="380"/>
              <w:spacing w:after="0"/>
              <w:rPr>
                <w:sz w:val="20"/>
                <w:szCs w:val="20"/>
                <w:color w:val="auto"/>
              </w:rPr>
            </w:pPr>
            <w:r>
              <w:rPr>
                <w:rFonts w:ascii="Courier New" w:cs="Courier New" w:eastAsia="Courier New" w:hAnsi="Courier New"/>
                <w:sz w:val="16"/>
                <w:szCs w:val="16"/>
                <w:color w:val="auto"/>
              </w:rPr>
              <w:t>Depreciation and amortization</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56,443</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186,353</w:t>
            </w:r>
          </w:p>
        </w:tc>
        <w:tc>
          <w:tcPr>
            <w:tcW w:w="2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169,344</w:t>
            </w:r>
          </w:p>
        </w:tc>
        <w:tc>
          <w:tcPr>
            <w:tcW w:w="28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494,572</w:t>
            </w:r>
          </w:p>
        </w:tc>
        <w:tc>
          <w:tcPr>
            <w:tcW w:w="0" w:type="dxa"/>
            <w:vAlign w:val="bottom"/>
          </w:tcPr>
          <w:p>
            <w:pPr>
              <w:spacing w:after="0"/>
              <w:rPr>
                <w:sz w:val="1"/>
                <w:szCs w:val="1"/>
                <w:color w:val="auto"/>
              </w:rPr>
            </w:pPr>
          </w:p>
        </w:tc>
      </w:tr>
      <w:tr>
        <w:trPr>
          <w:trHeight w:val="185"/>
        </w:trPr>
        <w:tc>
          <w:tcPr>
            <w:tcW w:w="5420" w:type="dxa"/>
            <w:vAlign w:val="bottom"/>
            <w:vMerge w:val="restart"/>
          </w:tcPr>
          <w:p>
            <w:pPr>
              <w:ind w:left="860"/>
              <w:spacing w:after="0"/>
              <w:rPr>
                <w:sz w:val="20"/>
                <w:szCs w:val="20"/>
                <w:color w:val="auto"/>
              </w:rPr>
            </w:pPr>
            <w:r>
              <w:rPr>
                <w:rFonts w:ascii="Courier New" w:cs="Courier New" w:eastAsia="Courier New" w:hAnsi="Courier New"/>
                <w:sz w:val="16"/>
                <w:szCs w:val="16"/>
                <w:color w:val="auto"/>
              </w:rPr>
              <w:t>Total operating expenses</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777,489</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1,484,650</w:t>
            </w:r>
          </w:p>
        </w:tc>
        <w:tc>
          <w:tcPr>
            <w:tcW w:w="2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3,389,091</w:t>
            </w:r>
          </w:p>
        </w:tc>
        <w:tc>
          <w:tcPr>
            <w:tcW w:w="28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5,936,011</w:t>
            </w:r>
          </w:p>
        </w:tc>
        <w:tc>
          <w:tcPr>
            <w:tcW w:w="0" w:type="dxa"/>
            <w:vAlign w:val="bottom"/>
          </w:tcPr>
          <w:p>
            <w:pPr>
              <w:spacing w:after="0"/>
              <w:rPr>
                <w:sz w:val="1"/>
                <w:szCs w:val="1"/>
                <w:color w:val="auto"/>
              </w:rPr>
            </w:pPr>
          </w:p>
        </w:tc>
      </w:tr>
      <w:tr>
        <w:trPr>
          <w:trHeight w:val="185"/>
        </w:trPr>
        <w:tc>
          <w:tcPr>
            <w:tcW w:w="5420" w:type="dxa"/>
            <w:vAlign w:val="bottom"/>
            <w:vMerge w:val="restart"/>
          </w:tcPr>
          <w:p>
            <w:pPr>
              <w:ind w:left="860"/>
              <w:spacing w:after="0"/>
              <w:rPr>
                <w:sz w:val="20"/>
                <w:szCs w:val="20"/>
                <w:color w:val="auto"/>
              </w:rPr>
            </w:pPr>
            <w:r>
              <w:rPr>
                <w:rFonts w:ascii="Courier New" w:cs="Courier New" w:eastAsia="Courier New" w:hAnsi="Courier New"/>
                <w:sz w:val="16"/>
                <w:szCs w:val="16"/>
                <w:color w:val="auto"/>
              </w:rPr>
              <w:t>Income (loss) from operations</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(585,734)</w:t>
            </w: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(1,390,971)</w:t>
            </w:r>
          </w:p>
        </w:tc>
        <w:tc>
          <w:tcPr>
            <w:tcW w:w="280" w:type="dxa"/>
            <w:vAlign w:val="bottom"/>
          </w:tcPr>
          <w:p>
            <w:pPr>
              <w:spacing w:after="0"/>
              <w:rPr>
                <w:sz w:val="16"/>
                <w:szCs w:val="16"/>
                <w:color w:val="auto"/>
              </w:rPr>
            </w:pP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(1,046,753)</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(1,156,900)</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Interest expense (income)</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17,589</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129,560</w:t>
            </w:r>
          </w:p>
        </w:tc>
        <w:tc>
          <w:tcPr>
            <w:tcW w:w="2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35,487</w:t>
            </w:r>
          </w:p>
        </w:tc>
        <w:tc>
          <w:tcPr>
            <w:tcW w:w="28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600,599</w:t>
            </w:r>
          </w:p>
        </w:tc>
        <w:tc>
          <w:tcPr>
            <w:tcW w:w="0" w:type="dxa"/>
            <w:vAlign w:val="bottom"/>
          </w:tcPr>
          <w:p>
            <w:pPr>
              <w:spacing w:after="0"/>
              <w:rPr>
                <w:sz w:val="1"/>
                <w:szCs w:val="1"/>
                <w:color w:val="auto"/>
              </w:rPr>
            </w:pPr>
          </w:p>
        </w:tc>
      </w:tr>
      <w:tr>
        <w:trPr>
          <w:trHeight w:val="185"/>
        </w:trPr>
        <w:tc>
          <w:tcPr>
            <w:tcW w:w="5420" w:type="dxa"/>
            <w:vAlign w:val="bottom"/>
            <w:vMerge w:val="restart"/>
          </w:tcPr>
          <w:p>
            <w:pPr>
              <w:ind w:left="860"/>
              <w:spacing w:after="0"/>
              <w:rPr>
                <w:sz w:val="20"/>
                <w:szCs w:val="20"/>
                <w:color w:val="auto"/>
              </w:rPr>
            </w:pPr>
            <w:r>
              <w:rPr>
                <w:rFonts w:ascii="Courier New" w:cs="Courier New" w:eastAsia="Courier New" w:hAnsi="Courier New"/>
                <w:sz w:val="16"/>
                <w:szCs w:val="16"/>
                <w:color w:val="auto"/>
              </w:rPr>
              <w:t>Income (loss) before foreign withholding taxes</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(603,323)</w:t>
            </w: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(1,520,531)</w:t>
            </w:r>
          </w:p>
        </w:tc>
        <w:tc>
          <w:tcPr>
            <w:tcW w:w="280" w:type="dxa"/>
            <w:vAlign w:val="bottom"/>
          </w:tcPr>
          <w:p>
            <w:pPr>
              <w:spacing w:after="0"/>
              <w:rPr>
                <w:sz w:val="16"/>
                <w:szCs w:val="16"/>
                <w:color w:val="auto"/>
              </w:rPr>
            </w:pP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(1,082,240)</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(1,757,499)</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1,054</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112</w:t>
            </w:r>
          </w:p>
        </w:tc>
        <w:tc>
          <w:tcPr>
            <w:tcW w:w="2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24,236</w:t>
            </w:r>
          </w:p>
        </w:tc>
        <w:tc>
          <w:tcPr>
            <w:tcW w:w="280" w:type="dxa"/>
            <w:vAlign w:val="bottom"/>
          </w:tcPr>
          <w:p>
            <w:pPr>
              <w:spacing w:after="0"/>
              <w:rPr>
                <w:sz w:val="16"/>
                <w:szCs w:val="16"/>
                <w:color w:val="auto"/>
              </w:rPr>
            </w:pPr>
          </w:p>
        </w:tc>
        <w:tc>
          <w:tcPr>
            <w:tcW w:w="11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18,104</w:t>
            </w:r>
          </w:p>
        </w:tc>
        <w:tc>
          <w:tcPr>
            <w:tcW w:w="0" w:type="dxa"/>
            <w:vAlign w:val="bottom"/>
          </w:tcPr>
          <w:p>
            <w:pPr>
              <w:spacing w:after="0"/>
              <w:rPr>
                <w:sz w:val="1"/>
                <w:szCs w:val="1"/>
                <w:color w:val="auto"/>
              </w:rPr>
            </w:pPr>
          </w:p>
        </w:tc>
      </w:tr>
      <w:tr>
        <w:trPr>
          <w:trHeight w:val="185"/>
        </w:trPr>
        <w:tc>
          <w:tcPr>
            <w:tcW w:w="5420" w:type="dxa"/>
            <w:vAlign w:val="bottom"/>
            <w:vMerge w:val="restart"/>
          </w:tcPr>
          <w:p>
            <w:pPr>
              <w:ind w:left="860"/>
              <w:spacing w:after="0"/>
              <w:rPr>
                <w:sz w:val="20"/>
                <w:szCs w:val="20"/>
                <w:color w:val="auto"/>
              </w:rPr>
            </w:pPr>
            <w:r>
              <w:rPr>
                <w:rFonts w:ascii="Courier New" w:cs="Courier New" w:eastAsia="Courier New" w:hAnsi="Courier New"/>
                <w:sz w:val="16"/>
                <w:szCs w:val="16"/>
                <w:color w:val="auto"/>
              </w:rPr>
              <w:t>Net income (loss)</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4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(604,377)</w:t>
            </w: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w w:val="98"/>
              </w:rPr>
              <w:t>(1,520,643)</w:t>
            </w:r>
          </w:p>
        </w:tc>
        <w:tc>
          <w:tcPr>
            <w:tcW w:w="280" w:type="dxa"/>
            <w:vAlign w:val="bottom"/>
          </w:tcPr>
          <w:p>
            <w:pPr>
              <w:spacing w:after="0"/>
              <w:rPr>
                <w:sz w:val="16"/>
                <w:szCs w:val="16"/>
                <w:color w:val="auto"/>
              </w:rPr>
            </w:pP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(1,106,476)</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(1,775,603)</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Preferred dividends</w:t>
            </w: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(4,383)</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(13,149)</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(109,118)</w:t>
            </w:r>
          </w:p>
        </w:tc>
        <w:tc>
          <w:tcPr>
            <w:tcW w:w="0" w:type="dxa"/>
            <w:vAlign w:val="bottom"/>
          </w:tcPr>
          <w:p>
            <w:pPr>
              <w:spacing w:after="0"/>
              <w:rPr>
                <w:sz w:val="1"/>
                <w:szCs w:val="1"/>
                <w:color w:val="auto"/>
              </w:rPr>
            </w:pP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Distributions paid to S corporation shareholders</w:t>
            </w:r>
          </w:p>
        </w:tc>
        <w:tc>
          <w:tcPr>
            <w:tcW w:w="340" w:type="dxa"/>
            <w:vAlign w:val="bottom"/>
          </w:tcPr>
          <w:p>
            <w:pPr>
              <w:spacing w:after="0"/>
              <w:rPr>
                <w:sz w:val="16"/>
                <w:szCs w:val="16"/>
                <w:color w:val="auto"/>
              </w:rPr>
            </w:pP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(1,637)</w:t>
            </w:r>
          </w:p>
        </w:tc>
        <w:tc>
          <w:tcPr>
            <w:tcW w:w="280" w:type="dxa"/>
            <w:vAlign w:val="bottom"/>
          </w:tcPr>
          <w:p>
            <w:pPr>
              <w:spacing w:after="0"/>
              <w:rPr>
                <w:sz w:val="16"/>
                <w:szCs w:val="16"/>
                <w:color w:val="auto"/>
              </w:rPr>
            </w:pP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(202,092)</w:t>
            </w:r>
          </w:p>
        </w:tc>
        <w:tc>
          <w:tcPr>
            <w:tcW w:w="0" w:type="dxa"/>
            <w:vAlign w:val="bottom"/>
          </w:tcPr>
          <w:p>
            <w:pPr>
              <w:spacing w:after="0"/>
              <w:rPr>
                <w:sz w:val="1"/>
                <w:szCs w:val="1"/>
                <w:color w:val="auto"/>
              </w:rPr>
            </w:pPr>
          </w:p>
        </w:tc>
      </w:tr>
      <w:tr>
        <w:trPr>
          <w:trHeight w:val="271"/>
        </w:trPr>
        <w:tc>
          <w:tcPr>
            <w:tcW w:w="5420" w:type="dxa"/>
            <w:vAlign w:val="bottom"/>
            <w:vMerge w:val="restart"/>
          </w:tcPr>
          <w:p>
            <w:pPr>
              <w:ind w:left="860"/>
              <w:spacing w:after="0"/>
              <w:rPr>
                <w:sz w:val="20"/>
                <w:szCs w:val="20"/>
                <w:color w:val="auto"/>
              </w:rPr>
            </w:pPr>
            <w:r>
              <w:rPr>
                <w:rFonts w:ascii="Courier New" w:cs="Courier New" w:eastAsia="Courier New" w:hAnsi="Courier New"/>
                <w:sz w:val="16"/>
                <w:szCs w:val="16"/>
                <w:color w:val="auto"/>
              </w:rPr>
              <w:t>Net income (loss) attributable to common</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420" w:type="dxa"/>
            <w:vAlign w:val="bottom"/>
            <w:vMerge w:val="continue"/>
          </w:tcPr>
          <w:p>
            <w:pPr>
              <w:spacing w:after="0"/>
              <w:rPr>
                <w:sz w:val="8"/>
                <w:szCs w:val="8"/>
                <w:color w:val="auto"/>
              </w:rPr>
            </w:pPr>
          </w:p>
        </w:tc>
        <w:tc>
          <w:tcPr>
            <w:tcW w:w="340" w:type="dxa"/>
            <w:vAlign w:val="bottom"/>
            <w:vMerge w:val="restart"/>
          </w:tcPr>
          <w:p>
            <w:pPr>
              <w:ind w:left="160"/>
              <w:spacing w:after="0"/>
              <w:rPr>
                <w:sz w:val="20"/>
                <w:szCs w:val="20"/>
                <w:color w:val="auto"/>
              </w:rPr>
            </w:pPr>
            <w:r>
              <w:rPr>
                <w:rFonts w:ascii="Courier New" w:cs="Courier New" w:eastAsia="Courier New" w:hAnsi="Courier New"/>
                <w:sz w:val="16"/>
                <w:szCs w:val="16"/>
                <w:color w:val="auto"/>
              </w:rPr>
              <w:t>$</w:t>
            </w:r>
          </w:p>
        </w:tc>
        <w:tc>
          <w:tcPr>
            <w:tcW w:w="12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(608,760)</w:t>
            </w:r>
          </w:p>
        </w:tc>
        <w:tc>
          <w:tcPr>
            <w:tcW w:w="1540" w:type="dxa"/>
            <w:vAlign w:val="bottom"/>
            <w:gridSpan w:val="2"/>
            <w:vMerge w:val="restart"/>
          </w:tcPr>
          <w:p>
            <w:pPr>
              <w:jc w:val="right"/>
              <w:ind w:right="60"/>
              <w:spacing w:after="0"/>
              <w:rPr>
                <w:sz w:val="20"/>
                <w:szCs w:val="20"/>
                <w:color w:val="auto"/>
              </w:rPr>
            </w:pPr>
            <w:r>
              <w:rPr>
                <w:rFonts w:ascii="Courier New" w:cs="Courier New" w:eastAsia="Courier New" w:hAnsi="Courier New"/>
                <w:sz w:val="16"/>
                <w:szCs w:val="16"/>
                <w:color w:val="auto"/>
              </w:rPr>
              <w:t>$ (1,522,280)</w:t>
            </w:r>
          </w:p>
        </w:tc>
        <w:tc>
          <w:tcPr>
            <w:tcW w:w="1540" w:type="dxa"/>
            <w:vAlign w:val="bottom"/>
            <w:gridSpan w:val="2"/>
            <w:vMerge w:val="restart"/>
          </w:tcPr>
          <w:p>
            <w:pPr>
              <w:jc w:val="right"/>
              <w:ind w:right="60"/>
              <w:spacing w:after="0"/>
              <w:rPr>
                <w:sz w:val="20"/>
                <w:szCs w:val="20"/>
                <w:color w:val="auto"/>
              </w:rPr>
            </w:pPr>
            <w:r>
              <w:rPr>
                <w:rFonts w:ascii="Courier New" w:cs="Courier New" w:eastAsia="Courier New" w:hAnsi="Courier New"/>
                <w:sz w:val="16"/>
                <w:szCs w:val="16"/>
                <w:color w:val="auto"/>
              </w:rPr>
              <w:t>$ (1,119,625)</w:t>
            </w:r>
          </w:p>
        </w:tc>
        <w:tc>
          <w:tcPr>
            <w:tcW w:w="14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 (2,086,813)</w:t>
            </w:r>
          </w:p>
        </w:tc>
        <w:tc>
          <w:tcPr>
            <w:tcW w:w="0" w:type="dxa"/>
            <w:vAlign w:val="bottom"/>
          </w:tcPr>
          <w:p>
            <w:pPr>
              <w:spacing w:after="0"/>
              <w:rPr>
                <w:sz w:val="1"/>
                <w:szCs w:val="1"/>
                <w:color w:val="auto"/>
              </w:rPr>
            </w:pPr>
          </w:p>
        </w:tc>
      </w:tr>
      <w:tr>
        <w:trPr>
          <w:trHeight w:val="185"/>
        </w:trPr>
        <w:tc>
          <w:tcPr>
            <w:tcW w:w="5420" w:type="dxa"/>
            <w:vAlign w:val="bottom"/>
          </w:tcPr>
          <w:p>
            <w:pPr>
              <w:ind w:left="1060"/>
              <w:spacing w:after="0"/>
              <w:rPr>
                <w:sz w:val="20"/>
                <w:szCs w:val="20"/>
                <w:color w:val="auto"/>
              </w:rPr>
            </w:pPr>
            <w:r>
              <w:rPr>
                <w:rFonts w:ascii="Courier New" w:cs="Courier New" w:eastAsia="Courier New" w:hAnsi="Courier New"/>
                <w:sz w:val="16"/>
                <w:szCs w:val="16"/>
                <w:color w:val="auto"/>
              </w:rPr>
              <w:t>stockholders'</w:t>
            </w:r>
          </w:p>
        </w:tc>
        <w:tc>
          <w:tcPr>
            <w:tcW w:w="3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4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5420" w:type="dxa"/>
            <w:vAlign w:val="bottom"/>
          </w:tcPr>
          <w:p>
            <w:pPr>
              <w:spacing w:after="0"/>
              <w:rPr>
                <w:sz w:val="20"/>
                <w:szCs w:val="20"/>
                <w:color w:val="auto"/>
              </w:rPr>
            </w:pPr>
            <w:r>
              <w:rPr>
                <w:rFonts w:ascii="Courier New" w:cs="Courier New" w:eastAsia="Courier New" w:hAnsi="Courier New"/>
                <w:sz w:val="16"/>
                <w:szCs w:val="16"/>
                <w:color w:val="auto"/>
              </w:rPr>
              <w:t>Per share data:</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420" w:type="dxa"/>
            <w:vAlign w:val="bottom"/>
          </w:tcPr>
          <w:p>
            <w:pPr>
              <w:ind w:left="380"/>
              <w:spacing w:after="0"/>
              <w:rPr>
                <w:sz w:val="20"/>
                <w:szCs w:val="20"/>
                <w:color w:val="auto"/>
              </w:rPr>
            </w:pPr>
            <w:r>
              <w:rPr>
                <w:rFonts w:ascii="Courier New" w:cs="Courier New" w:eastAsia="Courier New" w:hAnsi="Courier New"/>
                <w:sz w:val="16"/>
                <w:szCs w:val="16"/>
                <w:color w:val="auto"/>
              </w:rPr>
              <w:t>Primary:</w:t>
            </w:r>
          </w:p>
        </w:tc>
        <w:tc>
          <w:tcPr>
            <w:tcW w:w="340" w:type="dxa"/>
            <w:vAlign w:val="bottom"/>
          </w:tcPr>
          <w:p>
            <w:pPr>
              <w:spacing w:after="0"/>
              <w:rPr>
                <w:sz w:val="16"/>
                <w:szCs w:val="16"/>
                <w:color w:val="auto"/>
              </w:rPr>
            </w:pPr>
          </w:p>
        </w:tc>
        <w:tc>
          <w:tcPr>
            <w:tcW w:w="12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7,671,064</w:t>
            </w:r>
          </w:p>
        </w:tc>
        <w:tc>
          <w:tcPr>
            <w:tcW w:w="340" w:type="dxa"/>
            <w:vAlign w:val="bottom"/>
          </w:tcPr>
          <w:p>
            <w:pPr>
              <w:spacing w:after="0"/>
              <w:rPr>
                <w:sz w:val="16"/>
                <w:szCs w:val="16"/>
                <w:color w:val="auto"/>
              </w:rPr>
            </w:pPr>
          </w:p>
        </w:tc>
        <w:tc>
          <w:tcPr>
            <w:tcW w:w="12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8,766,719</w:t>
            </w:r>
          </w:p>
        </w:tc>
        <w:tc>
          <w:tcPr>
            <w:tcW w:w="280" w:type="dxa"/>
            <w:vAlign w:val="bottom"/>
          </w:tcPr>
          <w:p>
            <w:pPr>
              <w:spacing w:after="0"/>
              <w:rPr>
                <w:sz w:val="16"/>
                <w:szCs w:val="16"/>
                <w:color w:val="auto"/>
              </w:rPr>
            </w:pPr>
          </w:p>
        </w:tc>
        <w:tc>
          <w:tcPr>
            <w:tcW w:w="12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7,671,064</w:t>
            </w:r>
          </w:p>
        </w:tc>
        <w:tc>
          <w:tcPr>
            <w:tcW w:w="280" w:type="dxa"/>
            <w:vAlign w:val="bottom"/>
          </w:tcPr>
          <w:p>
            <w:pPr>
              <w:spacing w:after="0"/>
              <w:rPr>
                <w:sz w:val="16"/>
                <w:szCs w:val="16"/>
                <w:color w:val="auto"/>
              </w:rPr>
            </w:pPr>
          </w:p>
        </w:tc>
        <w:tc>
          <w:tcPr>
            <w:tcW w:w="11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8,049,478</w:t>
            </w:r>
          </w:p>
        </w:tc>
        <w:tc>
          <w:tcPr>
            <w:tcW w:w="0" w:type="dxa"/>
            <w:vAlign w:val="bottom"/>
          </w:tcPr>
          <w:p>
            <w:pPr>
              <w:spacing w:after="0"/>
              <w:rPr>
                <w:sz w:val="1"/>
                <w:szCs w:val="1"/>
                <w:color w:val="auto"/>
              </w:rPr>
            </w:pPr>
          </w:p>
        </w:tc>
      </w:tr>
      <w:tr>
        <w:trPr>
          <w:trHeight w:val="185"/>
        </w:trPr>
        <w:tc>
          <w:tcPr>
            <w:tcW w:w="5420" w:type="dxa"/>
            <w:vAlign w:val="bottom"/>
          </w:tcPr>
          <w:p>
            <w:pPr>
              <w:ind w:left="86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20" w:type="dxa"/>
            <w:vAlign w:val="bottom"/>
            <w:vMerge w:val="restart"/>
          </w:tcPr>
          <w:p>
            <w:pPr>
              <w:ind w:left="860"/>
              <w:spacing w:after="0"/>
              <w:rPr>
                <w:sz w:val="20"/>
                <w:szCs w:val="20"/>
                <w:color w:val="auto"/>
              </w:rPr>
            </w:pPr>
            <w:r>
              <w:rPr>
                <w:rFonts w:ascii="Courier New" w:cs="Courier New" w:eastAsia="Courier New" w:hAnsi="Courier New"/>
                <w:sz w:val="16"/>
                <w:szCs w:val="16"/>
                <w:color w:val="auto"/>
              </w:rPr>
              <w:t>Net income (loss) per share</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420" w:type="dxa"/>
            <w:vAlign w:val="bottom"/>
            <w:vMerge w:val="continue"/>
          </w:tcPr>
          <w:p>
            <w:pPr>
              <w:spacing w:after="0"/>
              <w:rPr>
                <w:sz w:val="16"/>
                <w:szCs w:val="16"/>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(.08)</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71"/>
        </w:trPr>
        <w:tc>
          <w:tcPr>
            <w:tcW w:w="542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Fully diluted:</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54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7,671,064</w:t>
            </w:r>
          </w:p>
        </w:tc>
        <w:tc>
          <w:tcPr>
            <w:tcW w:w="340" w:type="dxa"/>
            <w:vAlign w:val="bottom"/>
          </w:tcPr>
          <w:p>
            <w:pPr>
              <w:spacing w:after="0"/>
              <w:rPr>
                <w:sz w:val="8"/>
                <w:szCs w:val="8"/>
                <w:color w:val="auto"/>
              </w:rPr>
            </w:pPr>
          </w:p>
        </w:tc>
        <w:tc>
          <w:tcPr>
            <w:tcW w:w="12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8,766,719</w:t>
            </w:r>
          </w:p>
        </w:tc>
        <w:tc>
          <w:tcPr>
            <w:tcW w:w="280" w:type="dxa"/>
            <w:vAlign w:val="bottom"/>
          </w:tcPr>
          <w:p>
            <w:pPr>
              <w:spacing w:after="0"/>
              <w:rPr>
                <w:sz w:val="8"/>
                <w:szCs w:val="8"/>
                <w:color w:val="auto"/>
              </w:rPr>
            </w:pPr>
          </w:p>
        </w:tc>
        <w:tc>
          <w:tcPr>
            <w:tcW w:w="12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7,671,064</w:t>
            </w:r>
          </w:p>
        </w:tc>
        <w:tc>
          <w:tcPr>
            <w:tcW w:w="280" w:type="dxa"/>
            <w:vAlign w:val="bottom"/>
          </w:tcPr>
          <w:p>
            <w:pPr>
              <w:spacing w:after="0"/>
              <w:rPr>
                <w:sz w:val="8"/>
                <w:szCs w:val="8"/>
                <w:color w:val="auto"/>
              </w:rPr>
            </w:pPr>
          </w:p>
        </w:tc>
        <w:tc>
          <w:tcPr>
            <w:tcW w:w="112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8,057,143</w:t>
            </w:r>
          </w:p>
        </w:tc>
        <w:tc>
          <w:tcPr>
            <w:tcW w:w="0" w:type="dxa"/>
            <w:vAlign w:val="bottom"/>
          </w:tcPr>
          <w:p>
            <w:pPr>
              <w:spacing w:after="0"/>
              <w:rPr>
                <w:sz w:val="1"/>
                <w:szCs w:val="1"/>
                <w:color w:val="auto"/>
              </w:rPr>
            </w:pPr>
          </w:p>
        </w:tc>
      </w:tr>
      <w:tr>
        <w:trPr>
          <w:trHeight w:val="185"/>
        </w:trPr>
        <w:tc>
          <w:tcPr>
            <w:tcW w:w="5420" w:type="dxa"/>
            <w:vAlign w:val="bottom"/>
          </w:tcPr>
          <w:p>
            <w:pPr>
              <w:ind w:left="86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420" w:type="dxa"/>
            <w:vAlign w:val="bottom"/>
            <w:vMerge w:val="restart"/>
          </w:tcPr>
          <w:p>
            <w:pPr>
              <w:ind w:left="860"/>
              <w:spacing w:after="0"/>
              <w:rPr>
                <w:sz w:val="20"/>
                <w:szCs w:val="20"/>
                <w:color w:val="auto"/>
              </w:rPr>
            </w:pPr>
            <w:r>
              <w:rPr>
                <w:rFonts w:ascii="Courier New" w:cs="Courier New" w:eastAsia="Courier New" w:hAnsi="Courier New"/>
                <w:sz w:val="16"/>
                <w:szCs w:val="16"/>
                <w:color w:val="auto"/>
              </w:rPr>
              <w:t>Net income (loss) per share</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5420" w:type="dxa"/>
            <w:vAlign w:val="bottom"/>
            <w:vMerge w:val="continue"/>
          </w:tcPr>
          <w:p>
            <w:pPr>
              <w:spacing w:after="0"/>
              <w:rPr>
                <w:sz w:val="16"/>
                <w:szCs w:val="16"/>
                <w:color w:val="auto"/>
              </w:rPr>
            </w:pPr>
          </w:p>
        </w:tc>
        <w:tc>
          <w:tcPr>
            <w:tcW w:w="34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(.08)</w:t>
            </w:r>
          </w:p>
        </w:tc>
        <w:tc>
          <w:tcPr>
            <w:tcW w:w="3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71"/>
        </w:trPr>
        <w:tc>
          <w:tcPr>
            <w:tcW w:w="542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right="4420"/>
        <w:spacing w:after="0" w:line="364"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189" w:lineRule="exact"/>
        <w:rPr>
          <w:sz w:val="20"/>
          <w:szCs w:val="20"/>
          <w:color w:val="auto"/>
        </w:rPr>
      </w:pPr>
    </w:p>
    <w:p>
      <w:pPr>
        <w:ind w:left="75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440"/>
          </w:cols>
          <w:pgMar w:left="240" w:top="641" w:right="219" w:bottom="1440" w:gutter="0" w:footer="0" w:header="0"/>
        </w:sectPr>
      </w:pPr>
    </w:p>
    <w:bookmarkStart w:id="3" w:name="page4"/>
    <w:bookmarkEnd w:id="3"/>
    <w:p>
      <w:pPr>
        <w:jc w:val="center"/>
        <w:ind w:right="2700"/>
        <w:spacing w:after="0"/>
        <w:rPr>
          <w:sz w:val="20"/>
          <w:szCs w:val="20"/>
          <w:color w:val="auto"/>
        </w:rPr>
      </w:pPr>
      <w:r>
        <w:rPr>
          <w:rFonts w:ascii="Courier New" w:cs="Courier New" w:eastAsia="Courier New" w:hAnsi="Courier New"/>
          <w:sz w:val="16"/>
          <w:szCs w:val="16"/>
          <w:color w:val="auto"/>
        </w:rPr>
        <w:t>TAKE-TWO INTERACTIVE SOFTWARE, INC. and SUBSIDIARIES</w:t>
      </w:r>
    </w:p>
    <w:p>
      <w:pPr>
        <w:spacing w:after="0" w:line="3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For the nine months ended July 31, 1996 and 1997 (unaudited)</w:t>
      </w:r>
    </w:p>
    <w:p>
      <w:pPr>
        <w:spacing w:after="0" w:line="4"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274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Nine Months Ended July 31,</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274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6"/>
                <w:szCs w:val="16"/>
                <w:color w:val="auto"/>
              </w:rPr>
            </w:pP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0" w:type="dxa"/>
            <w:vAlign w:val="bottom"/>
            <w:gridSpan w:val="3"/>
          </w:tcPr>
          <w:p>
            <w:pPr>
              <w:jc w:val="right"/>
              <w:ind w:right="780"/>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283"/>
        </w:trPr>
        <w:tc>
          <w:tcPr>
            <w:tcW w:w="76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440" w:type="dxa"/>
            <w:vAlign w:val="bottom"/>
            <w:gridSpan w:val="2"/>
            <w:vMerge w:val="restart"/>
          </w:tcPr>
          <w:p>
            <w:pPr>
              <w:jc w:val="right"/>
              <w:ind w:right="60"/>
              <w:spacing w:after="0"/>
              <w:rPr>
                <w:sz w:val="20"/>
                <w:szCs w:val="20"/>
                <w:color w:val="auto"/>
              </w:rPr>
            </w:pPr>
            <w:r>
              <w:rPr>
                <w:rFonts w:ascii="Courier New" w:cs="Courier New" w:eastAsia="Courier New" w:hAnsi="Courier New"/>
                <w:sz w:val="16"/>
                <w:szCs w:val="16"/>
                <w:color w:val="auto"/>
              </w:rPr>
              <w:t>$(1,106,476)</w:t>
            </w:r>
          </w:p>
        </w:tc>
        <w:tc>
          <w:tcPr>
            <w:tcW w:w="130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$(1,775,603)</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Net income (loss )</w:t>
            </w:r>
          </w:p>
        </w:tc>
        <w:tc>
          <w:tcPr>
            <w:tcW w:w="144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Adjustment to reconcile net loss to net cash used in operating activities:</w:t>
            </w:r>
          </w:p>
        </w:tc>
        <w:tc>
          <w:tcPr>
            <w:tcW w:w="34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169,344</w:t>
            </w:r>
          </w:p>
        </w:tc>
        <w:tc>
          <w:tcPr>
            <w:tcW w:w="240" w:type="dxa"/>
            <w:vAlign w:val="bottom"/>
          </w:tcPr>
          <w:p>
            <w:pPr>
              <w:spacing w:after="0"/>
              <w:rPr>
                <w:sz w:val="16"/>
                <w:szCs w:val="16"/>
                <w:color w:val="auto"/>
              </w:rPr>
            </w:pPr>
          </w:p>
        </w:tc>
        <w:tc>
          <w:tcPr>
            <w:tcW w:w="10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494,572</w:t>
            </w:r>
          </w:p>
        </w:tc>
        <w:tc>
          <w:tcPr>
            <w:tcW w:w="0" w:type="dxa"/>
            <w:vAlign w:val="bottom"/>
          </w:tcPr>
          <w:p>
            <w:pPr>
              <w:spacing w:after="0"/>
              <w:rPr>
                <w:sz w:val="1"/>
                <w:szCs w:val="1"/>
                <w:color w:val="auto"/>
              </w:rPr>
            </w:pPr>
          </w:p>
        </w:tc>
      </w:tr>
      <w:tr>
        <w:trPr>
          <w:trHeight w:val="185"/>
        </w:trPr>
        <w:tc>
          <w:tcPr>
            <w:tcW w:w="7640" w:type="dxa"/>
            <w:vAlign w:val="bottom"/>
          </w:tcPr>
          <w:p>
            <w:pPr>
              <w:ind w:left="580"/>
              <w:spacing w:after="0"/>
              <w:rPr>
                <w:sz w:val="20"/>
                <w:szCs w:val="20"/>
                <w:color w:val="auto"/>
              </w:rPr>
            </w:pPr>
            <w:r>
              <w:rPr>
                <w:rFonts w:ascii="Courier New" w:cs="Courier New" w:eastAsia="Courier New" w:hAnsi="Courier New"/>
                <w:sz w:val="16"/>
                <w:szCs w:val="16"/>
                <w:color w:val="auto"/>
              </w:rPr>
              <w:t>Depreciation and amortization</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580"/>
              <w:spacing w:after="0"/>
              <w:rPr>
                <w:sz w:val="20"/>
                <w:szCs w:val="20"/>
                <w:color w:val="auto"/>
              </w:rPr>
            </w:pPr>
            <w:r>
              <w:rPr>
                <w:rFonts w:ascii="Courier New" w:cs="Courier New" w:eastAsia="Courier New" w:hAnsi="Courier New"/>
                <w:sz w:val="16"/>
                <w:szCs w:val="16"/>
                <w:color w:val="auto"/>
              </w:rPr>
              <w:t>Provision for bad debts and return allowances</w:t>
            </w:r>
          </w:p>
        </w:tc>
        <w:tc>
          <w:tcPr>
            <w:tcW w:w="34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12,938</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300,000</w:t>
            </w:r>
          </w:p>
        </w:tc>
        <w:tc>
          <w:tcPr>
            <w:tcW w:w="0" w:type="dxa"/>
            <w:vAlign w:val="bottom"/>
          </w:tcPr>
          <w:p>
            <w:pPr>
              <w:spacing w:after="0"/>
              <w:rPr>
                <w:sz w:val="1"/>
                <w:szCs w:val="1"/>
                <w:color w:val="auto"/>
              </w:rPr>
            </w:pPr>
          </w:p>
        </w:tc>
      </w:tr>
      <w:tr>
        <w:trPr>
          <w:trHeight w:val="185"/>
        </w:trPr>
        <w:tc>
          <w:tcPr>
            <w:tcW w:w="7640" w:type="dxa"/>
            <w:vAlign w:val="bottom"/>
          </w:tcPr>
          <w:p>
            <w:pPr>
              <w:ind w:left="580"/>
              <w:spacing w:after="0"/>
              <w:rPr>
                <w:sz w:val="20"/>
                <w:szCs w:val="20"/>
                <w:color w:val="auto"/>
              </w:rPr>
            </w:pPr>
            <w:r>
              <w:rPr>
                <w:rFonts w:ascii="Courier New" w:cs="Courier New" w:eastAsia="Courier New" w:hAnsi="Courier New"/>
                <w:sz w:val="16"/>
                <w:szCs w:val="16"/>
                <w:color w:val="auto"/>
              </w:rPr>
              <w:t>Amortization of deferred compensation</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12,938</w:t>
            </w:r>
          </w:p>
        </w:tc>
        <w:tc>
          <w:tcPr>
            <w:tcW w:w="0" w:type="dxa"/>
            <w:vAlign w:val="bottom"/>
          </w:tcPr>
          <w:p>
            <w:pPr>
              <w:spacing w:after="0"/>
              <w:rPr>
                <w:sz w:val="1"/>
                <w:szCs w:val="1"/>
                <w:color w:val="auto"/>
              </w:rPr>
            </w:pPr>
          </w:p>
        </w:tc>
      </w:tr>
      <w:tr>
        <w:trPr>
          <w:trHeight w:val="185"/>
        </w:trPr>
        <w:tc>
          <w:tcPr>
            <w:tcW w:w="7640" w:type="dxa"/>
            <w:vAlign w:val="bottom"/>
          </w:tcPr>
          <w:p>
            <w:pPr>
              <w:ind w:left="580"/>
              <w:spacing w:after="0"/>
              <w:rPr>
                <w:sz w:val="20"/>
                <w:szCs w:val="20"/>
                <w:color w:val="auto"/>
              </w:rPr>
            </w:pPr>
            <w:r>
              <w:rPr>
                <w:rFonts w:ascii="Courier New" w:cs="Courier New" w:eastAsia="Courier New" w:hAnsi="Courier New"/>
                <w:sz w:val="16"/>
                <w:szCs w:val="16"/>
                <w:color w:val="auto"/>
              </w:rPr>
              <w:t>Amortization of loan discounts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412,974</w:t>
            </w:r>
          </w:p>
        </w:tc>
        <w:tc>
          <w:tcPr>
            <w:tcW w:w="0" w:type="dxa"/>
            <w:vAlign w:val="bottom"/>
          </w:tcPr>
          <w:p>
            <w:pPr>
              <w:spacing w:after="0"/>
              <w:rPr>
                <w:sz w:val="1"/>
                <w:szCs w:val="1"/>
                <w:color w:val="auto"/>
              </w:rPr>
            </w:pPr>
          </w:p>
        </w:tc>
      </w:tr>
      <w:tr>
        <w:trPr>
          <w:trHeight w:val="185"/>
        </w:trPr>
        <w:tc>
          <w:tcPr>
            <w:tcW w:w="7640" w:type="dxa"/>
            <w:vAlign w:val="bottom"/>
          </w:tcPr>
          <w:p>
            <w:pPr>
              <w:ind w:left="5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34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15,000</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580"/>
              <w:spacing w:after="0"/>
              <w:rPr>
                <w:sz w:val="20"/>
                <w:szCs w:val="20"/>
                <w:color w:val="auto"/>
              </w:rPr>
            </w:pPr>
            <w:r>
              <w:rPr>
                <w:rFonts w:ascii="Courier New" w:cs="Courier New" w:eastAsia="Courier New" w:hAnsi="Courier New"/>
                <w:sz w:val="16"/>
                <w:szCs w:val="16"/>
                <w:color w:val="auto"/>
              </w:rPr>
              <w:t>Issuance of compensatory stock</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(2,238,812)</w:t>
            </w: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Decrease (increase) in accounts receivable</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412,570</w:t>
            </w: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Decrease (increase) in capitalized software development costs</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32,408</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(1,287,197)</w:t>
            </w: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Decrease (increase) in prepaid royalties</w:t>
            </w:r>
          </w:p>
        </w:tc>
        <w:tc>
          <w:tcPr>
            <w:tcW w:w="3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(157,083)</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(993,250)</w:t>
            </w: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Decrease (increase) in other assets</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15,419</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21,430</w:t>
            </w: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Decrease (increase) in inventories</w:t>
            </w:r>
          </w:p>
        </w:tc>
        <w:tc>
          <w:tcPr>
            <w:tcW w:w="3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(168,627)</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58,293</w:t>
            </w: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Decrease (increase) in due from related company</w:t>
            </w:r>
          </w:p>
        </w:tc>
        <w:tc>
          <w:tcPr>
            <w:tcW w:w="3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(113,293)</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113,000</w:t>
            </w: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Increase (decrease) in accounts payable</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420,205</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1,557,751</w:t>
            </w: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Increase (decrease) in accrued expenses</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54,763</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152,610</w:t>
            </w: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Increase (decrease) in advances</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124,053</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315,058</w:t>
            </w:r>
          </w:p>
        </w:tc>
        <w:tc>
          <w:tcPr>
            <w:tcW w:w="0" w:type="dxa"/>
            <w:vAlign w:val="bottom"/>
          </w:tcPr>
          <w:p>
            <w:pPr>
              <w:spacing w:after="0"/>
              <w:rPr>
                <w:sz w:val="1"/>
                <w:szCs w:val="1"/>
                <w:color w:val="auto"/>
              </w:rPr>
            </w:pPr>
          </w:p>
        </w:tc>
      </w:tr>
      <w:tr>
        <w:trPr>
          <w:trHeight w:val="185"/>
        </w:trPr>
        <w:tc>
          <w:tcPr>
            <w:tcW w:w="7640" w:type="dxa"/>
            <w:vAlign w:val="bottom"/>
          </w:tcPr>
          <w:p>
            <w:pPr>
              <w:ind w:left="860"/>
              <w:spacing w:after="0"/>
              <w:rPr>
                <w:sz w:val="20"/>
                <w:szCs w:val="20"/>
                <w:color w:val="auto"/>
              </w:rPr>
            </w:pPr>
            <w:r>
              <w:rPr>
                <w:rFonts w:ascii="Courier New" w:cs="Courier New" w:eastAsia="Courier New" w:hAnsi="Courier New"/>
                <w:sz w:val="16"/>
                <w:szCs w:val="16"/>
                <w:color w:val="auto"/>
              </w:rPr>
              <w:t>Increase (decrease) in due to/from stockholders</w:t>
            </w:r>
          </w:p>
        </w:tc>
        <w:tc>
          <w:tcPr>
            <w:tcW w:w="3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(118,064)</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75,920</w:t>
            </w:r>
          </w:p>
        </w:tc>
        <w:tc>
          <w:tcPr>
            <w:tcW w:w="0" w:type="dxa"/>
            <w:vAlign w:val="bottom"/>
          </w:tcPr>
          <w:p>
            <w:pPr>
              <w:spacing w:after="0"/>
              <w:rPr>
                <w:sz w:val="1"/>
                <w:szCs w:val="1"/>
                <w:color w:val="auto"/>
              </w:rPr>
            </w:pPr>
          </w:p>
        </w:tc>
      </w:tr>
      <w:tr>
        <w:trPr>
          <w:trHeight w:val="185"/>
        </w:trPr>
        <w:tc>
          <w:tcPr>
            <w:tcW w:w="7640" w:type="dxa"/>
            <w:vAlign w:val="bottom"/>
            <w:vMerge w:val="restart"/>
          </w:tcPr>
          <w:p>
            <w:pPr>
              <w:ind w:left="1060"/>
              <w:spacing w:after="0"/>
              <w:rPr>
                <w:sz w:val="20"/>
                <w:szCs w:val="20"/>
                <w:color w:val="auto"/>
              </w:rPr>
            </w:pPr>
            <w:r>
              <w:rPr>
                <w:rFonts w:ascii="Courier New" w:cs="Courier New" w:eastAsia="Courier New" w:hAnsi="Courier New"/>
                <w:sz w:val="16"/>
                <w:szCs w:val="16"/>
                <w:color w:val="auto"/>
              </w:rPr>
              <w:t>Net cash used in operating activities</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(406,843)</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w w:val="98"/>
              </w:rPr>
              <w:t>(2,780,316)</w:t>
            </w: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68"/>
        </w:trPr>
        <w:tc>
          <w:tcPr>
            <w:tcW w:w="76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40" w:type="dxa"/>
            <w:vAlign w:val="bottom"/>
          </w:tcPr>
          <w:p>
            <w:pPr>
              <w:spacing w:after="0"/>
              <w:rPr>
                <w:sz w:val="24"/>
                <w:szCs w:val="24"/>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(122,113)</w:t>
            </w:r>
          </w:p>
        </w:tc>
        <w:tc>
          <w:tcPr>
            <w:tcW w:w="2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(45,129)</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Purchase of fixed assets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GameTek acquisition</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Additional royalty payment in connection with the Mission Acquisition</w:t>
            </w:r>
          </w:p>
        </w:tc>
        <w:tc>
          <w:tcPr>
            <w:tcW w:w="1440" w:type="dxa"/>
            <w:vAlign w:val="bottom"/>
            <w:gridSpan w:val="2"/>
            <w:vMerge w:val="restart"/>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(764,588)</w:t>
            </w:r>
          </w:p>
        </w:tc>
        <w:tc>
          <w:tcPr>
            <w:tcW w:w="0" w:type="dxa"/>
            <w:vAlign w:val="bottom"/>
          </w:tcPr>
          <w:p>
            <w:pPr>
              <w:spacing w:after="0"/>
              <w:rPr>
                <w:sz w:val="1"/>
                <w:szCs w:val="1"/>
                <w:color w:val="auto"/>
              </w:rPr>
            </w:pPr>
          </w:p>
        </w:tc>
      </w:tr>
      <w:tr>
        <w:trPr>
          <w:trHeight w:val="185"/>
        </w:trPr>
        <w:tc>
          <w:tcPr>
            <w:tcW w:w="7640" w:type="dxa"/>
            <w:vAlign w:val="bottom"/>
            <w:vMerge w:val="restart"/>
          </w:tcPr>
          <w:p>
            <w:pPr>
              <w:ind w:left="1060"/>
              <w:spacing w:after="0"/>
              <w:rPr>
                <w:sz w:val="20"/>
                <w:szCs w:val="20"/>
                <w:color w:val="auto"/>
              </w:rPr>
            </w:pPr>
            <w:r>
              <w:rPr>
                <w:rFonts w:ascii="Courier New" w:cs="Courier New" w:eastAsia="Courier New" w:hAnsi="Courier New"/>
                <w:sz w:val="16"/>
                <w:szCs w:val="16"/>
                <w:color w:val="auto"/>
              </w:rPr>
              <w:t>Net cash used in investing activities</w:t>
            </w:r>
          </w:p>
        </w:tc>
        <w:tc>
          <w:tcPr>
            <w:tcW w:w="1440" w:type="dxa"/>
            <w:vAlign w:val="bottom"/>
            <w:gridSpan w:val="2"/>
            <w:vMerge w:val="continue"/>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(122,113)</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(909,717)</w:t>
            </w: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76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40" w:type="dxa"/>
            <w:vAlign w:val="bottom"/>
          </w:tcPr>
          <w:p>
            <w:pPr>
              <w:spacing w:after="0"/>
              <w:rPr>
                <w:sz w:val="24"/>
                <w:szCs w:val="24"/>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192,000</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Issuance of stock in connection with a private placement, net of stock</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580"/>
              <w:spacing w:after="0"/>
              <w:rPr>
                <w:sz w:val="20"/>
                <w:szCs w:val="20"/>
                <w:color w:val="auto"/>
              </w:rPr>
            </w:pPr>
            <w:r>
              <w:rPr>
                <w:rFonts w:ascii="Courier New" w:cs="Courier New" w:eastAsia="Courier New" w:hAnsi="Courier New"/>
                <w:sz w:val="16"/>
                <w:szCs w:val="16"/>
                <w:color w:val="auto"/>
              </w:rPr>
              <w:t>issuance costs of $60,000</w:t>
            </w:r>
          </w:p>
        </w:tc>
        <w:tc>
          <w:tcPr>
            <w:tcW w:w="340" w:type="dxa"/>
            <w:vAlign w:val="bottom"/>
          </w:tcPr>
          <w:p>
            <w:pPr>
              <w:spacing w:after="0"/>
              <w:rPr>
                <w:sz w:val="16"/>
                <w:szCs w:val="16"/>
                <w:color w:val="auto"/>
              </w:rPr>
            </w:pPr>
          </w:p>
        </w:tc>
        <w:tc>
          <w:tcPr>
            <w:tcW w:w="110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45,000</w:t>
            </w:r>
          </w:p>
        </w:tc>
        <w:tc>
          <w:tcPr>
            <w:tcW w:w="240" w:type="dxa"/>
            <w:vAlign w:val="bottom"/>
          </w:tcPr>
          <w:p>
            <w:pPr>
              <w:spacing w:after="0"/>
              <w:rPr>
                <w:sz w:val="16"/>
                <w:szCs w:val="16"/>
                <w:color w:val="auto"/>
              </w:rPr>
            </w:pPr>
          </w:p>
        </w:tc>
        <w:tc>
          <w:tcPr>
            <w:tcW w:w="10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7,431,226</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Issuance of stock and warrants, net of stock issuance costs of $1,952,774</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Proceeds (repayments) under the line of credit</w:t>
            </w:r>
          </w:p>
        </w:tc>
        <w:tc>
          <w:tcPr>
            <w:tcW w:w="340" w:type="dxa"/>
            <w:vAlign w:val="bottom"/>
          </w:tcPr>
          <w:p>
            <w:pPr>
              <w:spacing w:after="0"/>
              <w:rPr>
                <w:sz w:val="16"/>
                <w:szCs w:val="16"/>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(31,303)</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35,653</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Proceeds from exercise of stock options</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750</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260</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Repayment of capital lease obligations</w:t>
            </w:r>
          </w:p>
        </w:tc>
        <w:tc>
          <w:tcPr>
            <w:tcW w:w="34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(8,529)</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(28,295)</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Principal payments on note payable</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(60,965)</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Principal payments on short term 1996 financing</w:t>
            </w:r>
          </w:p>
        </w:tc>
        <w:tc>
          <w:tcPr>
            <w:tcW w:w="340" w:type="dxa"/>
            <w:vAlign w:val="bottom"/>
          </w:tcPr>
          <w:p>
            <w:pPr>
              <w:spacing w:after="0"/>
              <w:rPr>
                <w:sz w:val="16"/>
                <w:szCs w:val="16"/>
                <w:color w:val="auto"/>
              </w:rPr>
            </w:pPr>
          </w:p>
        </w:tc>
        <w:tc>
          <w:tcPr>
            <w:tcW w:w="1100" w:type="dxa"/>
            <w:vAlign w:val="bottom"/>
            <w:vMerge w:val="restart"/>
          </w:tcPr>
          <w:p>
            <w:pPr>
              <w:jc w:val="right"/>
              <w:ind w:right="60"/>
              <w:spacing w:after="0"/>
              <w:rPr>
                <w:sz w:val="20"/>
                <w:szCs w:val="20"/>
                <w:color w:val="auto"/>
              </w:rPr>
            </w:pPr>
            <w:r>
              <w:rPr>
                <w:rFonts w:ascii="Courier New" w:cs="Courier New" w:eastAsia="Courier New" w:hAnsi="Courier New"/>
                <w:sz w:val="16"/>
                <w:szCs w:val="16"/>
                <w:color w:val="auto"/>
              </w:rPr>
              <w:t>(31,233)</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(373,572)</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Dividends and distributions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(237,092)</w:t>
            </w:r>
          </w:p>
        </w:tc>
        <w:tc>
          <w:tcPr>
            <w:tcW w:w="0" w:type="dxa"/>
            <w:vAlign w:val="bottom"/>
          </w:tcPr>
          <w:p>
            <w:pPr>
              <w:spacing w:after="0"/>
              <w:rPr>
                <w:sz w:val="1"/>
                <w:szCs w:val="1"/>
                <w:color w:val="auto"/>
              </w:rPr>
            </w:pPr>
          </w:p>
        </w:tc>
      </w:tr>
      <w:tr>
        <w:trPr>
          <w:trHeight w:val="185"/>
        </w:trPr>
        <w:tc>
          <w:tcPr>
            <w:tcW w:w="7640" w:type="dxa"/>
            <w:vAlign w:val="bottom"/>
            <w:vMerge w:val="restart"/>
          </w:tcPr>
          <w:p>
            <w:pPr>
              <w:ind w:left="106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166,685</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6,767,215</w:t>
            </w: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7640" w:type="dxa"/>
            <w:vAlign w:val="bottom"/>
          </w:tcPr>
          <w:p>
            <w:pPr>
              <w:ind w:left="1060"/>
              <w:spacing w:after="0"/>
              <w:rPr>
                <w:sz w:val="20"/>
                <w:szCs w:val="20"/>
                <w:color w:val="auto"/>
              </w:rPr>
            </w:pPr>
            <w:r>
              <w:rPr>
                <w:rFonts w:ascii="Courier New" w:cs="Courier New" w:eastAsia="Courier New" w:hAnsi="Courier New"/>
                <w:sz w:val="16"/>
                <w:szCs w:val="16"/>
                <w:color w:val="auto"/>
              </w:rPr>
              <w:t>Net increase (decrease) in cash for the period</w:t>
            </w:r>
          </w:p>
        </w:tc>
        <w:tc>
          <w:tcPr>
            <w:tcW w:w="34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(362,271)</w:t>
            </w:r>
          </w:p>
        </w:tc>
        <w:tc>
          <w:tcPr>
            <w:tcW w:w="24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3,077,182</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the period</w:t>
            </w:r>
          </w:p>
        </w:tc>
        <w:tc>
          <w:tcPr>
            <w:tcW w:w="3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536,198</w:t>
            </w:r>
          </w:p>
        </w:tc>
        <w:tc>
          <w:tcPr>
            <w:tcW w:w="240" w:type="dxa"/>
            <w:vAlign w:val="bottom"/>
          </w:tcPr>
          <w:p>
            <w:pPr>
              <w:spacing w:after="0"/>
              <w:rPr>
                <w:sz w:val="16"/>
                <w:szCs w:val="16"/>
                <w:color w:val="auto"/>
              </w:rPr>
            </w:pP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692,362</w:t>
            </w:r>
          </w:p>
        </w:tc>
        <w:tc>
          <w:tcPr>
            <w:tcW w:w="0" w:type="dxa"/>
            <w:vAlign w:val="bottom"/>
          </w:tcPr>
          <w:p>
            <w:pPr>
              <w:spacing w:after="0"/>
              <w:rPr>
                <w:sz w:val="1"/>
                <w:szCs w:val="1"/>
                <w:color w:val="auto"/>
              </w:rPr>
            </w:pPr>
          </w:p>
        </w:tc>
      </w:tr>
      <w:tr>
        <w:trPr>
          <w:trHeight w:val="185"/>
        </w:trPr>
        <w:tc>
          <w:tcPr>
            <w:tcW w:w="764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end of the period</w:t>
            </w: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7640" w:type="dxa"/>
            <w:vAlign w:val="bottom"/>
            <w:vMerge w:val="continue"/>
          </w:tcPr>
          <w:p>
            <w:pPr>
              <w:spacing w:after="0"/>
              <w:rPr>
                <w:sz w:val="16"/>
                <w:szCs w:val="16"/>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173,927</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$ 3,769,544</w:t>
            </w: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652"/>
        </w:trPr>
        <w:tc>
          <w:tcPr>
            <w:tcW w:w="7640" w:type="dxa"/>
            <w:vAlign w:val="bottom"/>
          </w:tcPr>
          <w:p>
            <w:pPr>
              <w:spacing w:after="0"/>
              <w:rPr>
                <w:sz w:val="20"/>
                <w:szCs w:val="20"/>
                <w:color w:val="auto"/>
              </w:rPr>
            </w:pPr>
            <w:r>
              <w:rPr>
                <w:rFonts w:ascii="Courier New" w:cs="Courier New" w:eastAsia="Courier New" w:hAnsi="Courier New"/>
                <w:sz w:val="16"/>
                <w:szCs w:val="16"/>
                <w:color w:val="auto"/>
              </w:rPr>
              <w:t>The Company acquired equipment under a capital lease obligation</w:t>
            </w: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17,040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505,088</w:t>
            </w: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7640" w:type="dxa"/>
            <w:vAlign w:val="bottom"/>
          </w:tcPr>
          <w:p>
            <w:pPr>
              <w:spacing w:after="0"/>
              <w:rPr>
                <w:sz w:val="20"/>
                <w:szCs w:val="20"/>
                <w:color w:val="auto"/>
              </w:rPr>
            </w:pPr>
            <w:r>
              <w:rPr>
                <w:rFonts w:ascii="Courier New" w:cs="Courier New" w:eastAsia="Courier New" w:hAnsi="Courier New"/>
                <w:sz w:val="16"/>
                <w:szCs w:val="16"/>
                <w:color w:val="auto"/>
              </w:rPr>
              <w:t>The Company accrued an additional amount relating to the purchase of</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vMerge w:val="restart"/>
          </w:tcPr>
          <w:p>
            <w:pPr>
              <w:jc w:val="right"/>
              <w:ind w:right="20"/>
              <w:spacing w:after="0"/>
              <w:rPr>
                <w:sz w:val="20"/>
                <w:szCs w:val="20"/>
                <w:color w:val="auto"/>
              </w:rPr>
            </w:pPr>
            <w:r>
              <w:rPr>
                <w:rFonts w:ascii="Courier New" w:cs="Courier New" w:eastAsia="Courier New" w:hAnsi="Courier New"/>
                <w:sz w:val="16"/>
                <w:szCs w:val="16"/>
                <w:color w:val="auto"/>
              </w:rPr>
              <w:t>814,478</w:t>
            </w:r>
          </w:p>
        </w:tc>
        <w:tc>
          <w:tcPr>
            <w:tcW w:w="0" w:type="dxa"/>
            <w:vAlign w:val="bottom"/>
          </w:tcPr>
          <w:p>
            <w:pPr>
              <w:spacing w:after="0"/>
              <w:rPr>
                <w:sz w:val="1"/>
                <w:szCs w:val="1"/>
                <w:color w:val="auto"/>
              </w:rPr>
            </w:pPr>
          </w:p>
        </w:tc>
      </w:tr>
      <w:tr>
        <w:trPr>
          <w:trHeight w:val="185"/>
        </w:trPr>
        <w:tc>
          <w:tcPr>
            <w:tcW w:w="7640" w:type="dxa"/>
            <w:vAlign w:val="bottom"/>
          </w:tcPr>
          <w:p>
            <w:pPr>
              <w:ind w:left="380"/>
              <w:spacing w:after="0"/>
              <w:rPr>
                <w:sz w:val="20"/>
                <w:szCs w:val="20"/>
                <w:color w:val="auto"/>
              </w:rPr>
            </w:pPr>
            <w:r>
              <w:rPr>
                <w:rFonts w:ascii="Courier New" w:cs="Courier New" w:eastAsia="Courier New" w:hAnsi="Courier New"/>
                <w:sz w:val="16"/>
                <w:szCs w:val="16"/>
                <w:color w:val="auto"/>
              </w:rPr>
              <w:t>Mission Studios Corporation</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360"/>
        <w:spacing w:after="0" w:line="364" w:lineRule="auto"/>
        <w:rPr>
          <w:sz w:val="20"/>
          <w:szCs w:val="20"/>
          <w:color w:val="auto"/>
        </w:rPr>
      </w:pPr>
      <w:r>
        <w:rPr>
          <w:rFonts w:ascii="Courier New" w:cs="Courier New" w:eastAsia="Courier New" w:hAnsi="Courier New"/>
          <w:sz w:val="16"/>
          <w:szCs w:val="16"/>
          <w:color w:val="auto"/>
        </w:rPr>
        <w:t>The accompanying notes are an integral part of the consolidated financial statements.</w:t>
      </w:r>
    </w:p>
    <w:p>
      <w:pPr>
        <w:spacing w:after="0" w:line="374" w:lineRule="exact"/>
        <w:rPr>
          <w:sz w:val="20"/>
          <w:szCs w:val="20"/>
          <w:color w:val="auto"/>
        </w:rPr>
      </w:pPr>
    </w:p>
    <w:p>
      <w:pPr>
        <w:ind w:left="75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380"/>
          </w:cols>
          <w:pgMar w:left="240" w:top="826" w:right="1279" w:bottom="115" w:gutter="0" w:footer="0" w:header="0"/>
        </w:sectPr>
      </w:pPr>
    </w:p>
    <w:bookmarkStart w:id="4" w:name="page5"/>
    <w:bookmarkEnd w:id="4"/>
    <w:p>
      <w:pPr>
        <w:jc w:val="center"/>
        <w:ind w:left="240" w:right="480"/>
        <w:spacing w:after="0" w:line="284" w:lineRule="auto"/>
        <w:rPr>
          <w:sz w:val="20"/>
          <w:szCs w:val="20"/>
          <w:color w:val="auto"/>
        </w:rPr>
      </w:pPr>
      <w:r>
        <w:rPr>
          <w:rFonts w:ascii="Courier New" w:cs="Courier New" w:eastAsia="Courier New" w:hAnsi="Courier New"/>
          <w:sz w:val="16"/>
          <w:szCs w:val="16"/>
          <w:color w:val="auto"/>
        </w:rPr>
        <w:t>TAKE-TWO INTERACTIVE SOFTWARE, INC. and SUBSIDIARIES Notes to Consolidated Financial Statements (Information at July 31, 1997 and for the three and nine month periods ended July 31, 1996 and 1997 is unaudited)</w:t>
      </w:r>
    </w:p>
    <w:p>
      <w:pPr>
        <w:spacing w:after="0" w:line="66" w:lineRule="exact"/>
        <w:rPr>
          <w:sz w:val="20"/>
          <w:szCs w:val="20"/>
          <w:color w:val="auto"/>
        </w:rPr>
      </w:pPr>
    </w:p>
    <w:p>
      <w:pPr>
        <w:ind w:left="381" w:hanging="381"/>
        <w:spacing w:after="0"/>
        <w:tabs>
          <w:tab w:leader="none" w:pos="38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8" w:lineRule="exact"/>
        <w:rPr>
          <w:sz w:val="20"/>
          <w:szCs w:val="20"/>
          <w:color w:val="auto"/>
        </w:rPr>
      </w:pPr>
    </w:p>
    <w:p>
      <w:pPr>
        <w:ind w:left="1" w:right="2819"/>
        <w:spacing w:after="0" w:line="268" w:lineRule="auto"/>
        <w:rPr>
          <w:sz w:val="20"/>
          <w:szCs w:val="20"/>
          <w:color w:val="auto"/>
        </w:rPr>
      </w:pPr>
      <w:r>
        <w:rPr>
          <w:rFonts w:ascii="Courier New" w:cs="Courier New" w:eastAsia="Courier New" w:hAnsi="Courier New"/>
          <w:sz w:val="16"/>
          <w:szCs w:val="16"/>
          <w:color w:val="auto"/>
        </w:rPr>
        <w:t>Take-Two Interactive Software, Inc. and its wholly owned subsidiaries (the "Company") designs, develops, publishes, markets and distributes interactive software games for use on multimedia personal computer and video game console platforms. The Company's interactive software games are sold primarily in the United States, Europe and Asia. The Company delivers game titles to consumers primarily through distribution and licensing arrangements.</w:t>
      </w:r>
    </w:p>
    <w:p>
      <w:pPr>
        <w:spacing w:after="0" w:line="264" w:lineRule="exact"/>
        <w:rPr>
          <w:sz w:val="20"/>
          <w:szCs w:val="20"/>
          <w:color w:val="auto"/>
        </w:rPr>
      </w:pPr>
    </w:p>
    <w:p>
      <w:pPr>
        <w:ind w:left="1" w:right="5119" w:hanging="1"/>
        <w:spacing w:after="0" w:line="489" w:lineRule="auto"/>
        <w:tabs>
          <w:tab w:leader="none" w:pos="38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Significant Accounting Policies and Transactions: Basis of Presentation</w:t>
      </w:r>
    </w:p>
    <w:p>
      <w:pPr>
        <w:ind w:left="1" w:right="2539"/>
        <w:spacing w:after="0" w:line="259" w:lineRule="auto"/>
        <w:rPr>
          <w:sz w:val="20"/>
          <w:szCs w:val="20"/>
          <w:color w:val="auto"/>
        </w:rPr>
      </w:pPr>
      <w:r>
        <w:rPr>
          <w:rFonts w:ascii="Courier New" w:cs="Courier New" w:eastAsia="Courier New" w:hAnsi="Courier New"/>
          <w:sz w:val="16"/>
          <w:szCs w:val="16"/>
          <w:color w:val="auto"/>
        </w:rPr>
        <w:t>The interim unaudited consolidated financial statements should be read in conjunction with the Company's audited financial statements contained in its Registration Statement on Form SB-2. All intercompany balances and transactions have been eliminated. The interim unaudited consolidated financial statements reflect adjustments, consisting only of normal recurring accruals, which are, in the opinion of the Company's management, necessary for a fair presentation of the results of operations for the periods presented. Revenues and net income (loss) for any interim period are not necessarily indicative of the results for a full year.</w:t>
      </w:r>
    </w:p>
    <w:p>
      <w:pPr>
        <w:spacing w:after="0" w:line="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Net Income (Loss) per Share</w:t>
      </w:r>
    </w:p>
    <w:p>
      <w:pPr>
        <w:spacing w:after="0" w:line="188" w:lineRule="exact"/>
        <w:rPr>
          <w:sz w:val="20"/>
          <w:szCs w:val="20"/>
          <w:color w:val="auto"/>
        </w:rPr>
      </w:pPr>
    </w:p>
    <w:p>
      <w:pPr>
        <w:ind w:left="1" w:right="2539"/>
        <w:spacing w:after="0" w:line="257" w:lineRule="auto"/>
        <w:rPr>
          <w:sz w:val="20"/>
          <w:szCs w:val="20"/>
          <w:color w:val="auto"/>
        </w:rPr>
      </w:pPr>
      <w:r>
        <w:rPr>
          <w:rFonts w:ascii="Courier New" w:cs="Courier New" w:eastAsia="Courier New" w:hAnsi="Courier New"/>
          <w:sz w:val="16"/>
          <w:szCs w:val="16"/>
          <w:color w:val="auto"/>
        </w:rPr>
        <w:t>In April 1997, the Company consummated an initial public offering of 1,600,000 shares of common stock and 1,840,000 common stock purchase warrants (including 240,000 warrants exercised pursuant to an over-allotment option). The proceeds from the offering were $6,428,302, net of discounts and commissions and offering expenses of $1,755,698. In connection with the initial public offering, the Board of Directors voted to increase the aggregate number of shares that the Company is authorized to issue to 20,000,317 shares, consisting of 15,000,000 shares of common stock, par value of $.01 per share, 317 shares of Class A Preferred Stock and 5,000,000 shares of Preferred Stock which can be issued in one or more series.</w:t>
      </w:r>
    </w:p>
    <w:p>
      <w:pPr>
        <w:spacing w:after="0" w:line="92" w:lineRule="exact"/>
        <w:rPr>
          <w:sz w:val="20"/>
          <w:szCs w:val="20"/>
          <w:color w:val="auto"/>
        </w:rPr>
      </w:pPr>
    </w:p>
    <w:p>
      <w:pPr>
        <w:ind w:left="1" w:right="2639"/>
        <w:spacing w:after="0" w:line="304" w:lineRule="auto"/>
        <w:rPr>
          <w:sz w:val="20"/>
          <w:szCs w:val="20"/>
          <w:color w:val="auto"/>
        </w:rPr>
      </w:pPr>
      <w:r>
        <w:rPr>
          <w:rFonts w:ascii="Courier New" w:cs="Courier New" w:eastAsia="Courier New" w:hAnsi="Courier New"/>
          <w:sz w:val="16"/>
          <w:szCs w:val="16"/>
          <w:color w:val="auto"/>
        </w:rPr>
        <w:t>In May 1997, the Underwriter purchased 240,000 shares of common stock pursuant to an over-allotment option. The proceeds were $1,002,924, net of discounts and commissions and offering expenses of $197,076.</w:t>
      </w:r>
    </w:p>
    <w:p>
      <w:pPr>
        <w:spacing w:after="0" w:line="50" w:lineRule="exact"/>
        <w:rPr>
          <w:sz w:val="20"/>
          <w:szCs w:val="20"/>
          <w:color w:val="auto"/>
        </w:rPr>
      </w:pPr>
    </w:p>
    <w:p>
      <w:pPr>
        <w:ind w:left="1" w:right="2639"/>
        <w:spacing w:after="0" w:line="256" w:lineRule="auto"/>
        <w:rPr>
          <w:sz w:val="20"/>
          <w:szCs w:val="20"/>
          <w:color w:val="auto"/>
        </w:rPr>
      </w:pPr>
      <w:r>
        <w:rPr>
          <w:rFonts w:ascii="Courier New" w:cs="Courier New" w:eastAsia="Courier New" w:hAnsi="Courier New"/>
          <w:sz w:val="16"/>
          <w:szCs w:val="16"/>
          <w:color w:val="auto"/>
        </w:rPr>
        <w:t>Net income (loss) per share has been computed in accordance with Accounting Principles Board Opinion (APB) No. 15 and is based on the net income (loss) for the period divided by the weighted average number of shares of common stock and common stock equivalents outstanding during the period using the treasury stock method. APB No. 15 requires that the weighted average number of shares outstanding exclude the number of common shares issuable upon the exercise of outstanding options and warrants and the conversion of preferred stock if such inclusion would be anti-dilutive. For periods prior to the initial public offering, pursuant to Securities and Exchange Commission Staff Accounting Bulletin No. 83, equity securities, including options and warrants, issued at prices below the public offering price of $5.00</w:t>
      </w:r>
    </w:p>
    <w:p>
      <w:pPr>
        <w:spacing w:after="0" w:line="275"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641" w:right="1440" w:bottom="1440" w:gutter="0" w:footer="0" w:header="0"/>
        </w:sectPr>
      </w:pPr>
    </w:p>
    <w:bookmarkStart w:id="5" w:name="page6"/>
    <w:bookmarkEnd w:id="5"/>
    <w:p>
      <w:pPr>
        <w:ind w:left="1" w:right="2919"/>
        <w:spacing w:after="0" w:line="284" w:lineRule="auto"/>
        <w:rPr>
          <w:sz w:val="20"/>
          <w:szCs w:val="20"/>
          <w:color w:val="auto"/>
        </w:rPr>
      </w:pPr>
      <w:r>
        <w:rPr>
          <w:rFonts w:ascii="Courier New" w:cs="Courier New" w:eastAsia="Courier New" w:hAnsi="Courier New"/>
          <w:sz w:val="16"/>
          <w:szCs w:val="16"/>
          <w:color w:val="auto"/>
        </w:rPr>
        <w:t>during the 12-month period prior to the offering have been included in the calculation as if they were outstanding for all periods presented, including years that have losses where the impact of the incremental shares is anti-dilutive.</w:t>
      </w:r>
    </w:p>
    <w:p>
      <w:pPr>
        <w:spacing w:after="0" w:line="6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Foreign Currency Translation</w:t>
      </w:r>
    </w:p>
    <w:p>
      <w:pPr>
        <w:spacing w:after="0" w:line="188" w:lineRule="exact"/>
        <w:rPr>
          <w:sz w:val="20"/>
          <w:szCs w:val="20"/>
          <w:color w:val="auto"/>
        </w:rPr>
      </w:pPr>
    </w:p>
    <w:p>
      <w:pPr>
        <w:ind w:left="1" w:right="2539"/>
        <w:spacing w:after="0" w:line="296" w:lineRule="auto"/>
        <w:rPr>
          <w:sz w:val="20"/>
          <w:szCs w:val="20"/>
          <w:color w:val="auto"/>
        </w:rPr>
      </w:pPr>
      <w:r>
        <w:rPr>
          <w:rFonts w:ascii="Courier New" w:cs="Courier New" w:eastAsia="Courier New" w:hAnsi="Courier New"/>
          <w:sz w:val="15"/>
          <w:szCs w:val="15"/>
          <w:color w:val="auto"/>
        </w:rPr>
        <w:t>The functional currency for the Company's foreign operations is the applicable local currency. Accounts of foreign operations are translated into U.S. dollars using quarter or year-end exchange rates for assets and liabilities and average quarterly exchange rates for revenue and expense accounts. Adjustments resulting from translation are included as a separate component of stockholders' equity.</w:t>
      </w:r>
    </w:p>
    <w:p>
      <w:pPr>
        <w:spacing w:after="0" w:line="246" w:lineRule="exact"/>
        <w:rPr>
          <w:sz w:val="20"/>
          <w:szCs w:val="20"/>
          <w:color w:val="auto"/>
        </w:rPr>
      </w:pPr>
    </w:p>
    <w:p>
      <w:pPr>
        <w:ind w:left="381" w:hanging="381"/>
        <w:spacing w:after="0"/>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Acquisitions</w:t>
      </w:r>
    </w:p>
    <w:p>
      <w:pPr>
        <w:spacing w:after="0" w:line="188" w:lineRule="exact"/>
        <w:rPr>
          <w:sz w:val="20"/>
          <w:szCs w:val="20"/>
          <w:color w:val="auto"/>
        </w:rPr>
      </w:pPr>
    </w:p>
    <w:p>
      <w:pPr>
        <w:ind w:left="1" w:right="2539"/>
        <w:spacing w:after="0" w:line="272" w:lineRule="auto"/>
        <w:rPr>
          <w:sz w:val="20"/>
          <w:szCs w:val="20"/>
          <w:color w:val="auto"/>
        </w:rPr>
      </w:pPr>
      <w:r>
        <w:rPr>
          <w:rFonts w:ascii="Courier New" w:cs="Courier New" w:eastAsia="Courier New" w:hAnsi="Courier New"/>
          <w:sz w:val="15"/>
          <w:szCs w:val="15"/>
          <w:color w:val="auto"/>
        </w:rPr>
        <w:t>On July 29, 1997, the Company acquired all the outstanding stock of GameTek UK Limited, now known as Take-Two Interactive Software Europe Limited ("Take-Two Europe"), and Alternative Reality Technologies, Inc. ("ART"), and certain software games including Dark Colony, The Quivering and The Reap. Take-Two Europe is in the business of distributing computer software games in Europe and other international markets and ART is a developer of computer software games. The total cost of the acquisition was $5,226,057, consisting of a cash payment of $100,000, promissory notes in the amount of $700,000, issuance of 406,553 restricted shares of common stock valued at $3,000,000, assumption of net liabilities of $1,376,897 and direct transaction costs of $48,162. A Form 8-K has been filed on August 13, 1997 with the Securities and Exchange Commission in connection with the acquisition. The allocation of the cost of the acquisition, financial statements of GameTek UK Limited, and unaudited proforma information will be filed by amendment within 60 days of the date the Form 8-K was filed.</w:t>
      </w:r>
    </w:p>
    <w:p>
      <w:pPr>
        <w:spacing w:after="0" w:line="75" w:lineRule="exact"/>
        <w:rPr>
          <w:sz w:val="20"/>
          <w:szCs w:val="20"/>
          <w:color w:val="auto"/>
        </w:rPr>
      </w:pPr>
    </w:p>
    <w:p>
      <w:pPr>
        <w:ind w:left="1" w:right="2539"/>
        <w:spacing w:after="0" w:line="268" w:lineRule="auto"/>
        <w:rPr>
          <w:sz w:val="20"/>
          <w:szCs w:val="20"/>
          <w:color w:val="auto"/>
        </w:rPr>
      </w:pPr>
      <w:r>
        <w:rPr>
          <w:rFonts w:ascii="Courier New" w:cs="Courier New" w:eastAsia="Courier New" w:hAnsi="Courier New"/>
          <w:sz w:val="16"/>
          <w:szCs w:val="16"/>
          <w:color w:val="auto"/>
        </w:rPr>
        <w:t>The acquisition described above has been accounted for as a purchase transaction in accordance with APB No. 16 and accordingly, the results of operations and financial position of the acquisition is included in the Company's consolidated financial statements from the date of acquisition. The purchase price has been allocated on a preliminary basis pending a final determination of the fair value of the acquired assets.</w:t>
      </w:r>
    </w:p>
    <w:p>
      <w:pPr>
        <w:spacing w:after="0" w:line="79" w:lineRule="exact"/>
        <w:rPr>
          <w:sz w:val="20"/>
          <w:szCs w:val="20"/>
          <w:color w:val="auto"/>
        </w:rPr>
      </w:pPr>
    </w:p>
    <w:p>
      <w:pPr>
        <w:ind w:left="1" w:right="2639"/>
        <w:spacing w:after="0" w:line="257" w:lineRule="auto"/>
        <w:rPr>
          <w:sz w:val="20"/>
          <w:szCs w:val="20"/>
          <w:color w:val="auto"/>
        </w:rPr>
      </w:pPr>
      <w:r>
        <w:rPr>
          <w:rFonts w:ascii="Courier New" w:cs="Courier New" w:eastAsia="Courier New" w:hAnsi="Courier New"/>
          <w:sz w:val="16"/>
          <w:szCs w:val="16"/>
          <w:color w:val="auto"/>
        </w:rPr>
        <w:t>On July 31, 1997, the Company acquired all the outstanding stock of Inventory Management Systems, Inc. ("IMSI") and Creative Alliance Group, Inc. ("CAG"). IMSI and CAG are engaged in the wholesale distribution of interactive software games. To effect the acquisition, all of the outstanding shares of common stock of each of IMSI and CAG were converted into an aggregate of 900,000 shares of restricted common stock of the Company. The acquisition has been accounted for as a pooling of interests in accordance with APB No. 16 and accordingly, the accompanying financial statements have been restated to include the results of operations and financial position of IMSI and CAG for all periods presented prior to the merger.</w:t>
      </w:r>
    </w:p>
    <w:p>
      <w:pPr>
        <w:spacing w:after="0" w:line="9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Prior to July 31, 1997, IMSI and CAG were S corporations. Distributions of</w:t>
      </w:r>
    </w:p>
    <w:p>
      <w:pPr>
        <w:spacing w:after="0" w:line="3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$202,092 were paid to the S corporation shareholders prior to the acquisition.</w:t>
      </w:r>
    </w:p>
    <w:p>
      <w:pPr>
        <w:spacing w:after="0" w:line="34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641" w:right="1440" w:bottom="1440" w:gutter="0" w:footer="0" w:header="0"/>
        </w:sectPr>
      </w:pPr>
    </w:p>
    <w:bookmarkStart w:id="6" w:name="page7"/>
    <w:bookmarkEnd w:id="6"/>
    <w:p>
      <w:pPr>
        <w:ind w:right="2819"/>
        <w:spacing w:after="0" w:line="364" w:lineRule="auto"/>
        <w:rPr>
          <w:sz w:val="20"/>
          <w:szCs w:val="20"/>
          <w:color w:val="auto"/>
        </w:rPr>
      </w:pPr>
      <w:r>
        <w:rPr>
          <w:rFonts w:ascii="Courier New" w:cs="Courier New" w:eastAsia="Courier New" w:hAnsi="Courier New"/>
          <w:sz w:val="16"/>
          <w:szCs w:val="16"/>
          <w:color w:val="auto"/>
        </w:rPr>
        <w:t>Separate results of the combining entities for the nine months ended July 31, 1996 and 1997 are as follows: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spacing w:after="0"/>
              <w:rPr>
                <w:sz w:val="16"/>
                <w:szCs w:val="16"/>
                <w:color w:val="auto"/>
              </w:rPr>
            </w:pPr>
          </w:p>
        </w:tc>
        <w:tc>
          <w:tcPr>
            <w:tcW w:w="26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Nine Months ended</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264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July 31, 1996</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July 31, 1997</w:t>
            </w:r>
          </w:p>
        </w:tc>
        <w:tc>
          <w:tcPr>
            <w:tcW w:w="0" w:type="dxa"/>
            <w:vAlign w:val="bottom"/>
          </w:tcPr>
          <w:p>
            <w:pPr>
              <w:spacing w:after="0"/>
              <w:rPr>
                <w:sz w:val="1"/>
                <w:szCs w:val="1"/>
                <w:color w:val="auto"/>
              </w:rPr>
            </w:pPr>
          </w:p>
        </w:tc>
      </w:tr>
      <w:tr>
        <w:trPr>
          <w:trHeight w:val="271"/>
        </w:trPr>
        <w:tc>
          <w:tcPr>
            <w:tcW w:w="2400" w:type="dxa"/>
            <w:vAlign w:val="bottom"/>
            <w:vMerge w:val="restart"/>
          </w:tcPr>
          <w:p>
            <w:pPr>
              <w:spacing w:after="0"/>
              <w:rPr>
                <w:sz w:val="20"/>
                <w:szCs w:val="20"/>
                <w:color w:val="auto"/>
              </w:rPr>
            </w:pPr>
            <w:r>
              <w:rPr>
                <w:rFonts w:ascii="Courier New" w:cs="Courier New" w:eastAsia="Courier New" w:hAnsi="Courier New"/>
                <w:sz w:val="16"/>
                <w:szCs w:val="16"/>
                <w:color w:val="auto"/>
              </w:rPr>
              <w:t>Total Revenues:</w:t>
            </w:r>
          </w:p>
        </w:tc>
        <w:tc>
          <w:tcPr>
            <w:tcW w:w="2640" w:type="dxa"/>
            <w:vAlign w:val="bottom"/>
            <w:gridSpan w:val="2"/>
          </w:tcPr>
          <w:p>
            <w:pPr>
              <w:ind w:left="96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2400" w:type="dxa"/>
            <w:vAlign w:val="bottom"/>
            <w:vMerge w:val="continue"/>
          </w:tcPr>
          <w:p>
            <w:pPr>
              <w:spacing w:after="0"/>
              <w:rPr>
                <w:sz w:val="8"/>
                <w:szCs w:val="8"/>
                <w:color w:val="auto"/>
              </w:rPr>
            </w:pPr>
          </w:p>
        </w:tc>
        <w:tc>
          <w:tcPr>
            <w:tcW w:w="1160" w:type="dxa"/>
            <w:vAlign w:val="bottom"/>
            <w:vMerge w:val="restart"/>
          </w:tcPr>
          <w:p>
            <w:pPr>
              <w:ind w:left="960"/>
              <w:spacing w:after="0"/>
              <w:rPr>
                <w:sz w:val="20"/>
                <w:szCs w:val="20"/>
                <w:color w:val="auto"/>
              </w:rPr>
            </w:pPr>
            <w:r>
              <w:rPr>
                <w:rFonts w:ascii="Courier New" w:cs="Courier New" w:eastAsia="Courier New" w:hAnsi="Courier New"/>
                <w:sz w:val="16"/>
                <w:szCs w:val="16"/>
                <w:color w:val="auto"/>
              </w:rPr>
              <w:t>$</w:t>
            </w:r>
          </w:p>
        </w:tc>
        <w:tc>
          <w:tcPr>
            <w:tcW w:w="1480" w:type="dxa"/>
            <w:vAlign w:val="bottom"/>
            <w:vMerge w:val="restart"/>
          </w:tcPr>
          <w:p>
            <w:pPr>
              <w:jc w:val="right"/>
              <w:ind w:right="440"/>
              <w:spacing w:after="0"/>
              <w:rPr>
                <w:sz w:val="20"/>
                <w:szCs w:val="20"/>
                <w:color w:val="auto"/>
              </w:rPr>
            </w:pPr>
            <w:r>
              <w:rPr>
                <w:rFonts w:ascii="Courier New" w:cs="Courier New" w:eastAsia="Courier New" w:hAnsi="Courier New"/>
                <w:sz w:val="16"/>
                <w:szCs w:val="16"/>
                <w:color w:val="auto"/>
              </w:rPr>
              <w:t>4,555,652</w:t>
            </w:r>
          </w:p>
        </w:tc>
        <w:tc>
          <w:tcPr>
            <w:tcW w:w="1880" w:type="dxa"/>
            <w:vAlign w:val="bottom"/>
            <w:vMerge w:val="restart"/>
          </w:tcPr>
          <w:p>
            <w:pPr>
              <w:jc w:val="right"/>
              <w:ind w:right="220"/>
              <w:spacing w:after="0"/>
              <w:rPr>
                <w:sz w:val="20"/>
                <w:szCs w:val="20"/>
                <w:color w:val="auto"/>
              </w:rPr>
            </w:pPr>
            <w:r>
              <w:rPr>
                <w:rFonts w:ascii="Courier New" w:cs="Courier New" w:eastAsia="Courier New" w:hAnsi="Courier New"/>
                <w:sz w:val="16"/>
                <w:szCs w:val="16"/>
                <w:color w:val="auto"/>
              </w:rPr>
              <w:t>$  8,763,075</w:t>
            </w:r>
          </w:p>
        </w:tc>
        <w:tc>
          <w:tcPr>
            <w:tcW w:w="0" w:type="dxa"/>
            <w:vAlign w:val="bottom"/>
          </w:tcPr>
          <w:p>
            <w:pPr>
              <w:spacing w:after="0"/>
              <w:rPr>
                <w:sz w:val="1"/>
                <w:szCs w:val="1"/>
                <w:color w:val="auto"/>
              </w:rPr>
            </w:pPr>
          </w:p>
        </w:tc>
      </w:tr>
      <w:tr>
        <w:trPr>
          <w:trHeight w:val="185"/>
        </w:trPr>
        <w:tc>
          <w:tcPr>
            <w:tcW w:w="2400" w:type="dxa"/>
            <w:vAlign w:val="bottom"/>
          </w:tcPr>
          <w:p>
            <w:pPr>
              <w:ind w:left="280"/>
              <w:spacing w:after="0"/>
              <w:rPr>
                <w:sz w:val="20"/>
                <w:szCs w:val="20"/>
                <w:color w:val="auto"/>
              </w:rPr>
            </w:pPr>
            <w:r>
              <w:rPr>
                <w:rFonts w:ascii="Courier New" w:cs="Courier New" w:eastAsia="Courier New" w:hAnsi="Courier New"/>
                <w:sz w:val="16"/>
                <w:szCs w:val="16"/>
                <w:color w:val="auto"/>
              </w:rPr>
              <w:t>Take-Two</w:t>
            </w:r>
          </w:p>
        </w:tc>
        <w:tc>
          <w:tcPr>
            <w:tcW w:w="116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00" w:type="dxa"/>
            <w:vAlign w:val="bottom"/>
          </w:tcPr>
          <w:p>
            <w:pPr>
              <w:ind w:left="280"/>
              <w:spacing w:after="0"/>
              <w:rPr>
                <w:sz w:val="20"/>
                <w:szCs w:val="20"/>
                <w:color w:val="auto"/>
              </w:rPr>
            </w:pPr>
            <w:r>
              <w:rPr>
                <w:rFonts w:ascii="Courier New" w:cs="Courier New" w:eastAsia="Courier New" w:hAnsi="Courier New"/>
                <w:sz w:val="16"/>
                <w:szCs w:val="16"/>
                <w:color w:val="auto"/>
              </w:rPr>
              <w:t>IMSI &amp; CAG</w:t>
            </w:r>
          </w:p>
        </w:tc>
        <w:tc>
          <w:tcPr>
            <w:tcW w:w="1160" w:type="dxa"/>
            <w:vAlign w:val="bottom"/>
          </w:tcPr>
          <w:p>
            <w:pPr>
              <w:spacing w:after="0"/>
              <w:rPr>
                <w:sz w:val="16"/>
                <w:szCs w:val="16"/>
                <w:color w:val="auto"/>
              </w:rPr>
            </w:pPr>
          </w:p>
        </w:tc>
        <w:tc>
          <w:tcPr>
            <w:tcW w:w="14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1,074,105</w:t>
            </w:r>
          </w:p>
        </w:tc>
        <w:tc>
          <w:tcPr>
            <w:tcW w:w="1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3,717,062</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264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116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5,629,757</w:t>
            </w:r>
          </w:p>
        </w:tc>
        <w:tc>
          <w:tcPr>
            <w:tcW w:w="1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$ 12,480,137</w:t>
            </w:r>
          </w:p>
        </w:tc>
        <w:tc>
          <w:tcPr>
            <w:tcW w:w="0" w:type="dxa"/>
            <w:vAlign w:val="bottom"/>
          </w:tcPr>
          <w:p>
            <w:pPr>
              <w:spacing w:after="0"/>
              <w:rPr>
                <w:sz w:val="1"/>
                <w:szCs w:val="1"/>
                <w:color w:val="auto"/>
              </w:rPr>
            </w:pPr>
          </w:p>
        </w:tc>
      </w:tr>
      <w:tr>
        <w:trPr>
          <w:trHeight w:val="271"/>
        </w:trPr>
        <w:tc>
          <w:tcPr>
            <w:tcW w:w="2400" w:type="dxa"/>
            <w:vAlign w:val="bottom"/>
          </w:tcPr>
          <w:p>
            <w:pPr>
              <w:spacing w:after="0"/>
              <w:rPr>
                <w:sz w:val="23"/>
                <w:szCs w:val="23"/>
                <w:color w:val="auto"/>
              </w:rPr>
            </w:pPr>
          </w:p>
        </w:tc>
        <w:tc>
          <w:tcPr>
            <w:tcW w:w="264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3"/>
        </w:trPr>
        <w:tc>
          <w:tcPr>
            <w:tcW w:w="24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2640" w:type="dxa"/>
            <w:vAlign w:val="bottom"/>
            <w:gridSpan w:val="2"/>
            <w:vMerge w:val="restart"/>
          </w:tcPr>
          <w:p>
            <w:pPr>
              <w:jc w:val="right"/>
              <w:ind w:right="340"/>
              <w:spacing w:after="0"/>
              <w:rPr>
                <w:sz w:val="20"/>
                <w:szCs w:val="20"/>
                <w:color w:val="auto"/>
              </w:rPr>
            </w:pPr>
            <w:r>
              <w:rPr>
                <w:rFonts w:ascii="Courier New" w:cs="Courier New" w:eastAsia="Courier New" w:hAnsi="Courier New"/>
                <w:sz w:val="16"/>
                <w:szCs w:val="16"/>
                <w:color w:val="auto"/>
              </w:rPr>
              <w:t>$ (1,143,167)</w:t>
            </w:r>
          </w:p>
        </w:tc>
        <w:tc>
          <w:tcPr>
            <w:tcW w:w="1880" w:type="dxa"/>
            <w:vAlign w:val="bottom"/>
            <w:vMerge w:val="restart"/>
          </w:tcPr>
          <w:p>
            <w:pPr>
              <w:jc w:val="right"/>
              <w:ind w:right="120"/>
              <w:spacing w:after="0"/>
              <w:rPr>
                <w:sz w:val="20"/>
                <w:szCs w:val="20"/>
                <w:color w:val="auto"/>
              </w:rPr>
            </w:pPr>
            <w:r>
              <w:rPr>
                <w:rFonts w:ascii="Courier New" w:cs="Courier New" w:eastAsia="Courier New" w:hAnsi="Courier New"/>
                <w:sz w:val="16"/>
                <w:szCs w:val="16"/>
                <w:color w:val="auto"/>
              </w:rPr>
              <w:t>$ (2,220,752)</w:t>
            </w:r>
          </w:p>
        </w:tc>
        <w:tc>
          <w:tcPr>
            <w:tcW w:w="0" w:type="dxa"/>
            <w:vAlign w:val="bottom"/>
          </w:tcPr>
          <w:p>
            <w:pPr>
              <w:spacing w:after="0"/>
              <w:rPr>
                <w:sz w:val="1"/>
                <w:szCs w:val="1"/>
                <w:color w:val="auto"/>
              </w:rPr>
            </w:pPr>
          </w:p>
        </w:tc>
      </w:tr>
      <w:tr>
        <w:trPr>
          <w:trHeight w:val="185"/>
        </w:trPr>
        <w:tc>
          <w:tcPr>
            <w:tcW w:w="2400" w:type="dxa"/>
            <w:vAlign w:val="bottom"/>
          </w:tcPr>
          <w:p>
            <w:pPr>
              <w:ind w:left="280"/>
              <w:spacing w:after="0"/>
              <w:rPr>
                <w:sz w:val="20"/>
                <w:szCs w:val="20"/>
                <w:color w:val="auto"/>
              </w:rPr>
            </w:pPr>
            <w:r>
              <w:rPr>
                <w:rFonts w:ascii="Courier New" w:cs="Courier New" w:eastAsia="Courier New" w:hAnsi="Courier New"/>
                <w:sz w:val="16"/>
                <w:szCs w:val="16"/>
                <w:color w:val="auto"/>
              </w:rPr>
              <w:t>Take-Two</w:t>
            </w:r>
          </w:p>
        </w:tc>
        <w:tc>
          <w:tcPr>
            <w:tcW w:w="2640" w:type="dxa"/>
            <w:vAlign w:val="bottom"/>
            <w:gridSpan w:val="2"/>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00" w:type="dxa"/>
            <w:vAlign w:val="bottom"/>
          </w:tcPr>
          <w:p>
            <w:pPr>
              <w:ind w:left="280"/>
              <w:spacing w:after="0"/>
              <w:rPr>
                <w:sz w:val="20"/>
                <w:szCs w:val="20"/>
                <w:color w:val="auto"/>
              </w:rPr>
            </w:pPr>
            <w:r>
              <w:rPr>
                <w:rFonts w:ascii="Courier New" w:cs="Courier New" w:eastAsia="Courier New" w:hAnsi="Courier New"/>
                <w:sz w:val="16"/>
                <w:szCs w:val="16"/>
                <w:color w:val="auto"/>
              </w:rPr>
              <w:t>IMSI &amp; CAG</w:t>
            </w:r>
          </w:p>
        </w:tc>
        <w:tc>
          <w:tcPr>
            <w:tcW w:w="1160" w:type="dxa"/>
            <w:vAlign w:val="bottom"/>
          </w:tcPr>
          <w:p>
            <w:pPr>
              <w:spacing w:after="0"/>
              <w:rPr>
                <w:sz w:val="16"/>
                <w:szCs w:val="16"/>
                <w:color w:val="auto"/>
              </w:rPr>
            </w:pPr>
          </w:p>
        </w:tc>
        <w:tc>
          <w:tcPr>
            <w:tcW w:w="14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36,691</w:t>
            </w:r>
          </w:p>
        </w:tc>
        <w:tc>
          <w:tcPr>
            <w:tcW w:w="1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445,149</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264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16"/>
                <w:szCs w:val="16"/>
                <w:color w:val="auto"/>
              </w:rPr>
            </w:pPr>
          </w:p>
        </w:tc>
        <w:tc>
          <w:tcPr>
            <w:tcW w:w="2640" w:type="dxa"/>
            <w:vAlign w:val="bottom"/>
            <w:gridSpan w:val="2"/>
          </w:tcPr>
          <w:p>
            <w:pPr>
              <w:jc w:val="right"/>
              <w:ind w:right="340"/>
              <w:spacing w:after="0"/>
              <w:rPr>
                <w:sz w:val="20"/>
                <w:szCs w:val="20"/>
                <w:color w:val="auto"/>
              </w:rPr>
            </w:pPr>
            <w:r>
              <w:rPr>
                <w:rFonts w:ascii="Courier New" w:cs="Courier New" w:eastAsia="Courier New" w:hAnsi="Courier New"/>
                <w:sz w:val="16"/>
                <w:szCs w:val="16"/>
                <w:color w:val="auto"/>
              </w:rPr>
              <w:t>$ (1,106,476)</w:t>
            </w:r>
          </w:p>
        </w:tc>
        <w:tc>
          <w:tcPr>
            <w:tcW w:w="1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 (1,775,603)</w:t>
            </w:r>
          </w:p>
        </w:tc>
        <w:tc>
          <w:tcPr>
            <w:tcW w:w="0" w:type="dxa"/>
            <w:vAlign w:val="bottom"/>
          </w:tcPr>
          <w:p>
            <w:pPr>
              <w:spacing w:after="0"/>
              <w:rPr>
                <w:sz w:val="1"/>
                <w:szCs w:val="1"/>
                <w:color w:val="auto"/>
              </w:rPr>
            </w:pPr>
          </w:p>
        </w:tc>
      </w:tr>
      <w:tr>
        <w:trPr>
          <w:trHeight w:val="271"/>
        </w:trPr>
        <w:tc>
          <w:tcPr>
            <w:tcW w:w="2400" w:type="dxa"/>
            <w:vAlign w:val="bottom"/>
          </w:tcPr>
          <w:p>
            <w:pPr>
              <w:spacing w:after="0"/>
              <w:rPr>
                <w:sz w:val="23"/>
                <w:szCs w:val="23"/>
                <w:color w:val="auto"/>
              </w:rPr>
            </w:pPr>
          </w:p>
        </w:tc>
        <w:tc>
          <w:tcPr>
            <w:tcW w:w="2640" w:type="dxa"/>
            <w:vAlign w:val="bottom"/>
            <w:gridSpan w:val="2"/>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Agreements</w:t>
      </w:r>
    </w:p>
    <w:p>
      <w:pPr>
        <w:spacing w:after="0" w:line="188" w:lineRule="exact"/>
        <w:rPr>
          <w:sz w:val="20"/>
          <w:szCs w:val="20"/>
          <w:color w:val="auto"/>
        </w:rPr>
      </w:pPr>
    </w:p>
    <w:p>
      <w:pPr>
        <w:ind w:right="2539"/>
        <w:spacing w:after="0" w:line="296" w:lineRule="auto"/>
        <w:rPr>
          <w:sz w:val="20"/>
          <w:szCs w:val="20"/>
          <w:color w:val="auto"/>
        </w:rPr>
      </w:pPr>
      <w:r>
        <w:rPr>
          <w:rFonts w:ascii="Courier New" w:cs="Courier New" w:eastAsia="Courier New" w:hAnsi="Courier New"/>
          <w:sz w:val="15"/>
          <w:szCs w:val="15"/>
          <w:color w:val="auto"/>
        </w:rPr>
        <w:t>In July 1997, the Company entered into two distribution agreements with GameTek, Inc., which granted to the Company the right to distribute computer software and related imagery for use on the Nintendo Gameboy portable console (the "Gameboy Distribution Agreement") and the Wheel of Fortune and Jeopardy! games for use on the N64 console game system (the "Jeopardy Distribution Agreement").</w:t>
      </w:r>
    </w:p>
    <w:p>
      <w:pPr>
        <w:spacing w:after="0" w:line="61" w:lineRule="exact"/>
        <w:rPr>
          <w:sz w:val="20"/>
          <w:szCs w:val="20"/>
          <w:color w:val="auto"/>
        </w:rPr>
      </w:pPr>
    </w:p>
    <w:p>
      <w:pPr>
        <w:ind w:right="2539"/>
        <w:spacing w:after="0" w:line="255" w:lineRule="auto"/>
        <w:rPr>
          <w:sz w:val="20"/>
          <w:szCs w:val="20"/>
          <w:color w:val="auto"/>
        </w:rPr>
      </w:pPr>
      <w:r>
        <w:rPr>
          <w:rFonts w:ascii="Courier New" w:cs="Courier New" w:eastAsia="Courier New" w:hAnsi="Courier New"/>
          <w:sz w:val="16"/>
          <w:szCs w:val="16"/>
          <w:color w:val="auto"/>
        </w:rPr>
        <w:t>Pursuant to the Gameboy Distribution Agreement, the Company was granted the exclusive right to sell and distribute Wheel of Fortune - German Edition, Pinball Deluxe, Race Days and Humans in certain European countries for a period commencing on July 29, 1997 and ending on the third anniversary of the release of the first computer software game, but in no event later than July 28, 2001. In consideration for such rights, the Company has agreed to pay to GameTek, Inc. the cost of manufacturing, shipping and insuring the games, $.15 per game unit and all royalties payable by GameTek, Inc. to third parties in respect of each such game. Upon expiration of the Gameboy Distribution Agreement, provided such termination was not as a result of a breach or default by the Company, the Company is permitted to continue to sell existing inventories for a six-month period.</w:t>
      </w:r>
    </w:p>
    <w:p>
      <w:pPr>
        <w:spacing w:after="0" w:line="91" w:lineRule="exact"/>
        <w:rPr>
          <w:sz w:val="20"/>
          <w:szCs w:val="20"/>
          <w:color w:val="auto"/>
        </w:rPr>
      </w:pPr>
    </w:p>
    <w:p>
      <w:pPr>
        <w:ind w:right="2539"/>
        <w:spacing w:after="0" w:line="269" w:lineRule="auto"/>
        <w:rPr>
          <w:sz w:val="20"/>
          <w:szCs w:val="20"/>
          <w:color w:val="auto"/>
        </w:rPr>
      </w:pPr>
      <w:r>
        <w:rPr>
          <w:rFonts w:ascii="Courier New" w:cs="Courier New" w:eastAsia="Courier New" w:hAnsi="Courier New"/>
          <w:sz w:val="15"/>
          <w:szCs w:val="15"/>
          <w:color w:val="auto"/>
        </w:rPr>
        <w:t>Pursuant to the Jeopardy Distribution Agreement, the Company was granted the exclusive worldwide right to sell and distribute Wheel of Fortune and Jeopardy! for use on the Nintendo N64 game system for a period commencing on July 29, 1997 and ending on the August 31, 1998. However, if GameTek, Inc. is able to obtain an extension of its license for these games, then the term shall extend through the last day of any such extension. In consideration of such rights, the Company has agreed to pay to GameTek, Inc. the cost of manufacturing and shipping the games, a per game unit royalty payment (the "GameTek Share"), and all royalties payable by GameTek, Inc. to third parties in respect of each such game. The Company also agreed to pay to GameTek, Inc. a minimum aggregate GameTek Share with respect to the first two game titles released, subject to certain reductions and set-offs, $450,000 of which was paid upon the execution of the agreement. Such amount may be recouped in the event GameTek, Inc. is unable to obtain an extension of its license for Wheel of Fortune and Jeopardy! or the Company's incurring more than $150,000 in advertising, marketing, promotion and sales support for the software. Upon expiration of the Jeopardy Distribution Agreement, provided such termination was not as a result of a breach or</w:t>
      </w:r>
    </w:p>
    <w:p>
      <w:pPr>
        <w:spacing w:after="0" w:line="27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41" w:right="1440" w:bottom="1440" w:gutter="0" w:footer="0" w:header="0"/>
        </w:sectPr>
      </w:pPr>
    </w:p>
    <w:bookmarkStart w:id="7" w:name="page8"/>
    <w:bookmarkEnd w:id="7"/>
    <w:p>
      <w:pPr>
        <w:ind w:right="2819"/>
        <w:spacing w:after="0" w:line="364" w:lineRule="auto"/>
        <w:rPr>
          <w:sz w:val="20"/>
          <w:szCs w:val="20"/>
          <w:color w:val="auto"/>
        </w:rPr>
      </w:pPr>
      <w:r>
        <w:rPr>
          <w:rFonts w:ascii="Courier New" w:cs="Courier New" w:eastAsia="Courier New" w:hAnsi="Courier New"/>
          <w:sz w:val="16"/>
          <w:szCs w:val="16"/>
          <w:color w:val="auto"/>
        </w:rPr>
        <w:t>default by the Company, the Company is permitted to continue to sell existing inventories for a six-month period.</w:t>
      </w:r>
    </w:p>
    <w:p>
      <w:pPr>
        <w:spacing w:after="0" w:line="5" w:lineRule="exact"/>
        <w:rPr>
          <w:sz w:val="20"/>
          <w:szCs w:val="20"/>
          <w:color w:val="auto"/>
        </w:rPr>
      </w:pPr>
    </w:p>
    <w:p>
      <w:pPr>
        <w:ind w:right="2539"/>
        <w:spacing w:after="0" w:line="253" w:lineRule="auto"/>
        <w:rPr>
          <w:sz w:val="20"/>
          <w:szCs w:val="20"/>
          <w:color w:val="auto"/>
        </w:rPr>
      </w:pPr>
      <w:r>
        <w:rPr>
          <w:rFonts w:ascii="Courier New" w:cs="Courier New" w:eastAsia="Courier New" w:hAnsi="Courier New"/>
          <w:sz w:val="16"/>
          <w:szCs w:val="16"/>
          <w:color w:val="auto"/>
        </w:rPr>
        <w:t>In February 1997, the Company entered into an agreement pursuant to which the Company granted a distributor the exclusive right to sell PC versions of Black Dahlia and JetFighter Full Burn by means of retail and OEM distribution in Europe, Iceland, the countries of the former USSR, the Middle East, Africa and India. The agreement provides for the Company to receive 70% of net receipts from retail sales and 50% of net receipts less the cost of sales from OEM arrangements. The distributor has agreed to pay the Company aggregate advances of approximately $1,240,000, of which $512,000 has been received to date. Under the agreement, the Company is responsible for providing finished products but may elect to subcontract the manufacturing and warehousing of its products to the distributor at cost plus a management fee of 10% of such cost. The agreement requires the Company to localize its products (subject to the distributor's approval) for use in Germany, France and any other countries requested and to provide all end-user technical support. The agreement has a term of three years with respect to each product.</w:t>
      </w:r>
    </w:p>
    <w:p>
      <w:pPr>
        <w:spacing w:after="0" w:line="90" w:lineRule="exact"/>
        <w:rPr>
          <w:sz w:val="20"/>
          <w:szCs w:val="20"/>
          <w:color w:val="auto"/>
        </w:rPr>
      </w:pPr>
    </w:p>
    <w:p>
      <w:pPr>
        <w:ind w:right="2639"/>
        <w:spacing w:after="0" w:line="268" w:lineRule="auto"/>
        <w:rPr>
          <w:sz w:val="20"/>
          <w:szCs w:val="20"/>
          <w:color w:val="auto"/>
        </w:rPr>
      </w:pPr>
      <w:r>
        <w:rPr>
          <w:rFonts w:ascii="Courier New" w:cs="Courier New" w:eastAsia="Courier New" w:hAnsi="Courier New"/>
          <w:sz w:val="16"/>
          <w:szCs w:val="16"/>
          <w:color w:val="auto"/>
        </w:rPr>
        <w:t>The Company also has an agreement with the same distributor entered into in December 1996 (which was amended in July 1997) for the distribution of certain of the Company's products in the United States and Canada. The agreement obligates the distributor to provide the Company with advances in the aggregate amount of $2,625,000, subject to the completion of specified stages of product development, of which $1,225,000 has been received to date.</w:t>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Promissory Notes Payable</w:t>
      </w:r>
    </w:p>
    <w:p>
      <w:pPr>
        <w:spacing w:after="0" w:line="188" w:lineRule="exact"/>
        <w:rPr>
          <w:sz w:val="20"/>
          <w:szCs w:val="20"/>
          <w:color w:val="auto"/>
        </w:rPr>
      </w:pPr>
    </w:p>
    <w:p>
      <w:pPr>
        <w:ind w:right="2639"/>
        <w:spacing w:after="0" w:line="268" w:lineRule="auto"/>
        <w:rPr>
          <w:sz w:val="20"/>
          <w:szCs w:val="20"/>
          <w:color w:val="auto"/>
        </w:rPr>
      </w:pPr>
      <w:r>
        <w:rPr>
          <w:rFonts w:ascii="Courier New" w:cs="Courier New" w:eastAsia="Courier New" w:hAnsi="Courier New"/>
          <w:sz w:val="16"/>
          <w:szCs w:val="16"/>
          <w:color w:val="auto"/>
        </w:rPr>
        <w:t>In connection with the purchase of Take-Two Europe, ART and certain software games (See Note 3), the Company issued an unsecured promissory note in the amount of $500,000 payable in two equal annual installments of $250,000 on July 29, 1998 and July 29, 1999, and bears interest at a rate of 8% per annum, payable quarterly. In addition, the Company issued a promissory note in the amount of $200,000 which is payable on September 15, 1997.</w:t>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Line of Credit</w:t>
      </w:r>
    </w:p>
    <w:p>
      <w:pPr>
        <w:spacing w:after="0" w:line="188" w:lineRule="exact"/>
        <w:rPr>
          <w:sz w:val="20"/>
          <w:szCs w:val="20"/>
          <w:color w:val="auto"/>
        </w:rPr>
      </w:pPr>
    </w:p>
    <w:p>
      <w:pPr>
        <w:ind w:right="2539"/>
        <w:spacing w:after="0" w:line="256" w:lineRule="auto"/>
        <w:rPr>
          <w:sz w:val="20"/>
          <w:szCs w:val="20"/>
          <w:color w:val="auto"/>
        </w:rPr>
      </w:pPr>
      <w:r>
        <w:rPr>
          <w:rFonts w:ascii="Courier New" w:cs="Courier New" w:eastAsia="Courier New" w:hAnsi="Courier New"/>
          <w:sz w:val="16"/>
          <w:szCs w:val="16"/>
          <w:color w:val="auto"/>
        </w:rPr>
        <w:t>In December 1996, Take-Two Europe entered into a line-of-credit agreement which provides for up to 500,000 pounds sterling (approximately $819,000) of short-term financing. Any amounts taken against this line-of-credit bear interest at the rate of 2.25% over Barclays Bank base rate per annum (9.0% as of July 31, 1997). Interest is payable quarterly. Borrowings under the line-of-credit are collateralized by the receivables of Take-Two Europe. Take-Two Europe's accounts receivable balances must at all times be at least twice the amount outstanding on the line-of-credit. The line-of-credit is cancelable and repayable upon demand. The Company has classified the line-of-credit as current. The available credit under this facility is approximately 175,000 pounds sterling at July 31, 1997.</w:t>
      </w:r>
    </w:p>
    <w:p>
      <w:pPr>
        <w:spacing w:after="0" w:line="91" w:lineRule="exact"/>
        <w:rPr>
          <w:sz w:val="20"/>
          <w:szCs w:val="20"/>
          <w:color w:val="auto"/>
        </w:rPr>
      </w:pPr>
    </w:p>
    <w:p>
      <w:pPr>
        <w:ind w:right="2719"/>
        <w:spacing w:after="0" w:line="264" w:lineRule="auto"/>
        <w:rPr>
          <w:sz w:val="20"/>
          <w:szCs w:val="20"/>
          <w:color w:val="auto"/>
        </w:rPr>
      </w:pPr>
      <w:r>
        <w:rPr>
          <w:rFonts w:ascii="Courier New" w:cs="Courier New" w:eastAsia="Courier New" w:hAnsi="Courier New"/>
          <w:sz w:val="16"/>
          <w:szCs w:val="16"/>
          <w:color w:val="auto"/>
        </w:rPr>
        <w:t>In February 1997, IMSI entered into a line-of-credit agreement which provides for up to $250,000 of short-term financing. Any amounts taken against this line-of-credit bear interest at Crestar's prime rate plus a margin of .5% per annum (9.0% as of July 31, 1997). Borrowings under the line-of-credit are collateralized by all the assets of IMSI. The agreement is cancelable at any time by either party or 36 months from the date of the agreement, whichever is sooner. The line-of-credit is due and payable upon</w:t>
      </w:r>
    </w:p>
    <w:p>
      <w:pPr>
        <w:spacing w:after="0" w:line="26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1" w:right="1440" w:bottom="1440" w:gutter="0" w:footer="0" w:header="0"/>
        </w:sectPr>
      </w:pPr>
    </w:p>
    <w:bookmarkStart w:id="8" w:name="page9"/>
    <w:bookmarkEnd w:id="8"/>
    <w:p>
      <w:pPr>
        <w:ind w:left="1" w:right="2639"/>
        <w:spacing w:after="0" w:line="404" w:lineRule="auto"/>
        <w:rPr>
          <w:sz w:val="20"/>
          <w:szCs w:val="20"/>
          <w:color w:val="auto"/>
        </w:rPr>
      </w:pPr>
      <w:r>
        <w:rPr>
          <w:rFonts w:ascii="Courier New" w:cs="Courier New" w:eastAsia="Courier New" w:hAnsi="Courier New"/>
          <w:sz w:val="15"/>
          <w:szCs w:val="15"/>
          <w:color w:val="auto"/>
        </w:rPr>
        <w:t>demand. The Company has classified the line-of-credit as current. The available credit under this facility is approximately $35,000 at July 31, 1997.</w:t>
      </w:r>
    </w:p>
    <w:p>
      <w:pPr>
        <w:spacing w:after="0" w:line="16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 Employment Agreements</w:t>
      </w:r>
    </w:p>
    <w:p>
      <w:pPr>
        <w:spacing w:after="0" w:line="188" w:lineRule="exact"/>
        <w:rPr>
          <w:sz w:val="20"/>
          <w:szCs w:val="20"/>
          <w:color w:val="auto"/>
        </w:rPr>
      </w:pPr>
    </w:p>
    <w:p>
      <w:pPr>
        <w:ind w:left="1" w:right="2539"/>
        <w:spacing w:after="0" w:line="259" w:lineRule="auto"/>
        <w:rPr>
          <w:sz w:val="20"/>
          <w:szCs w:val="20"/>
          <w:color w:val="auto"/>
        </w:rPr>
      </w:pPr>
      <w:r>
        <w:rPr>
          <w:rFonts w:ascii="Courier New" w:cs="Courier New" w:eastAsia="Courier New" w:hAnsi="Courier New"/>
          <w:sz w:val="16"/>
          <w:szCs w:val="16"/>
          <w:color w:val="auto"/>
        </w:rPr>
        <w:t>In connection with the acquisition of Take-Two Europe and ART (See Note 3), the Company entered into an employment agreement with an executive officer of Take-Two Europe for a term expiring July 29, 2000. The employment agreement provides for a fixed base salary at an annual rate of 100,000 pounds sterling (approximately $164,000), plus an annual bonus equal to 7.5% of the net pre-tax profits of Take-Two Europe. The Company also has employment agreements with three key employees of ART which expire February 6, 1998. The agreements provide for annual salaries of 80,000 Canadian dollars (approximately $106,000) per annum for each employee.</w:t>
      </w:r>
    </w:p>
    <w:p>
      <w:pPr>
        <w:spacing w:after="0" w:line="87" w:lineRule="exact"/>
        <w:rPr>
          <w:sz w:val="20"/>
          <w:szCs w:val="20"/>
          <w:color w:val="auto"/>
        </w:rPr>
      </w:pPr>
    </w:p>
    <w:p>
      <w:pPr>
        <w:ind w:left="1" w:right="2539"/>
        <w:spacing w:after="0" w:line="261" w:lineRule="auto"/>
        <w:rPr>
          <w:sz w:val="20"/>
          <w:szCs w:val="20"/>
          <w:color w:val="auto"/>
        </w:rPr>
      </w:pPr>
      <w:r>
        <w:rPr>
          <w:rFonts w:ascii="Courier New" w:cs="Courier New" w:eastAsia="Courier New" w:hAnsi="Courier New"/>
          <w:sz w:val="16"/>
          <w:szCs w:val="16"/>
          <w:color w:val="auto"/>
        </w:rPr>
        <w:t>In connection with the acquisition of IMSI and CAG (See Note 3), a subsidiary of the Company entered into an employment agreement with a former shareholder of IMSI and CAG and a consulting agreement with another former shareholder of IMSI and CAG for a term expiring on July 31, 2000. Pursuant to such agreements, the former shareholders are entitled to receive 6% of earnings before interest and taxes generated by the subsidiary up to $500,000 and 9% of earnings before interest and taxes in excess of $500,000. In addition, the employment agreement provides for a fixed base salary at an annual rate of $120,000.</w:t>
      </w:r>
    </w:p>
    <w:p>
      <w:pPr>
        <w:spacing w:after="0" w:line="271" w:lineRule="exact"/>
        <w:rPr>
          <w:sz w:val="20"/>
          <w:szCs w:val="20"/>
          <w:color w:val="auto"/>
        </w:rPr>
      </w:pPr>
    </w:p>
    <w:p>
      <w:pPr>
        <w:ind w:left="381" w:hanging="381"/>
        <w:spacing w:after="0"/>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w:t>
      </w:r>
    </w:p>
    <w:p>
      <w:pPr>
        <w:spacing w:after="0" w:line="188" w:lineRule="exact"/>
        <w:rPr>
          <w:sz w:val="20"/>
          <w:szCs w:val="20"/>
          <w:color w:val="auto"/>
        </w:rPr>
      </w:pPr>
    </w:p>
    <w:p>
      <w:pPr>
        <w:ind w:left="1" w:right="2539"/>
        <w:spacing w:after="0" w:line="264" w:lineRule="auto"/>
        <w:rPr>
          <w:sz w:val="20"/>
          <w:szCs w:val="20"/>
          <w:color w:val="auto"/>
        </w:rPr>
      </w:pPr>
      <w:r>
        <w:rPr>
          <w:rFonts w:ascii="Courier New" w:cs="Courier New" w:eastAsia="Courier New" w:hAnsi="Courier New"/>
          <w:sz w:val="16"/>
          <w:szCs w:val="16"/>
          <w:color w:val="auto"/>
        </w:rPr>
        <w:t>In February 1997, the holder of the Class B Preferred Stock elected to convert all outstanding shares into 409,791 shares of common stock. As an inducement to enter into such agreement, the Company issued warrants to purchase 38,747 shares of Common Stock at an exercise price of $2.41 per share. Approximately, $100,000 has been recorded as an additional dividend for the nine month period ended July 31, 1997, and is reflected in the earnings per share computations for such period.</w:t>
      </w:r>
    </w:p>
    <w:p>
      <w:pPr>
        <w:spacing w:after="0" w:line="83" w:lineRule="exact"/>
        <w:rPr>
          <w:sz w:val="20"/>
          <w:szCs w:val="20"/>
          <w:color w:val="auto"/>
        </w:rPr>
      </w:pPr>
    </w:p>
    <w:p>
      <w:pPr>
        <w:ind w:left="1" w:right="2539"/>
        <w:spacing w:after="0" w:line="304" w:lineRule="auto"/>
        <w:rPr>
          <w:sz w:val="20"/>
          <w:szCs w:val="20"/>
          <w:color w:val="auto"/>
        </w:rPr>
      </w:pPr>
      <w:r>
        <w:rPr>
          <w:rFonts w:ascii="Courier New" w:cs="Courier New" w:eastAsia="Courier New" w:hAnsi="Courier New"/>
          <w:sz w:val="16"/>
          <w:szCs w:val="16"/>
          <w:color w:val="auto"/>
        </w:rPr>
        <w:t>Concurrent with the initial public offering, options to purchase an aggregate of 390,000 shares were granted at exercise prices ranging from $5.00 to $5.50 to various employees and officers of the Company.</w:t>
      </w:r>
    </w:p>
    <w:p>
      <w:pPr>
        <w:spacing w:after="0" w:line="235" w:lineRule="exact"/>
        <w:rPr>
          <w:sz w:val="20"/>
          <w:szCs w:val="20"/>
          <w:color w:val="auto"/>
        </w:rPr>
      </w:pPr>
    </w:p>
    <w:p>
      <w:pPr>
        <w:ind w:left="381" w:hanging="381"/>
        <w:spacing w:after="0"/>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Leases</w:t>
      </w:r>
    </w:p>
    <w:p>
      <w:pPr>
        <w:spacing w:after="0" w:line="188" w:lineRule="exact"/>
        <w:rPr>
          <w:sz w:val="20"/>
          <w:szCs w:val="20"/>
          <w:color w:val="auto"/>
        </w:rPr>
      </w:pPr>
    </w:p>
    <w:p>
      <w:pPr>
        <w:ind w:left="1" w:right="2539"/>
        <w:spacing w:after="0" w:line="304" w:lineRule="auto"/>
        <w:rPr>
          <w:sz w:val="20"/>
          <w:szCs w:val="20"/>
          <w:color w:val="auto"/>
        </w:rPr>
      </w:pPr>
      <w:r>
        <w:rPr>
          <w:rFonts w:ascii="Courier New" w:cs="Courier New" w:eastAsia="Courier New" w:hAnsi="Courier New"/>
          <w:sz w:val="16"/>
          <w:szCs w:val="16"/>
          <w:color w:val="auto"/>
        </w:rPr>
        <w:t>In May and June 1997, the Company leased computer equipment and software for the development of software titles. The leases are capital leases which extend through June 30, 2000, under which the Company pays $17,463 per month.</w:t>
      </w:r>
    </w:p>
    <w:p>
      <w:pPr>
        <w:spacing w:after="0" w:line="235" w:lineRule="exact"/>
        <w:rPr>
          <w:sz w:val="20"/>
          <w:szCs w:val="20"/>
          <w:color w:val="auto"/>
        </w:rPr>
      </w:pPr>
    </w:p>
    <w:p>
      <w:pPr>
        <w:ind w:left="481" w:hanging="481"/>
        <w:spacing w:after="0"/>
        <w:tabs>
          <w:tab w:leader="none" w:pos="4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Recently Issued Accounting Pronouncements</w:t>
      </w:r>
    </w:p>
    <w:p>
      <w:pPr>
        <w:spacing w:after="0" w:line="188" w:lineRule="exact"/>
        <w:rPr>
          <w:sz w:val="20"/>
          <w:szCs w:val="20"/>
          <w:color w:val="auto"/>
        </w:rPr>
      </w:pPr>
    </w:p>
    <w:p>
      <w:pPr>
        <w:ind w:left="1" w:right="2719"/>
        <w:spacing w:after="0" w:line="268" w:lineRule="auto"/>
        <w:rPr>
          <w:sz w:val="20"/>
          <w:szCs w:val="20"/>
          <w:color w:val="auto"/>
        </w:rPr>
      </w:pPr>
      <w:r>
        <w:rPr>
          <w:rFonts w:ascii="Courier New" w:cs="Courier New" w:eastAsia="Courier New" w:hAnsi="Courier New"/>
          <w:sz w:val="16"/>
          <w:szCs w:val="16"/>
          <w:color w:val="auto"/>
        </w:rPr>
        <w:t>In March 1995, the Financial Accounting Standards Board ("FASB") issued Statement of Financial Standards No. 121, "Accounting for the Impairment of Long-Lived Assets and for Long-Lived Assets to be Disposed of" ( "SFAS 121"). SFAS 121 requires that an impairment loss be recognized for long-lived assets and certain identifiable intangibles when the carrying amounts of these assets may not be</w:t>
      </w:r>
    </w:p>
    <w:p>
      <w:pPr>
        <w:spacing w:after="0" w:line="264"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641" w:right="1440" w:bottom="1440" w:gutter="0" w:footer="0" w:header="0"/>
        </w:sectPr>
      </w:pPr>
    </w:p>
    <w:bookmarkStart w:id="9" w:name="page10"/>
    <w:bookmarkEnd w:id="9"/>
    <w:p>
      <w:pPr>
        <w:ind w:right="2919"/>
        <w:spacing w:after="0" w:line="364" w:lineRule="auto"/>
        <w:rPr>
          <w:sz w:val="20"/>
          <w:szCs w:val="20"/>
          <w:color w:val="auto"/>
        </w:rPr>
      </w:pPr>
      <w:r>
        <w:rPr>
          <w:rFonts w:ascii="Courier New" w:cs="Courier New" w:eastAsia="Courier New" w:hAnsi="Courier New"/>
          <w:sz w:val="16"/>
          <w:szCs w:val="16"/>
          <w:color w:val="auto"/>
        </w:rPr>
        <w:t>recoverable. The adoption of SFAS 121 in fiscal 1997 did not have a material impact on the Company's results of operations or financial position.</w:t>
      </w:r>
    </w:p>
    <w:p>
      <w:pPr>
        <w:spacing w:after="0" w:line="5" w:lineRule="exact"/>
        <w:rPr>
          <w:sz w:val="20"/>
          <w:szCs w:val="20"/>
          <w:color w:val="auto"/>
        </w:rPr>
      </w:pPr>
    </w:p>
    <w:p>
      <w:pPr>
        <w:ind w:right="2719"/>
        <w:spacing w:after="0" w:line="268" w:lineRule="auto"/>
        <w:rPr>
          <w:sz w:val="20"/>
          <w:szCs w:val="20"/>
          <w:color w:val="auto"/>
        </w:rPr>
      </w:pPr>
      <w:r>
        <w:rPr>
          <w:rFonts w:ascii="Courier New" w:cs="Courier New" w:eastAsia="Courier New" w:hAnsi="Courier New"/>
          <w:sz w:val="16"/>
          <w:szCs w:val="16"/>
          <w:color w:val="auto"/>
        </w:rPr>
        <w:t>In October 1995, the Financial Accounting Standards Board issued SFAS No. 123, "Accounting For Stock-Based Compensation." The statement allows companies to measure compensation costs in connection with employee stock compensated plans using a fair value based method or to continue to use an intrinsic-value based method, which generally does not result in compensation cost. The Company currently plans to continue using the intrinsic-value based method.</w:t>
      </w:r>
    </w:p>
    <w:p>
      <w:pPr>
        <w:spacing w:after="0" w:line="79" w:lineRule="exact"/>
        <w:rPr>
          <w:sz w:val="20"/>
          <w:szCs w:val="20"/>
          <w:color w:val="auto"/>
        </w:rPr>
      </w:pPr>
    </w:p>
    <w:p>
      <w:pPr>
        <w:ind w:right="2539"/>
        <w:spacing w:after="0" w:line="257" w:lineRule="auto"/>
        <w:rPr>
          <w:sz w:val="20"/>
          <w:szCs w:val="20"/>
          <w:color w:val="auto"/>
        </w:rPr>
      </w:pPr>
      <w:r>
        <w:rPr>
          <w:rFonts w:ascii="Courier New" w:cs="Courier New" w:eastAsia="Courier New" w:hAnsi="Courier New"/>
          <w:sz w:val="16"/>
          <w:szCs w:val="16"/>
          <w:color w:val="auto"/>
        </w:rPr>
        <w:t>In March 1997, the Financial Accounting Standards Board issued SFAS No. 128, "Earnings per Share". The statement establishes standards for computing and presenting earnings per share ("EPS") and is effective for financial statements issued for periods ending after December 15, 1997. This statement will eliminate the presentation of primary EPS and will require the presentation of basic EPS (the principal difference being that common stock equivalents will not be considered in the computation of basic EPS). It will also require the presentation of diluted EPS which will give effect to all dilutive potential common shares that were outstanding during the period. The Company has not determined the effect of Statement No. 128 on the Company's EPS.</w:t>
      </w:r>
    </w:p>
    <w:p>
      <w:pPr>
        <w:spacing w:after="0" w:line="92" w:lineRule="exact"/>
        <w:rPr>
          <w:sz w:val="20"/>
          <w:szCs w:val="20"/>
          <w:color w:val="auto"/>
        </w:rPr>
      </w:pPr>
    </w:p>
    <w:p>
      <w:pPr>
        <w:ind w:right="2639"/>
        <w:spacing w:after="0" w:line="268" w:lineRule="auto"/>
        <w:rPr>
          <w:sz w:val="20"/>
          <w:szCs w:val="20"/>
          <w:color w:val="auto"/>
        </w:rPr>
      </w:pPr>
      <w:r>
        <w:rPr>
          <w:rFonts w:ascii="Courier New" w:cs="Courier New" w:eastAsia="Courier New" w:hAnsi="Courier New"/>
          <w:sz w:val="16"/>
          <w:szCs w:val="16"/>
          <w:color w:val="auto"/>
        </w:rPr>
        <w:t>In February 1997, the Financial Accounting Standards Board issued SFAS No. 129, "Disclosure of Information About Capital Structure". Under SFAS No. 129, an entity shall explain, in summary form within the financial statements, the pertinent rights and privileges of the various securities outstanding. This standard is effective for financial statement periods ending after December 15, 1997.</w:t>
      </w: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Legal Proceedings</w:t>
      </w:r>
    </w:p>
    <w:p>
      <w:pPr>
        <w:spacing w:after="0" w:line="188" w:lineRule="exact"/>
        <w:rPr>
          <w:sz w:val="20"/>
          <w:szCs w:val="20"/>
          <w:color w:val="auto"/>
        </w:rPr>
      </w:pPr>
    </w:p>
    <w:p>
      <w:pPr>
        <w:ind w:right="2539"/>
        <w:spacing w:after="0" w:line="259" w:lineRule="auto"/>
        <w:rPr>
          <w:sz w:val="20"/>
          <w:szCs w:val="20"/>
          <w:color w:val="auto"/>
        </w:rPr>
      </w:pPr>
      <w:r>
        <w:rPr>
          <w:rFonts w:ascii="Courier New" w:cs="Courier New" w:eastAsia="Courier New" w:hAnsi="Courier New"/>
          <w:sz w:val="16"/>
          <w:szCs w:val="16"/>
          <w:color w:val="auto"/>
        </w:rPr>
        <w:t>In January 1997, Navarre Corporation filed a lawsuit in the District Court of Hennepin County, Minnesota against the Company alleging that the Company breached a distribution agreement by failing to remit monies for product returns and marketing charges. The Plaintiff is seeking $317,209 in damages. The Company has served an answer denying such allegations and requesting that the court dismiss the complaint. While the Company believes that it has meritorious defenses to such action and intends to vigorously defend this lawsuit, there can be no assurance that such action will be resolved in a manner favorable to the Company.</w:t>
      </w: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Subsequent Events</w:t>
      </w:r>
    </w:p>
    <w:p>
      <w:pPr>
        <w:spacing w:after="0" w:line="188"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6"/>
          <w:szCs w:val="16"/>
          <w:color w:val="auto"/>
        </w:rPr>
        <w:t>In September 1997, Take-Two Europe entered into a letter of intent to acquire the European publishing and distribution rights to six upcoming Ripcord Games titles for personal computers. The games include Postal, Forced Alliance, Golden Gate, Hidden Wars, Space Bunnies Must Die, and Terra Victus. The letter of intent contemplates that Take-Two Europe would pay advances in the aggregate amount of $1,200,000. There can be no assurance that Take-Two Europe will enter into a definitive agreement relating to these rights.</w:t>
      </w:r>
    </w:p>
    <w:p>
      <w:pPr>
        <w:spacing w:after="0" w:line="26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41"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Item 2.</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3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343" w:lineRule="exact"/>
        <w:rPr>
          <w:sz w:val="20"/>
          <w:szCs w:val="20"/>
          <w:color w:val="auto"/>
        </w:rPr>
      </w:pPr>
    </w:p>
    <w:p>
      <w:pPr>
        <w:ind w:right="2639"/>
        <w:spacing w:after="0" w:line="261"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which are not historical facts contained in this Quarterly Report are forward looking statements that involve risks and uncertainties, including but not limited to, the Company's ability to integrate the operations of newly acquired businesses into its operations and other risks described in the Company's Registration Statement on Form SB-2. The Company's actual results may differ materially from the results discussed in any forward looking statement.</w:t>
      </w:r>
    </w:p>
    <w:p>
      <w:pPr>
        <w:spacing w:after="0" w:line="86" w:lineRule="exact"/>
        <w:rPr>
          <w:sz w:val="20"/>
          <w:szCs w:val="20"/>
          <w:color w:val="auto"/>
        </w:rPr>
      </w:pPr>
    </w:p>
    <w:p>
      <w:pPr>
        <w:ind w:right="2639"/>
        <w:spacing w:after="0" w:line="257" w:lineRule="auto"/>
        <w:rPr>
          <w:sz w:val="20"/>
          <w:szCs w:val="20"/>
          <w:color w:val="auto"/>
        </w:rPr>
      </w:pPr>
      <w:r>
        <w:rPr>
          <w:rFonts w:ascii="Courier New" w:cs="Courier New" w:eastAsia="Courier New" w:hAnsi="Courier New"/>
          <w:sz w:val="16"/>
          <w:szCs w:val="16"/>
          <w:color w:val="auto"/>
        </w:rPr>
        <w:t>The Company's business operates on a low-margin basis and the Company has achieved limited profitability for the year ended October 31, 1996. Operating expenses have increased and will increase significantly in connection with the Company's proposed product acquisition, development and marketing activities. Accordingly, the Company's future profitability will depend on corresponding increases in revenues from operations. Any competitive, technological or other factor adversely affecting the introduction or sale of interactive software products could have a material adverse effect on the Company's future operating results. The Company incurred net losses for the nine month and three month periods ended July 31, 1997.</w:t>
      </w:r>
    </w:p>
    <w:p>
      <w:pPr>
        <w:spacing w:after="0" w:line="92"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6"/>
          <w:szCs w:val="16"/>
          <w:color w:val="auto"/>
        </w:rPr>
        <w:t>The Company's operating results vary significantly from period to period as a result of purchasing patterns of potential customers, the timing of new product introductions by the Company and its competitors, product returns, marketing and research and development expenditures and pricing. Sales of the Company's products are seasonal, with peak product shipments typically occurring in the fourth calendar quarter (the Company's first fiscal quarter), depending upon the timing of product releases, as a result of increased demand for products during the year-end holiday season.</w:t>
      </w:r>
    </w:p>
    <w:p>
      <w:pPr>
        <w:spacing w:after="0" w:line="86" w:lineRule="exact"/>
        <w:rPr>
          <w:sz w:val="20"/>
          <w:szCs w:val="20"/>
          <w:color w:val="auto"/>
        </w:rPr>
      </w:pPr>
    </w:p>
    <w:p>
      <w:pPr>
        <w:ind w:right="2539"/>
        <w:spacing w:after="0" w:line="257" w:lineRule="auto"/>
        <w:rPr>
          <w:sz w:val="20"/>
          <w:szCs w:val="20"/>
          <w:color w:val="auto"/>
        </w:rPr>
      </w:pPr>
      <w:r>
        <w:rPr>
          <w:rFonts w:ascii="Courier New" w:cs="Courier New" w:eastAsia="Courier New" w:hAnsi="Courier New"/>
          <w:sz w:val="16"/>
          <w:szCs w:val="16"/>
          <w:color w:val="auto"/>
        </w:rPr>
        <w:t>On July 29, 1997, the Company acquired all the outstanding stock of Take-Two Europe and ART. The acquisition was accounted for as a purchase transaction in accordance with APB No. 16 and accordingly the results of operations and financial position of the acquisition is included in the Company's consolidated financial statements from the date of acquisition. On July 31, 1997, the Company acquired all the outstanding stock of IMSI and CAG. The acquisition was accounted for as a pooling of interests in accordance with APB No. 16 and accordingly, the accompanying financial statements have been restated to include the results of operations and financial position of IMSI and CAG for all periods presented prior to the merger.</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Three Months Ended July 31, 1996 Compared to Three Months Ended July 31, 1997</w:t>
      </w:r>
    </w:p>
    <w:p>
      <w:pPr>
        <w:spacing w:after="0" w:line="188" w:lineRule="exact"/>
        <w:rPr>
          <w:sz w:val="20"/>
          <w:szCs w:val="20"/>
          <w:color w:val="auto"/>
        </w:rPr>
      </w:pPr>
    </w:p>
    <w:p>
      <w:pPr>
        <w:ind w:right="2539"/>
        <w:spacing w:after="0" w:line="268" w:lineRule="auto"/>
        <w:rPr>
          <w:sz w:val="20"/>
          <w:szCs w:val="20"/>
          <w:color w:val="auto"/>
        </w:rPr>
      </w:pPr>
      <w:r>
        <w:rPr>
          <w:rFonts w:ascii="Courier New" w:cs="Courier New" w:eastAsia="Courier New" w:hAnsi="Courier New"/>
          <w:sz w:val="16"/>
          <w:szCs w:val="16"/>
          <w:color w:val="auto"/>
        </w:rPr>
        <w:t>Net sales increased by $2,297,723, or 421.3%, from $545,423 for the three months ended July 31, 1996 to $2,843,146 for the three months ended July 31, 1997. This growth in net sales was primarily due to the increase in net sales by IMSI and the release of various Gameboy titles by Take-Two Europe for the three months ended July 31, 1997. Net sales for the three months ended July 31, 1996 did not include sales from new releases.</w:t>
      </w:r>
    </w:p>
    <w:p>
      <w:pPr>
        <w:spacing w:after="0" w:line="79" w:lineRule="exact"/>
        <w:rPr>
          <w:sz w:val="20"/>
          <w:szCs w:val="20"/>
          <w:color w:val="auto"/>
        </w:rPr>
      </w:pPr>
    </w:p>
    <w:p>
      <w:pPr>
        <w:ind w:right="2539"/>
        <w:spacing w:after="0" w:line="264" w:lineRule="auto"/>
        <w:rPr>
          <w:sz w:val="20"/>
          <w:szCs w:val="20"/>
          <w:color w:val="auto"/>
        </w:rPr>
      </w:pPr>
      <w:r>
        <w:rPr>
          <w:rFonts w:ascii="Courier New" w:cs="Courier New" w:eastAsia="Courier New" w:hAnsi="Courier New"/>
          <w:sz w:val="16"/>
          <w:szCs w:val="16"/>
          <w:color w:val="auto"/>
        </w:rPr>
        <w:t>Cost of sales increased by $2,395,799, or 677.4%, from $353,668 for the three months ended July 31, 1996 to $2,749,467 for the three months ended July 31, 1997. The increase in absolute dollars is primarily attributable to the increase in net sales for the three months ended July 31, 1997. Cost of sales as a percentage of net sales increased to 96.7% for the three months ended July 31, 1997 from 64.8% for the three months ended July 31, 1996 due to certain sales of Take-Two Europe for which there was minimal gross margin.</w:t>
      </w:r>
    </w:p>
    <w:p>
      <w:pPr>
        <w:spacing w:after="0" w:line="83" w:lineRule="exact"/>
        <w:rPr>
          <w:sz w:val="20"/>
          <w:szCs w:val="20"/>
          <w:color w:val="auto"/>
        </w:rPr>
      </w:pPr>
    </w:p>
    <w:p>
      <w:pPr>
        <w:ind w:right="2539"/>
        <w:spacing w:after="0" w:line="284" w:lineRule="auto"/>
        <w:rPr>
          <w:sz w:val="20"/>
          <w:szCs w:val="20"/>
          <w:color w:val="auto"/>
        </w:rPr>
      </w:pPr>
      <w:r>
        <w:rPr>
          <w:rFonts w:ascii="Courier New" w:cs="Courier New" w:eastAsia="Courier New" w:hAnsi="Courier New"/>
          <w:sz w:val="16"/>
          <w:szCs w:val="16"/>
          <w:color w:val="auto"/>
        </w:rPr>
        <w:t>Research and development costs increased by $155,322, or 116.1%, from $133,742 for the three months ended July 31, 1996 to $289,064 for the three months ended July 31, 1997. This increase is primarily attributable to increased staffing and related expenses associated with the development of the Company's</w:t>
      </w:r>
    </w:p>
    <w:p>
      <w:pPr>
        <w:spacing w:after="0" w:line="251"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41" w:right="1440" w:bottom="1440" w:gutter="0" w:footer="0" w:header="0"/>
        </w:sectPr>
      </w:pPr>
    </w:p>
    <w:bookmarkStart w:id="11" w:name="page12"/>
    <w:bookmarkEnd w:id="11"/>
    <w:p>
      <w:pPr>
        <w:ind w:right="2539"/>
        <w:spacing w:after="0" w:line="264" w:lineRule="auto"/>
        <w:rPr>
          <w:sz w:val="20"/>
          <w:szCs w:val="20"/>
          <w:color w:val="auto"/>
        </w:rPr>
      </w:pPr>
      <w:r>
        <w:rPr>
          <w:rFonts w:ascii="Courier New" w:cs="Courier New" w:eastAsia="Courier New" w:hAnsi="Courier New"/>
          <w:sz w:val="16"/>
          <w:szCs w:val="16"/>
          <w:color w:val="auto"/>
        </w:rPr>
        <w:t>software technologies and the Mission acquisition. Mission Studios was acquired in September 1996 and was accounted for as a purchase transaction and accordingly its results of operations are not included in the three months ended July 31, 1996. Research and development costs as a percentage of net sales decreased to 10.2% for the three months ended July 31, 1997 from 24.5% for the three months ended July 31, 1996. This decrease is attributable to the increase in net sales.</w:t>
      </w:r>
    </w:p>
    <w:p>
      <w:pPr>
        <w:spacing w:after="0" w:line="83"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6"/>
          <w:szCs w:val="16"/>
          <w:color w:val="auto"/>
        </w:rPr>
        <w:t>Selling and marketing expenses increased by $63,649, or 37.1%, from $171,435 for the three months ended July 31, 1996 to $235,084 for the three months ended July 31, 1997. The increase was primarily due to the promotional and marketing expenses of titles not yet released, such as Black Dahlia and Jetfighter Full Burn, for the three months ended July 31, 1997. Selling and marketing expenses as a percentage of net sales decreased to 8.3% for the three months ended July 31, 1997 from 31.4% for the three months ended July 31, 1996. This decrease is attributable to the increase in net sales.</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and administrative expenses increased by $358,280, or 86.2%, from</w:t>
      </w:r>
    </w:p>
    <w:p>
      <w:pPr>
        <w:spacing w:after="0" w:line="34" w:lineRule="exact"/>
        <w:rPr>
          <w:sz w:val="20"/>
          <w:szCs w:val="20"/>
          <w:color w:val="auto"/>
        </w:rPr>
      </w:pPr>
    </w:p>
    <w:p>
      <w:pPr>
        <w:ind w:right="2539"/>
        <w:spacing w:after="0" w:line="256" w:lineRule="auto"/>
        <w:rPr>
          <w:sz w:val="20"/>
          <w:szCs w:val="20"/>
          <w:color w:val="auto"/>
        </w:rPr>
      </w:pPr>
      <w:r>
        <w:rPr>
          <w:rFonts w:ascii="Courier New" w:cs="Courier New" w:eastAsia="Courier New" w:hAnsi="Courier New"/>
          <w:sz w:val="16"/>
          <w:szCs w:val="16"/>
          <w:color w:val="auto"/>
        </w:rPr>
        <w:t>$415,869 for the three months ended July 31, 1996 to $774,149 for the three months ended July 31, 1997. This increase is primarily attributable to Directors and Officers liability insurance premiums, professional fees and other expenses associated with being a public entity. In addition, the Company incurred additional expenses consistent with its expansion plans. General and administrative expenses as a percentage of net sales decreased to 27.2% for the three months ended July 31, 1997 from 76.2% for the three months ended July 31, 1996. This decrease is attributable to the increase in net sales.</w:t>
      </w:r>
    </w:p>
    <w:p>
      <w:pPr>
        <w:spacing w:after="0" w:line="86" w:lineRule="exact"/>
        <w:rPr>
          <w:sz w:val="20"/>
          <w:szCs w:val="20"/>
          <w:color w:val="auto"/>
        </w:rPr>
      </w:pPr>
    </w:p>
    <w:p>
      <w:pPr>
        <w:ind w:right="2539"/>
        <w:spacing w:after="0" w:line="284" w:lineRule="auto"/>
        <w:rPr>
          <w:sz w:val="20"/>
          <w:szCs w:val="20"/>
          <w:color w:val="auto"/>
        </w:rPr>
      </w:pPr>
      <w:r>
        <w:rPr>
          <w:rFonts w:ascii="Courier New" w:cs="Courier New" w:eastAsia="Courier New" w:hAnsi="Courier New"/>
          <w:sz w:val="16"/>
          <w:szCs w:val="16"/>
          <w:color w:val="auto"/>
        </w:rPr>
        <w:t>Depreciation and amortization expense increased by $129,910, or 230.2%, from $56,443 for the three months ended July 31, 1996 to $186,353 for the three months ended July 31, 1997. Amortization of intangible assets that resulted from the Mission acquisition accounted for $110,035 of this increase.</w:t>
      </w:r>
    </w:p>
    <w:p>
      <w:pPr>
        <w:spacing w:after="0" w:line="66" w:lineRule="exact"/>
        <w:rPr>
          <w:sz w:val="20"/>
          <w:szCs w:val="20"/>
          <w:color w:val="auto"/>
        </w:rPr>
      </w:pPr>
    </w:p>
    <w:p>
      <w:pPr>
        <w:ind w:right="2539"/>
        <w:spacing w:after="0" w:line="296" w:lineRule="auto"/>
        <w:rPr>
          <w:sz w:val="20"/>
          <w:szCs w:val="20"/>
          <w:color w:val="auto"/>
        </w:rPr>
      </w:pPr>
      <w:r>
        <w:rPr>
          <w:rFonts w:ascii="Courier New" w:cs="Courier New" w:eastAsia="Courier New" w:hAnsi="Courier New"/>
          <w:sz w:val="15"/>
          <w:szCs w:val="15"/>
          <w:color w:val="auto"/>
        </w:rPr>
        <w:t>Interest expense increased by $111,971, or 636.6%, from $17,589 for the three months ended July 31, 1996 to $129,560 for the three months ended July 31, 1997. This increase resulted primarily from the private placement of debt securities in September 1996, see "Liquidity and Capital Resources", which was offset by interest income from the investment of the initial public offering proceeds.</w:t>
      </w:r>
    </w:p>
    <w:p>
      <w:pPr>
        <w:spacing w:after="0" w:line="61" w:lineRule="exact"/>
        <w:rPr>
          <w:sz w:val="20"/>
          <w:szCs w:val="20"/>
          <w:color w:val="auto"/>
        </w:rPr>
      </w:pPr>
    </w:p>
    <w:p>
      <w:pPr>
        <w:ind w:right="2819"/>
        <w:spacing w:after="0" w:line="274" w:lineRule="auto"/>
        <w:rPr>
          <w:sz w:val="20"/>
          <w:szCs w:val="20"/>
          <w:color w:val="auto"/>
        </w:rPr>
      </w:pPr>
      <w:r>
        <w:rPr>
          <w:rFonts w:ascii="Courier New" w:cs="Courier New" w:eastAsia="Courier New" w:hAnsi="Courier New"/>
          <w:sz w:val="16"/>
          <w:szCs w:val="16"/>
          <w:color w:val="auto"/>
        </w:rPr>
        <w:t>Income taxes are attributable to withholdings on certain foreign licensing agreements. The decrease in foreign withholding taxes of $942, or 89.4%, from $1,054 for the three months ended July 31, 1996 to $112 for the three months ended July 31, 1997 was due to a decrease in net sales attributable to such agreements.</w:t>
      </w:r>
    </w:p>
    <w:p>
      <w:pPr>
        <w:spacing w:after="0" w:line="74" w:lineRule="exact"/>
        <w:rPr>
          <w:sz w:val="20"/>
          <w:szCs w:val="20"/>
          <w:color w:val="auto"/>
        </w:rPr>
      </w:pPr>
    </w:p>
    <w:p>
      <w:pPr>
        <w:jc w:val="both"/>
        <w:ind w:right="2639"/>
        <w:spacing w:after="0" w:line="304" w:lineRule="auto"/>
        <w:rPr>
          <w:sz w:val="20"/>
          <w:szCs w:val="20"/>
          <w:color w:val="auto"/>
        </w:rPr>
      </w:pPr>
      <w:r>
        <w:rPr>
          <w:rFonts w:ascii="Courier New" w:cs="Courier New" w:eastAsia="Courier New" w:hAnsi="Courier New"/>
          <w:sz w:val="16"/>
          <w:szCs w:val="16"/>
          <w:color w:val="auto"/>
        </w:rPr>
        <w:t>As a result of the foregoing, the Company incurred a net loss of $1,520,643 for the three months ended July 31, 1997, as compared to a net loss of $604,377 for the three months ended July 31, 1996.</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Nine Months Ended July 31, 1996 Compared to Nine Months Ended July 31, 1997</w:t>
      </w:r>
    </w:p>
    <w:p>
      <w:pPr>
        <w:spacing w:after="0" w:line="188" w:lineRule="exact"/>
        <w:rPr>
          <w:sz w:val="20"/>
          <w:szCs w:val="20"/>
          <w:color w:val="auto"/>
        </w:rPr>
      </w:pPr>
    </w:p>
    <w:p>
      <w:pPr>
        <w:ind w:right="2639"/>
        <w:spacing w:after="0" w:line="264" w:lineRule="auto"/>
        <w:rPr>
          <w:sz w:val="20"/>
          <w:szCs w:val="20"/>
          <w:color w:val="auto"/>
        </w:rPr>
      </w:pPr>
      <w:r>
        <w:rPr>
          <w:rFonts w:ascii="Courier New" w:cs="Courier New" w:eastAsia="Courier New" w:hAnsi="Courier New"/>
          <w:sz w:val="16"/>
          <w:szCs w:val="16"/>
          <w:color w:val="auto"/>
        </w:rPr>
        <w:t>Net sales increased by $6,850,380, or 121.7%, from $5,629,757 for the nine months ended July 31, 1996 to $12,480,137 for the nine months ended July 31, 1997. This growth in net sales was primarily due to the acquisition of Take-Two Europe which released various Gameboy titles and the increase in net sales of interactive games by IMSI in the nine months ended July 31, 1997. Also, the successful release of Jetfighter III in November 1996, which sold in excess of 150,000 units worldwide, contributed to the growth in net sales.</w:t>
      </w:r>
    </w:p>
    <w:p>
      <w:pPr>
        <w:spacing w:after="0" w:line="8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41" w:right="1440" w:bottom="1440" w:gutter="0" w:footer="0" w:header="0"/>
        </w:sectPr>
      </w:pPr>
    </w:p>
    <w:bookmarkStart w:id="12" w:name="page13"/>
    <w:bookmarkEnd w:id="12"/>
    <w:p>
      <w:pPr>
        <w:ind w:right="2539"/>
        <w:spacing w:after="0" w:line="261" w:lineRule="auto"/>
        <w:rPr>
          <w:sz w:val="20"/>
          <w:szCs w:val="20"/>
          <w:color w:val="auto"/>
        </w:rPr>
      </w:pPr>
      <w:r>
        <w:rPr>
          <w:rFonts w:ascii="Courier New" w:cs="Courier New" w:eastAsia="Courier New" w:hAnsi="Courier New"/>
          <w:sz w:val="16"/>
          <w:szCs w:val="16"/>
          <w:color w:val="auto"/>
        </w:rPr>
        <w:t>Cost of sales increased by $4,413,607, or 134.3%, from $3,287,419 for the nine months ended July 31, 1996 to $7,701,026 for the nine months ended July 31, 1997. The increase in absolute dollars is primarily attributable to the increase in net sales for the nine months ended July 31, 1997. Cost of sales as a percentage of net sales increased to 61.7% for the nine months ended July 31, 1997 from 58.4% for the nine months ended July 31, 1996 due to certain sales of Take-Two Europe for which there was minimal gross margin, and royalties incurred from the release of Jetfighter III.</w:t>
      </w:r>
    </w:p>
    <w:p>
      <w:pPr>
        <w:spacing w:after="0" w:line="86" w:lineRule="exact"/>
        <w:rPr>
          <w:sz w:val="20"/>
          <w:szCs w:val="20"/>
          <w:color w:val="auto"/>
        </w:rPr>
      </w:pPr>
    </w:p>
    <w:p>
      <w:pPr>
        <w:ind w:right="2539"/>
        <w:spacing w:after="0" w:line="256" w:lineRule="auto"/>
        <w:rPr>
          <w:sz w:val="20"/>
          <w:szCs w:val="20"/>
          <w:color w:val="auto"/>
        </w:rPr>
      </w:pPr>
      <w:r>
        <w:rPr>
          <w:rFonts w:ascii="Courier New" w:cs="Courier New" w:eastAsia="Courier New" w:hAnsi="Courier New"/>
          <w:sz w:val="16"/>
          <w:szCs w:val="16"/>
          <w:color w:val="auto"/>
        </w:rPr>
        <w:t>Research and development costs increased by $383,859, or 75.8%, from $506,144 for the nine months ended July 31, 1996 to $890,003 for the nine months ended July 31, 1997. This increase is primarily attributable to increased staffing and related expenses associated with the development of the Company's software technologies. Approximately $226,000 of this increase is directly related to research and development costs associated with Mission Studios. Mission Studios was acquired in September 1996 and was accounted for as a purchase transaction and accordingly its results of operations are not included in the nine months ended July 31, 1996. Research and development costs as a percentage of net sales decreased to 7.1% for the nine months ended July 31, 1997 from 9.0% for the nine months ended July 31, 1996.</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Selling and marketing expenses increased by $1,300,279, or 90.7%, from</w:t>
      </w:r>
    </w:p>
    <w:p>
      <w:pPr>
        <w:spacing w:after="0" w:line="34" w:lineRule="exact"/>
        <w:rPr>
          <w:sz w:val="20"/>
          <w:szCs w:val="20"/>
          <w:color w:val="auto"/>
        </w:rPr>
      </w:pPr>
    </w:p>
    <w:p>
      <w:pPr>
        <w:ind w:right="2539"/>
        <w:spacing w:after="0" w:line="257" w:lineRule="auto"/>
        <w:rPr>
          <w:sz w:val="20"/>
          <w:szCs w:val="20"/>
          <w:color w:val="auto"/>
        </w:rPr>
      </w:pPr>
      <w:r>
        <w:rPr>
          <w:rFonts w:ascii="Courier New" w:cs="Courier New" w:eastAsia="Courier New" w:hAnsi="Courier New"/>
          <w:sz w:val="16"/>
          <w:szCs w:val="16"/>
          <w:color w:val="auto"/>
        </w:rPr>
        <w:t>$1,434,215 for the nine months ended July 31, 1996 to $2,734,494 for the nine months ended July 31, 1997. The dollar increase was primarily a result of distribution fees and marketing costs incurred in the nine months ended July 31, 1997 in connection with the Company's distribution agreement for Jetfighter III. Selling and marketing expenses as a percentage of net sales decreased to 21.9% for the nine months ended July 31, 1997 from 25.5% for the nine months ended July 31, 1996.</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and administrative expenses increased by $537,554, or 42.0%, from</w:t>
      </w:r>
    </w:p>
    <w:p>
      <w:pPr>
        <w:spacing w:after="0" w:line="34" w:lineRule="exact"/>
        <w:rPr>
          <w:sz w:val="20"/>
          <w:szCs w:val="20"/>
          <w:color w:val="auto"/>
        </w:rPr>
      </w:pPr>
    </w:p>
    <w:p>
      <w:pPr>
        <w:ind w:right="2639"/>
        <w:spacing w:after="0" w:line="253" w:lineRule="auto"/>
        <w:rPr>
          <w:sz w:val="20"/>
          <w:szCs w:val="20"/>
          <w:color w:val="auto"/>
        </w:rPr>
      </w:pPr>
      <w:r>
        <w:rPr>
          <w:rFonts w:ascii="Courier New" w:cs="Courier New" w:eastAsia="Courier New" w:hAnsi="Courier New"/>
          <w:sz w:val="16"/>
          <w:szCs w:val="16"/>
          <w:color w:val="auto"/>
        </w:rPr>
        <w:t>$1,279,388 for the nine months ended July 31, 1996 to $1,816,942 for the nine months ended July 31, 1997. This increase is primarily the result of $150,000 paid to an officer of the Company in consideration of his covenant not to compete, and Directors and Officers liability insurance premiums, professional fees and other expenses associated with being a public entity. In addition, the Company incurred additional expenses consistent with its acquisition expansion plans. General and administrative expenses as a percentage of net sales decreased to 14.6% for the nine months ended July 31, 1997 from 22.7% for the three months ended July 31, 1996. This decrease is attributable to the increase in net sales.</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Depreciation and amortization expense increased by $325,228, or 192.1%, from</w:t>
      </w:r>
    </w:p>
    <w:p>
      <w:pPr>
        <w:spacing w:after="0" w:line="34" w:lineRule="exact"/>
        <w:rPr>
          <w:sz w:val="20"/>
          <w:szCs w:val="20"/>
          <w:color w:val="auto"/>
        </w:rPr>
      </w:pPr>
    </w:p>
    <w:p>
      <w:pPr>
        <w:ind w:right="2539"/>
        <w:spacing w:after="0" w:line="284" w:lineRule="auto"/>
        <w:rPr>
          <w:sz w:val="20"/>
          <w:szCs w:val="20"/>
          <w:color w:val="auto"/>
        </w:rPr>
      </w:pPr>
      <w:r>
        <w:rPr>
          <w:rFonts w:ascii="Courier New" w:cs="Courier New" w:eastAsia="Courier New" w:hAnsi="Courier New"/>
          <w:sz w:val="16"/>
          <w:szCs w:val="16"/>
          <w:color w:val="auto"/>
        </w:rPr>
        <w:t>$169,344 for the nine months ended July 31, 1996 to $494,572 for the nine months ended July 31, 1997. Amortization of intangible assets that resulted from the Mission acquisition accounted for $291,810 of this increase.</w:t>
      </w:r>
    </w:p>
    <w:p>
      <w:pPr>
        <w:spacing w:after="0" w:line="66" w:lineRule="exact"/>
        <w:rPr>
          <w:sz w:val="20"/>
          <w:szCs w:val="20"/>
          <w:color w:val="auto"/>
        </w:rPr>
      </w:pPr>
    </w:p>
    <w:p>
      <w:pPr>
        <w:ind w:right="2639"/>
        <w:spacing w:after="0" w:line="274" w:lineRule="auto"/>
        <w:rPr>
          <w:sz w:val="20"/>
          <w:szCs w:val="20"/>
          <w:color w:val="auto"/>
        </w:rPr>
      </w:pPr>
      <w:r>
        <w:rPr>
          <w:rFonts w:ascii="Courier New" w:cs="Courier New" w:eastAsia="Courier New" w:hAnsi="Courier New"/>
          <w:sz w:val="16"/>
          <w:szCs w:val="16"/>
          <w:color w:val="auto"/>
        </w:rPr>
        <w:t>Interest expense increased by $565,112, or 1,592.4%, from $35,487 for the nine months ended July 31, 1996 to $600,599 for the nine months ended July 31, 1997. This increase resulted primarily from the private placement of debt securities, see "Liquidity and Capital Resources", which was offset by interest income from the investment of the initial public offering proceeds.</w:t>
      </w:r>
    </w:p>
    <w:p>
      <w:pPr>
        <w:spacing w:after="0" w:line="74" w:lineRule="exact"/>
        <w:rPr>
          <w:sz w:val="20"/>
          <w:szCs w:val="20"/>
          <w:color w:val="auto"/>
        </w:rPr>
      </w:pPr>
    </w:p>
    <w:p>
      <w:pPr>
        <w:ind w:right="2639"/>
        <w:spacing w:after="0" w:line="274" w:lineRule="auto"/>
        <w:rPr>
          <w:sz w:val="20"/>
          <w:szCs w:val="20"/>
          <w:color w:val="auto"/>
        </w:rPr>
      </w:pPr>
      <w:r>
        <w:rPr>
          <w:rFonts w:ascii="Courier New" w:cs="Courier New" w:eastAsia="Courier New" w:hAnsi="Courier New"/>
          <w:sz w:val="16"/>
          <w:szCs w:val="16"/>
          <w:color w:val="auto"/>
        </w:rPr>
        <w:t>Income taxes are attributable to withholdings on certain foreign licensing agreements. The decrease in foreign withholding taxes of $6,132, or 25.3%, from $24,236 for the nine months ended July 31, 1996 to $18,104 for the nine months ended July 31, 1997 was due to a decrease in net sales attributable to such agreements.</w:t>
      </w:r>
    </w:p>
    <w:p>
      <w:pPr>
        <w:spacing w:after="0" w:line="74" w:lineRule="exact"/>
        <w:rPr>
          <w:sz w:val="20"/>
          <w:szCs w:val="20"/>
          <w:color w:val="auto"/>
        </w:rPr>
      </w:pPr>
    </w:p>
    <w:p>
      <w:pPr>
        <w:jc w:val="both"/>
        <w:ind w:right="2539"/>
        <w:spacing w:after="0" w:line="304" w:lineRule="auto"/>
        <w:rPr>
          <w:sz w:val="20"/>
          <w:szCs w:val="20"/>
          <w:color w:val="auto"/>
        </w:rPr>
      </w:pPr>
      <w:r>
        <w:rPr>
          <w:rFonts w:ascii="Courier New" w:cs="Courier New" w:eastAsia="Courier New" w:hAnsi="Courier New"/>
          <w:sz w:val="16"/>
          <w:szCs w:val="16"/>
          <w:color w:val="auto"/>
        </w:rPr>
        <w:t>As a result of the foregoing, the Company incurred a net loss of $1,775,603 for the nine months ended July 31, 1997, as compared to a net loss of $1,106,476 for the nine months ended July 31, 1996.</w:t>
      </w:r>
    </w:p>
    <w:p>
      <w:pPr>
        <w:spacing w:after="0" w:line="235"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4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8" w:lineRule="exact"/>
        <w:rPr>
          <w:sz w:val="20"/>
          <w:szCs w:val="20"/>
          <w:color w:val="auto"/>
        </w:rPr>
      </w:pPr>
    </w:p>
    <w:p>
      <w:pPr>
        <w:ind w:right="2539"/>
        <w:spacing w:after="0" w:line="296" w:lineRule="auto"/>
        <w:rPr>
          <w:sz w:val="20"/>
          <w:szCs w:val="20"/>
          <w:color w:val="auto"/>
        </w:rPr>
      </w:pPr>
      <w:r>
        <w:rPr>
          <w:rFonts w:ascii="Courier New" w:cs="Courier New" w:eastAsia="Courier New" w:hAnsi="Courier New"/>
          <w:sz w:val="15"/>
          <w:szCs w:val="15"/>
          <w:color w:val="auto"/>
        </w:rPr>
        <w:t>The Company's primary capital requirements have been and will continue to be to fund the acquisition, development and commercialization of its proposed software products. The Company has historically financed its operations through advances made by distributors, the issuance of debt and equity securities and bank borrowings. At July 31, 1997, the Company had working capital of $1,669,920.</w:t>
      </w:r>
    </w:p>
    <w:p>
      <w:pPr>
        <w:spacing w:after="0" w:line="61" w:lineRule="exact"/>
        <w:rPr>
          <w:sz w:val="20"/>
          <w:szCs w:val="20"/>
          <w:color w:val="auto"/>
        </w:rPr>
      </w:pPr>
    </w:p>
    <w:p>
      <w:pPr>
        <w:ind w:right="2539"/>
        <w:spacing w:after="0" w:line="257" w:lineRule="auto"/>
        <w:rPr>
          <w:sz w:val="20"/>
          <w:szCs w:val="20"/>
          <w:color w:val="auto"/>
        </w:rPr>
      </w:pPr>
      <w:r>
        <w:rPr>
          <w:rFonts w:ascii="Courier New" w:cs="Courier New" w:eastAsia="Courier New" w:hAnsi="Courier New"/>
          <w:sz w:val="16"/>
          <w:szCs w:val="16"/>
          <w:color w:val="auto"/>
        </w:rPr>
        <w:t>Net cash used in operating activities for the nine months ended July 31, 1997 was $2,780,316 as compared to $406,843 for the nine months ended July 31, 1996. The increase in cash used was primarily attributable to the loss for the period, the increase in capitalized software development costs and the increase in prepaid royalties. Net cash provided by financing activities for the nine months ended July 31, 1997 was $6,767,215 as compared to net cash provided by financing activities of $166,685 for the nine months ended July 31, 1996. The increase in cash provided was primarily due to the receipt of the proceeds of the initial public offering. At July 31, 1997, the Company had cash and cash equivalents of $3,769,544.</w:t>
      </w:r>
    </w:p>
    <w:p>
      <w:pPr>
        <w:spacing w:after="0" w:line="92" w:lineRule="exact"/>
        <w:rPr>
          <w:sz w:val="20"/>
          <w:szCs w:val="20"/>
          <w:color w:val="auto"/>
        </w:rPr>
      </w:pPr>
    </w:p>
    <w:p>
      <w:pPr>
        <w:ind w:right="2539"/>
        <w:spacing w:after="0" w:line="261" w:lineRule="auto"/>
        <w:rPr>
          <w:sz w:val="20"/>
          <w:szCs w:val="20"/>
          <w:color w:val="auto"/>
        </w:rPr>
      </w:pPr>
      <w:r>
        <w:rPr>
          <w:rFonts w:ascii="Courier New" w:cs="Courier New" w:eastAsia="Courier New" w:hAnsi="Courier New"/>
          <w:sz w:val="16"/>
          <w:szCs w:val="16"/>
          <w:color w:val="auto"/>
        </w:rPr>
        <w:t>In April 1997, the Company completed an initial public offering of 1,600,000 shares of common stock and 1,840,000 common stock purchase warrants (including 240,000 warrants exercised pursuant to the over-allotment option). The Company received $6,428,302 from the offering, net of discounts, commissions and expenses of the offering of $1,755,698. In addition, in May 1997, the Company received $1,002,924 from the Underwriter's exercise of its over-allotment option of 240,000 additional shares of Common Stock, net of discounts and commissions and offering expenses of $197,076.</w:t>
      </w:r>
    </w:p>
    <w:p>
      <w:pPr>
        <w:spacing w:after="0" w:line="86" w:lineRule="exact"/>
        <w:rPr>
          <w:sz w:val="20"/>
          <w:szCs w:val="20"/>
          <w:color w:val="auto"/>
        </w:rPr>
      </w:pPr>
    </w:p>
    <w:p>
      <w:pPr>
        <w:ind w:right="2639"/>
        <w:spacing w:after="0" w:line="268" w:lineRule="auto"/>
        <w:rPr>
          <w:sz w:val="20"/>
          <w:szCs w:val="20"/>
          <w:color w:val="auto"/>
        </w:rPr>
      </w:pPr>
      <w:r>
        <w:rPr>
          <w:rFonts w:ascii="Courier New" w:cs="Courier New" w:eastAsia="Courier New" w:hAnsi="Courier New"/>
          <w:sz w:val="16"/>
          <w:szCs w:val="16"/>
          <w:color w:val="auto"/>
        </w:rPr>
        <w:t>In connection with the purchase of Take-Two Europe, ART and certain software games (See Note 3), the Company issued an unsecured promissory note in the amount of $500,000 payable in two equal annual installments of $250,000 on July 29, 1998 and July 29, 1999, and bears interest at a rate of 8% per annum, payable quarterly. In addition, the Company issued a promissory note in the amount of $200,000 which is payable on September 15, 1997.</w:t>
      </w:r>
    </w:p>
    <w:p>
      <w:pPr>
        <w:spacing w:after="0" w:line="79" w:lineRule="exact"/>
        <w:rPr>
          <w:sz w:val="20"/>
          <w:szCs w:val="20"/>
          <w:color w:val="auto"/>
        </w:rPr>
      </w:pPr>
    </w:p>
    <w:p>
      <w:pPr>
        <w:ind w:right="2539"/>
        <w:spacing w:after="0" w:line="289" w:lineRule="auto"/>
        <w:rPr>
          <w:sz w:val="20"/>
          <w:szCs w:val="20"/>
          <w:color w:val="auto"/>
        </w:rPr>
      </w:pPr>
      <w:r>
        <w:rPr>
          <w:rFonts w:ascii="Courier New" w:cs="Courier New" w:eastAsia="Courier New" w:hAnsi="Courier New"/>
          <w:sz w:val="15"/>
          <w:szCs w:val="15"/>
          <w:color w:val="auto"/>
        </w:rPr>
        <w:t>In connection with the Gameboy Distribution Agreement and the Jeopardy Distribution Agreement (See Note 4), the Company will have to commit resources in order to manufacture the games for use on the Nintendo Gameboy portable console and the Nintendo N64 game system. The games are manufactured by Nintendo who requires letters of credit from its customers. The Company may seek letters of credit from its customers to collateralize its letters of credit to Nintendo.</w:t>
      </w:r>
    </w:p>
    <w:p>
      <w:pPr>
        <w:spacing w:after="0" w:line="66" w:lineRule="exact"/>
        <w:rPr>
          <w:sz w:val="20"/>
          <w:szCs w:val="20"/>
          <w:color w:val="auto"/>
        </w:rPr>
      </w:pPr>
    </w:p>
    <w:p>
      <w:pPr>
        <w:ind w:right="2539"/>
        <w:spacing w:after="0" w:line="254" w:lineRule="auto"/>
        <w:rPr>
          <w:sz w:val="20"/>
          <w:szCs w:val="20"/>
          <w:color w:val="auto"/>
        </w:rPr>
      </w:pPr>
      <w:r>
        <w:rPr>
          <w:rFonts w:ascii="Courier New" w:cs="Courier New" w:eastAsia="Courier New" w:hAnsi="Courier New"/>
          <w:sz w:val="16"/>
          <w:szCs w:val="16"/>
          <w:color w:val="auto"/>
        </w:rPr>
        <w:t>In September 1996, the Company consummated a private placement pursuant to which it issued (i) $2,088,539 principal amount of promissory notes and (ii) five-year warrants to purchase 417,234 shares of Common Stock at an exercise price of $.01 per share. Of such indebtedness, $523,359 principal amount bears interest at the rate of 2% above the prime rate established by Chase Manhattan Bank, N.A. and was repayable on June 30, 1997. As of July 31, 1997, $149,748 principal amount of such indebtedness was outstanding. The remaining $1,565,180 principal amount of such indebtedness bears interest at the rate 14% per annum and is repayable on May 14, 1998. In August 1997, the Company repaid $750,000 principal amount of such indebtedness. The Company intends to obtain bank financing to repay the balance of $815,180 principal amount of such indebtedness. For the nine months ended July 31, 1997, the Company incurred a charge of $421,109 relating to the warrants issued in the private placement.</w:t>
      </w:r>
    </w:p>
    <w:p>
      <w:pPr>
        <w:spacing w:after="0" w:line="93"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1" w:right="1440" w:bottom="1440" w:gutter="0" w:footer="0" w:header="0"/>
        </w:sectPr>
      </w:pPr>
    </w:p>
    <w:bookmarkStart w:id="14" w:name="page15"/>
    <w:bookmarkEnd w:id="14"/>
    <w:p>
      <w:pPr>
        <w:ind w:right="2639"/>
        <w:spacing w:after="0" w:line="284" w:lineRule="auto"/>
        <w:rPr>
          <w:sz w:val="20"/>
          <w:szCs w:val="20"/>
          <w:color w:val="auto"/>
        </w:rPr>
      </w:pPr>
      <w:r>
        <w:rPr>
          <w:rFonts w:ascii="Courier New" w:cs="Courier New" w:eastAsia="Courier New" w:hAnsi="Courier New"/>
          <w:sz w:val="16"/>
          <w:szCs w:val="16"/>
          <w:color w:val="auto"/>
        </w:rPr>
        <w:t>The Company's accounts receivable, less allowance for doubtful accounts and product returns, at July 31, 1997, were $3,038,095. Delays in collection or uncollectibility of accounts receivable could have a material adverse effect on the Company's liquidity and working capital position.</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8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tab/>
        <w:t>Legal Proceedings</w:t>
      </w:r>
    </w:p>
    <w:p>
      <w:pPr>
        <w:spacing w:after="0" w:line="188" w:lineRule="exact"/>
        <w:rPr>
          <w:sz w:val="20"/>
          <w:szCs w:val="20"/>
          <w:color w:val="auto"/>
        </w:rPr>
      </w:pPr>
    </w:p>
    <w:p>
      <w:pPr>
        <w:ind w:right="2539"/>
        <w:spacing w:after="0" w:line="259" w:lineRule="auto"/>
        <w:rPr>
          <w:sz w:val="20"/>
          <w:szCs w:val="20"/>
          <w:color w:val="auto"/>
        </w:rPr>
      </w:pPr>
      <w:r>
        <w:rPr>
          <w:rFonts w:ascii="Courier New" w:cs="Courier New" w:eastAsia="Courier New" w:hAnsi="Courier New"/>
          <w:sz w:val="16"/>
          <w:szCs w:val="16"/>
          <w:color w:val="auto"/>
        </w:rPr>
        <w:t>In January 1997, Navarre Corporation filed a lawsuit in the District Court of Hennepin County, Minnesota against the Company alleging that the Company breached a distribution agreement by failing to remit monies for product returns and marketing charges. The Plaintiff is seeking $317,209 in damages. The Company has served an answer denying such allegations and requesting that the court dismiss the complaint. While the Company believes that it has meritorious defenses to such action and intends to vigorously defend this lawsuit, there can be no assurance that such action will be resolved in a manner favorable to the Company.</w:t>
      </w:r>
    </w:p>
    <w:p>
      <w:pPr>
        <w:spacing w:after="0" w:line="8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tab/>
        <w:t>Changes in Securities</w:t>
      </w:r>
    </w:p>
    <w:p>
      <w:pPr>
        <w:spacing w:after="0" w:line="188" w:lineRule="exact"/>
        <w:rPr>
          <w:sz w:val="20"/>
          <w:szCs w:val="20"/>
          <w:color w:val="auto"/>
        </w:rPr>
      </w:pPr>
    </w:p>
    <w:p>
      <w:pPr>
        <w:ind w:right="2819"/>
        <w:spacing w:after="0" w:line="364" w:lineRule="auto"/>
        <w:rPr>
          <w:sz w:val="20"/>
          <w:szCs w:val="20"/>
          <w:color w:val="auto"/>
        </w:rPr>
      </w:pPr>
      <w:r>
        <w:rPr>
          <w:rFonts w:ascii="Courier New" w:cs="Courier New" w:eastAsia="Courier New" w:hAnsi="Courier New"/>
          <w:sz w:val="16"/>
          <w:szCs w:val="16"/>
          <w:color w:val="auto"/>
        </w:rPr>
        <w:t>In July 1997, the Company issued 406,553 restricted shares of Common Stock in connection with the acquisition of Take-Two Europe and ART.</w:t>
      </w:r>
    </w:p>
    <w:p>
      <w:pPr>
        <w:spacing w:after="0" w:line="5" w:lineRule="exact"/>
        <w:rPr>
          <w:sz w:val="20"/>
          <w:szCs w:val="20"/>
          <w:color w:val="auto"/>
        </w:rPr>
      </w:pPr>
    </w:p>
    <w:p>
      <w:pPr>
        <w:ind w:right="2819"/>
        <w:spacing w:after="0" w:line="364" w:lineRule="auto"/>
        <w:rPr>
          <w:sz w:val="20"/>
          <w:szCs w:val="20"/>
          <w:color w:val="auto"/>
        </w:rPr>
      </w:pPr>
      <w:r>
        <w:rPr>
          <w:rFonts w:ascii="Courier New" w:cs="Courier New" w:eastAsia="Courier New" w:hAnsi="Courier New"/>
          <w:sz w:val="16"/>
          <w:szCs w:val="16"/>
          <w:color w:val="auto"/>
        </w:rPr>
        <w:t>In July 1997, the Company issued 900,000 restricted shares of Common Stock in connection with the acquisition of IMSI and CAG.</w:t>
      </w:r>
    </w:p>
    <w:p>
      <w:pPr>
        <w:spacing w:after="0" w:line="5" w:lineRule="exact"/>
        <w:rPr>
          <w:sz w:val="20"/>
          <w:szCs w:val="20"/>
          <w:color w:val="auto"/>
        </w:rPr>
      </w:pPr>
    </w:p>
    <w:p>
      <w:pPr>
        <w:ind w:right="2539"/>
        <w:spacing w:after="0" w:line="284" w:lineRule="auto"/>
        <w:rPr>
          <w:sz w:val="20"/>
          <w:szCs w:val="20"/>
          <w:color w:val="auto"/>
        </w:rPr>
      </w:pPr>
      <w:r>
        <w:rPr>
          <w:rFonts w:ascii="Courier New" w:cs="Courier New" w:eastAsia="Courier New" w:hAnsi="Courier New"/>
          <w:sz w:val="16"/>
          <w:szCs w:val="16"/>
          <w:color w:val="auto"/>
        </w:rPr>
        <w:t>For the three months ended July 31, 1997, the Company issued 26,035 restricted shares of Common Stock upon the exercise of warrants issued in connection with the Company's 1996 private placement. The warrants had an exercise price of less than $.01 per share.</w:t>
      </w:r>
    </w:p>
    <w:p>
      <w:pPr>
        <w:spacing w:after="0" w:line="66" w:lineRule="exact"/>
        <w:rPr>
          <w:sz w:val="20"/>
          <w:szCs w:val="20"/>
          <w:color w:val="auto"/>
        </w:rPr>
      </w:pPr>
    </w:p>
    <w:p>
      <w:pPr>
        <w:ind w:right="2539"/>
        <w:spacing w:after="0" w:line="364" w:lineRule="auto"/>
        <w:rPr>
          <w:sz w:val="20"/>
          <w:szCs w:val="20"/>
          <w:color w:val="auto"/>
        </w:rPr>
      </w:pPr>
      <w:r>
        <w:rPr>
          <w:rFonts w:ascii="Courier New" w:cs="Courier New" w:eastAsia="Courier New" w:hAnsi="Courier New"/>
          <w:sz w:val="16"/>
          <w:szCs w:val="16"/>
          <w:color w:val="auto"/>
        </w:rPr>
        <w:t>In February 1997, the Company issued options to purchase 38,746 shares of Common Stock at an exercise price of $2.41 per share.</w:t>
      </w:r>
    </w:p>
    <w:p>
      <w:pPr>
        <w:spacing w:after="0" w:line="5" w:lineRule="exact"/>
        <w:rPr>
          <w:sz w:val="20"/>
          <w:szCs w:val="20"/>
          <w:color w:val="auto"/>
        </w:rPr>
      </w:pPr>
    </w:p>
    <w:p>
      <w:pPr>
        <w:ind w:right="2539"/>
        <w:spacing w:after="0" w:line="364" w:lineRule="auto"/>
        <w:rPr>
          <w:sz w:val="20"/>
          <w:szCs w:val="20"/>
          <w:color w:val="auto"/>
        </w:rPr>
      </w:pPr>
      <w:r>
        <w:rPr>
          <w:rFonts w:ascii="Courier New" w:cs="Courier New" w:eastAsia="Courier New" w:hAnsi="Courier New"/>
          <w:sz w:val="16"/>
          <w:szCs w:val="16"/>
          <w:color w:val="auto"/>
        </w:rPr>
        <w:t>All of the above securities were issued pursuant to an exemption under Section 4 (2) of the Securities Act of 1933, as amended.</w:t>
      </w:r>
    </w:p>
    <w:p>
      <w:pPr>
        <w:spacing w:after="0" w:line="18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88" w:lineRule="exact"/>
        <w:rPr>
          <w:sz w:val="20"/>
          <w:szCs w:val="20"/>
          <w:color w:val="auto"/>
        </w:rPr>
      </w:pPr>
    </w:p>
    <w:p>
      <w:pPr>
        <w:ind w:left="1340" w:hanging="477"/>
        <w:spacing w:after="0"/>
        <w:tabs>
          <w:tab w:leader="none" w:pos="13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34" w:lineRule="exact"/>
        <w:rPr>
          <w:sz w:val="20"/>
          <w:szCs w:val="20"/>
          <w:color w:val="auto"/>
        </w:rPr>
      </w:pPr>
    </w:p>
    <w:p>
      <w:pPr>
        <w:ind w:left="1540" w:right="3019"/>
        <w:spacing w:after="0" w:line="324" w:lineRule="auto"/>
        <w:rPr>
          <w:sz w:val="20"/>
          <w:szCs w:val="20"/>
          <w:color w:val="auto"/>
        </w:rPr>
      </w:pPr>
      <w:r>
        <w:rPr>
          <w:rFonts w:ascii="Courier New" w:cs="Courier New" w:eastAsia="Courier New" w:hAnsi="Courier New"/>
          <w:sz w:val="16"/>
          <w:szCs w:val="16"/>
          <w:color w:val="auto"/>
        </w:rPr>
        <w:t>Exhibit 11 - Statement of Computation of Earnings Per Share Exhibit 27 - Financial Data Schedule</w:t>
      </w:r>
    </w:p>
    <w:p>
      <w:pPr>
        <w:spacing w:after="0" w:line="35"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41" w:right="1440" w:bottom="1440" w:gutter="0" w:footer="0" w:header="0"/>
        </w:sectPr>
      </w:pPr>
    </w:p>
    <w:bookmarkStart w:id="15" w:name="page16"/>
    <w:bookmarkEnd w:id="15"/>
    <w:p>
      <w:pPr>
        <w:ind w:left="580" w:hanging="577"/>
        <w:spacing w:after="0"/>
        <w:tabs>
          <w:tab w:leader="none" w:pos="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8" w:lineRule="exact"/>
        <w:rPr>
          <w:rFonts w:ascii="Courier New" w:cs="Courier New" w:eastAsia="Courier New" w:hAnsi="Courier New"/>
          <w:sz w:val="16"/>
          <w:szCs w:val="16"/>
          <w:color w:val="auto"/>
        </w:rPr>
      </w:pPr>
    </w:p>
    <w:p>
      <w:pPr>
        <w:ind w:left="580" w:right="26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Current Report on Form 8-K dated August 13, 1997 reporting under Item 2 - Acquisition or disposition of assets and Item 7 - Financial Statements and Exhibits - the completion of the Company's acquisitions of GameTek (UK) Limited, Alternative Reality Technologies, Inc., Inventory Management Systems, Inc., and Creative Alliance Group, Inc.</w:t>
      </w:r>
    </w:p>
    <w:p>
      <w:pPr>
        <w:spacing w:after="0" w:line="200" w:lineRule="exact"/>
        <w:rPr>
          <w:sz w:val="20"/>
          <w:szCs w:val="20"/>
          <w:color w:val="auto"/>
        </w:rPr>
      </w:pPr>
    </w:p>
    <w:p>
      <w:pPr>
        <w:spacing w:after="0" w:line="249"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359"/>
          </w:cols>
          <w:pgMar w:left="1100" w:top="64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right="2639"/>
        <w:spacing w:after="0" w:line="304"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Take-Two Interactive Software, Inc. has duly caused this report to be signed on its behalf by the undersigned thereunto duly authorized.</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Take-Two Interactive Software, Inc.</w:t>
      </w:r>
    </w:p>
    <w:p>
      <w:pPr>
        <w:sectPr>
          <w:pgSz w:w="11900" w:h="16838" w:orient="portrait"/>
          <w:cols w:equalWidth="0" w:num="1">
            <w:col w:w="10219"/>
          </w:cols>
          <w:pgMar w:left="240" w:top="826"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Ryan A. Brant</w:t>
      </w:r>
    </w:p>
    <w:p>
      <w:pPr>
        <w:spacing w:after="0" w:line="3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Ryan A. Brant</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5"/>
          <w:szCs w:val="15"/>
          <w:color w:val="auto"/>
        </w:rPr>
        <w:t>Dated: September 15, 1997</w:t>
      </w:r>
    </w:p>
    <w:p>
      <w:pPr>
        <w:sectPr>
          <w:pgSz w:w="11900" w:h="16838" w:orient="portrait"/>
          <w:cols w:equalWidth="0" w:num="2">
            <w:col w:w="4560" w:space="720"/>
            <w:col w:w="4939"/>
          </w:cols>
          <w:pgMar w:left="240" w:top="826" w:right="1440"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71"/>
        </w:trPr>
        <w:tc>
          <w:tcPr>
            <w:tcW w:w="3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Exhibit 11</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000" w:type="dxa"/>
            <w:vAlign w:val="bottom"/>
            <w:gridSpan w:val="4"/>
          </w:tcPr>
          <w:p>
            <w:pPr>
              <w:spacing w:after="0"/>
              <w:rPr>
                <w:sz w:val="20"/>
                <w:szCs w:val="20"/>
                <w:color w:val="auto"/>
              </w:rPr>
            </w:pPr>
            <w:r>
              <w:rPr>
                <w:rFonts w:ascii="Courier New" w:cs="Courier New" w:eastAsia="Courier New" w:hAnsi="Courier New"/>
                <w:sz w:val="16"/>
                <w:szCs w:val="16"/>
                <w:color w:val="auto"/>
                <w:w w:val="99"/>
              </w:rPr>
              <w:t>TAKE-TWO INTERACTIVE SOFTWARE, INC. and SUBSIDIARIES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760" w:type="dxa"/>
            <w:vAlign w:val="bottom"/>
            <w:gridSpan w:val="3"/>
          </w:tcPr>
          <w:p>
            <w:pPr>
              <w:spacing w:after="0"/>
              <w:rPr>
                <w:sz w:val="20"/>
                <w:szCs w:val="20"/>
                <w:color w:val="auto"/>
              </w:rPr>
            </w:pPr>
            <w:r>
              <w:rPr>
                <w:rFonts w:ascii="Courier New" w:cs="Courier New" w:eastAsia="Courier New" w:hAnsi="Courier New"/>
                <w:sz w:val="16"/>
                <w:szCs w:val="16"/>
                <w:color w:val="auto"/>
              </w:rPr>
              <w:t>Statement of Computation of Earnings Per Share</w:t>
            </w:r>
          </w:p>
        </w:tc>
        <w:tc>
          <w:tcPr>
            <w:tcW w:w="1340" w:type="dxa"/>
            <w:vAlign w:val="bottom"/>
            <w:gridSpan w:val="2"/>
            <w:vMerge w:val="restart"/>
          </w:tcPr>
          <w:p>
            <w:pPr>
              <w:jc w:val="right"/>
              <w:ind w:right="920"/>
              <w:spacing w:after="0"/>
              <w:rPr>
                <w:sz w:val="20"/>
                <w:szCs w:val="20"/>
                <w:color w:val="auto"/>
              </w:rPr>
            </w:pPr>
            <w:r>
              <w:rPr>
                <w:rFonts w:ascii="Courier New" w:cs="Courier New" w:eastAsia="Courier New" w:hAnsi="Courier New"/>
                <w:sz w:val="16"/>
                <w:szCs w:val="16"/>
                <w:color w:val="auto"/>
              </w:rPr>
              <w:t>and</w:t>
            </w: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60" w:type="dxa"/>
            <w:vAlign w:val="bottom"/>
            <w:gridSpan w:val="3"/>
          </w:tcPr>
          <w:p>
            <w:pPr>
              <w:spacing w:after="0"/>
              <w:rPr>
                <w:sz w:val="20"/>
                <w:szCs w:val="20"/>
                <w:color w:val="auto"/>
              </w:rPr>
            </w:pPr>
            <w:r>
              <w:rPr>
                <w:rFonts w:ascii="Courier New" w:cs="Courier New" w:eastAsia="Courier New" w:hAnsi="Courier New"/>
                <w:sz w:val="16"/>
                <w:szCs w:val="16"/>
                <w:color w:val="auto"/>
              </w:rPr>
              <w:t>For the three months ended July 31, 1996 and 1997</w:t>
            </w:r>
          </w:p>
        </w:tc>
        <w:tc>
          <w:tcPr>
            <w:tcW w:w="13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6100" w:type="dxa"/>
            <w:vAlign w:val="bottom"/>
            <w:gridSpan w:val="5"/>
          </w:tcPr>
          <w:p>
            <w:pPr>
              <w:spacing w:after="0"/>
              <w:rPr>
                <w:sz w:val="20"/>
                <w:szCs w:val="20"/>
                <w:color w:val="auto"/>
              </w:rPr>
            </w:pPr>
            <w:r>
              <w:rPr>
                <w:rFonts w:ascii="Courier New" w:cs="Courier New" w:eastAsia="Courier New" w:hAnsi="Courier New"/>
                <w:sz w:val="16"/>
                <w:szCs w:val="16"/>
                <w:color w:val="auto"/>
              </w:rPr>
              <w:t>the nine months ended July 31, 1996 and 1997 (unaudited)</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2"/>
        </w:trPr>
        <w:tc>
          <w:tcPr>
            <w:tcW w:w="3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3"/>
          </w:tcPr>
          <w:p>
            <w:pPr>
              <w:jc w:val="right"/>
              <w:ind w:right="440"/>
              <w:spacing w:after="0"/>
              <w:rPr>
                <w:sz w:val="20"/>
                <w:szCs w:val="20"/>
                <w:color w:val="auto"/>
              </w:rPr>
            </w:pPr>
            <w:r>
              <w:rPr>
                <w:rFonts w:ascii="Courier New" w:cs="Courier New" w:eastAsia="Courier New" w:hAnsi="Courier New"/>
                <w:sz w:val="16"/>
                <w:szCs w:val="16"/>
                <w:color w:val="auto"/>
              </w:rPr>
              <w:t>Three Months Ended</w:t>
            </w:r>
          </w:p>
        </w:tc>
        <w:tc>
          <w:tcPr>
            <w:tcW w:w="280" w:type="dxa"/>
            <w:vAlign w:val="bottom"/>
          </w:tcPr>
          <w:p>
            <w:pPr>
              <w:spacing w:after="0"/>
              <w:rPr>
                <w:sz w:val="24"/>
                <w:szCs w:val="24"/>
                <w:color w:val="auto"/>
              </w:rPr>
            </w:pPr>
          </w:p>
        </w:tc>
        <w:tc>
          <w:tcPr>
            <w:tcW w:w="2460" w:type="dxa"/>
            <w:vAlign w:val="bottom"/>
            <w:gridSpan w:val="3"/>
          </w:tcPr>
          <w:p>
            <w:pPr>
              <w:jc w:val="right"/>
              <w:ind w:right="300"/>
              <w:spacing w:after="0"/>
              <w:rPr>
                <w:sz w:val="20"/>
                <w:szCs w:val="20"/>
                <w:color w:val="auto"/>
              </w:rPr>
            </w:pPr>
            <w:r>
              <w:rPr>
                <w:rFonts w:ascii="Courier New" w:cs="Courier New" w:eastAsia="Courier New" w:hAnsi="Courier New"/>
                <w:sz w:val="16"/>
                <w:szCs w:val="16"/>
                <w:color w:val="auto"/>
              </w:rPr>
              <w:t>Nine Months Ended</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3"/>
          </w:tcPr>
          <w:p>
            <w:pPr>
              <w:jc w:val="right"/>
              <w:ind w:right="920"/>
              <w:spacing w:after="0"/>
              <w:rPr>
                <w:sz w:val="20"/>
                <w:szCs w:val="20"/>
                <w:color w:val="auto"/>
              </w:rPr>
            </w:pPr>
            <w:r>
              <w:rPr>
                <w:rFonts w:ascii="Courier New" w:cs="Courier New" w:eastAsia="Courier New" w:hAnsi="Courier New"/>
                <w:sz w:val="16"/>
                <w:szCs w:val="16"/>
                <w:color w:val="auto"/>
              </w:rPr>
              <w:t>July 31,</w:t>
            </w:r>
          </w:p>
        </w:tc>
        <w:tc>
          <w:tcPr>
            <w:tcW w:w="280" w:type="dxa"/>
            <w:vAlign w:val="bottom"/>
          </w:tcPr>
          <w:p>
            <w:pPr>
              <w:spacing w:after="0"/>
              <w:rPr>
                <w:sz w:val="16"/>
                <w:szCs w:val="16"/>
                <w:color w:val="auto"/>
              </w:rPr>
            </w:pPr>
          </w:p>
        </w:tc>
        <w:tc>
          <w:tcPr>
            <w:tcW w:w="2460" w:type="dxa"/>
            <w:vAlign w:val="bottom"/>
            <w:gridSpan w:val="3"/>
          </w:tcPr>
          <w:p>
            <w:pPr>
              <w:jc w:val="right"/>
              <w:ind w:right="780"/>
              <w:spacing w:after="0"/>
              <w:rPr>
                <w:sz w:val="20"/>
                <w:szCs w:val="20"/>
                <w:color w:val="auto"/>
              </w:rPr>
            </w:pPr>
            <w:r>
              <w:rPr>
                <w:rFonts w:ascii="Courier New" w:cs="Courier New" w:eastAsia="Courier New" w:hAnsi="Courier New"/>
                <w:sz w:val="16"/>
                <w:szCs w:val="16"/>
                <w:color w:val="auto"/>
              </w:rPr>
              <w:t>July 31,</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2880" w:type="dxa"/>
            <w:vAlign w:val="bottom"/>
            <w:gridSpan w:val="4"/>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740" w:type="dxa"/>
            <w:vAlign w:val="bottom"/>
            <w:gridSpan w:val="4"/>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6"/>
                <w:szCs w:val="16"/>
                <w:color w:val="auto"/>
              </w:rPr>
            </w:pPr>
          </w:p>
        </w:tc>
        <w:tc>
          <w:tcPr>
            <w:tcW w:w="11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1997</w:t>
            </w:r>
          </w:p>
        </w:tc>
        <w:tc>
          <w:tcPr>
            <w:tcW w:w="280" w:type="dxa"/>
            <w:vAlign w:val="bottom"/>
          </w:tcPr>
          <w:p>
            <w:pPr>
              <w:spacing w:after="0"/>
              <w:rPr>
                <w:sz w:val="16"/>
                <w:szCs w:val="16"/>
                <w:color w:val="auto"/>
              </w:rPr>
            </w:pPr>
          </w:p>
        </w:tc>
        <w:tc>
          <w:tcPr>
            <w:tcW w:w="130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1996</w:t>
            </w:r>
          </w:p>
        </w:tc>
        <w:tc>
          <w:tcPr>
            <w:tcW w:w="140" w:type="dxa"/>
            <w:vAlign w:val="bottom"/>
          </w:tcPr>
          <w:p>
            <w:pPr>
              <w:spacing w:after="0"/>
              <w:rPr>
                <w:sz w:val="16"/>
                <w:szCs w:val="16"/>
                <w:color w:val="auto"/>
              </w:rPr>
            </w:pPr>
          </w:p>
        </w:tc>
        <w:tc>
          <w:tcPr>
            <w:tcW w:w="10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0" w:type="dxa"/>
            <w:vAlign w:val="bottom"/>
            <w:gridSpan w:val="3"/>
          </w:tcPr>
          <w:p>
            <w:pPr>
              <w:jc w:val="right"/>
              <w:ind w:right="920"/>
              <w:spacing w:after="0"/>
              <w:rPr>
                <w:sz w:val="20"/>
                <w:szCs w:val="20"/>
                <w:color w:val="auto"/>
              </w:rPr>
            </w:pPr>
            <w:r>
              <w:rPr>
                <w:rFonts w:ascii="Courier New" w:cs="Courier New" w:eastAsia="Courier New" w:hAnsi="Courier New"/>
                <w:sz w:val="16"/>
                <w:szCs w:val="16"/>
                <w:color w:val="auto"/>
              </w:rPr>
              <w:t>(unaudited)</w:t>
            </w:r>
          </w:p>
        </w:tc>
        <w:tc>
          <w:tcPr>
            <w:tcW w:w="280" w:type="dxa"/>
            <w:vAlign w:val="bottom"/>
          </w:tcPr>
          <w:p>
            <w:pPr>
              <w:spacing w:after="0"/>
              <w:rPr>
                <w:sz w:val="23"/>
                <w:szCs w:val="23"/>
                <w:color w:val="auto"/>
              </w:rPr>
            </w:pPr>
          </w:p>
        </w:tc>
        <w:tc>
          <w:tcPr>
            <w:tcW w:w="2460" w:type="dxa"/>
            <w:vAlign w:val="bottom"/>
            <w:gridSpan w:val="3"/>
          </w:tcPr>
          <w:p>
            <w:pPr>
              <w:jc w:val="right"/>
              <w:ind w:right="780"/>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283"/>
        </w:trPr>
        <w:tc>
          <w:tcPr>
            <w:tcW w:w="3220" w:type="dxa"/>
            <w:vAlign w:val="bottom"/>
          </w:tcPr>
          <w:p>
            <w:pPr>
              <w:spacing w:after="0"/>
              <w:rPr>
                <w:sz w:val="20"/>
                <w:szCs w:val="20"/>
                <w:color w:val="auto"/>
              </w:rPr>
            </w:pPr>
            <w:r>
              <w:rPr>
                <w:rFonts w:ascii="Courier New" w:cs="Courier New" w:eastAsia="Courier New" w:hAnsi="Courier New"/>
                <w:sz w:val="16"/>
                <w:szCs w:val="16"/>
                <w:color w:val="auto"/>
              </w:rPr>
              <w:t>Primary:</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(608,760)</w:t>
            </w:r>
          </w:p>
        </w:tc>
        <w:tc>
          <w:tcPr>
            <w:tcW w:w="1340" w:type="dxa"/>
            <w:vAlign w:val="bottom"/>
            <w:gridSpan w:val="2"/>
            <w:vMerge w:val="restart"/>
          </w:tcPr>
          <w:p>
            <w:pPr>
              <w:jc w:val="right"/>
              <w:ind w:right="60"/>
              <w:spacing w:after="0"/>
              <w:rPr>
                <w:sz w:val="20"/>
                <w:szCs w:val="20"/>
                <w:color w:val="auto"/>
              </w:rPr>
            </w:pPr>
            <w:r>
              <w:rPr>
                <w:rFonts w:ascii="Courier New" w:cs="Courier New" w:eastAsia="Courier New" w:hAnsi="Courier New"/>
                <w:sz w:val="16"/>
                <w:szCs w:val="16"/>
                <w:color w:val="auto"/>
              </w:rPr>
              <w:t>$(1,522,280)</w:t>
            </w:r>
          </w:p>
        </w:tc>
        <w:tc>
          <w:tcPr>
            <w:tcW w:w="1580" w:type="dxa"/>
            <w:vAlign w:val="bottom"/>
            <w:gridSpan w:val="2"/>
            <w:vMerge w:val="restart"/>
          </w:tcPr>
          <w:p>
            <w:pPr>
              <w:jc w:val="right"/>
              <w:ind w:right="200"/>
              <w:spacing w:after="0"/>
              <w:rPr>
                <w:sz w:val="20"/>
                <w:szCs w:val="20"/>
                <w:color w:val="auto"/>
              </w:rPr>
            </w:pPr>
            <w:r>
              <w:rPr>
                <w:rFonts w:ascii="Courier New" w:cs="Courier New" w:eastAsia="Courier New" w:hAnsi="Courier New"/>
                <w:sz w:val="16"/>
                <w:szCs w:val="16"/>
                <w:color w:val="auto"/>
              </w:rPr>
              <w:t>$(1,119,625)</w:t>
            </w:r>
          </w:p>
        </w:tc>
        <w:tc>
          <w:tcPr>
            <w:tcW w:w="116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8"/>
              </w:rPr>
              <w:t>$(2,086,813)</w:t>
            </w:r>
          </w:p>
        </w:tc>
        <w:tc>
          <w:tcPr>
            <w:tcW w:w="0" w:type="dxa"/>
            <w:vAlign w:val="bottom"/>
          </w:tcPr>
          <w:p>
            <w:pPr>
              <w:spacing w:after="0"/>
              <w:rPr>
                <w:sz w:val="1"/>
                <w:szCs w:val="1"/>
                <w:color w:val="auto"/>
              </w:rPr>
            </w:pPr>
          </w:p>
        </w:tc>
      </w:tr>
      <w:tr>
        <w:trPr>
          <w:trHeight w:val="185"/>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3"/>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Common stock outstanding</w:t>
            </w:r>
          </w:p>
        </w:tc>
        <w:tc>
          <w:tcPr>
            <w:tcW w:w="280" w:type="dxa"/>
            <w:vAlign w:val="bottom"/>
          </w:tcPr>
          <w:p>
            <w:pPr>
              <w:spacing w:after="0"/>
              <w:rPr>
                <w:sz w:val="24"/>
                <w:szCs w:val="24"/>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6,497,664</w:t>
            </w:r>
          </w:p>
        </w:tc>
        <w:tc>
          <w:tcPr>
            <w:tcW w:w="240" w:type="dxa"/>
            <w:vAlign w:val="bottom"/>
          </w:tcPr>
          <w:p>
            <w:pPr>
              <w:spacing w:after="0"/>
              <w:rPr>
                <w:sz w:val="24"/>
                <w:szCs w:val="24"/>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8,766,719</w:t>
            </w:r>
          </w:p>
        </w:tc>
        <w:tc>
          <w:tcPr>
            <w:tcW w:w="280" w:type="dxa"/>
            <w:vAlign w:val="bottom"/>
          </w:tcPr>
          <w:p>
            <w:pPr>
              <w:spacing w:after="0"/>
              <w:rPr>
                <w:sz w:val="24"/>
                <w:szCs w:val="24"/>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6,497,664</w:t>
            </w:r>
          </w:p>
        </w:tc>
        <w:tc>
          <w:tcPr>
            <w:tcW w:w="1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7,482,247</w:t>
            </w:r>
          </w:p>
        </w:tc>
        <w:tc>
          <w:tcPr>
            <w:tcW w:w="0" w:type="dxa"/>
            <w:vAlign w:val="bottom"/>
          </w:tcPr>
          <w:p>
            <w:pPr>
              <w:spacing w:after="0"/>
              <w:rPr>
                <w:sz w:val="1"/>
                <w:szCs w:val="1"/>
                <w:color w:val="auto"/>
              </w:rPr>
            </w:pPr>
          </w:p>
        </w:tc>
      </w:tr>
      <w:tr>
        <w:trPr>
          <w:trHeight w:val="185"/>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Common stock equivalents</w:t>
            </w:r>
          </w:p>
        </w:tc>
        <w:tc>
          <w:tcPr>
            <w:tcW w:w="2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1,173,400</w:t>
            </w:r>
          </w:p>
        </w:tc>
        <w:tc>
          <w:tcPr>
            <w:tcW w:w="2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1,173,400</w:t>
            </w:r>
          </w:p>
        </w:tc>
        <w:tc>
          <w:tcPr>
            <w:tcW w:w="14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567,231</w:t>
            </w:r>
          </w:p>
        </w:tc>
        <w:tc>
          <w:tcPr>
            <w:tcW w:w="0" w:type="dxa"/>
            <w:vAlign w:val="bottom"/>
          </w:tcPr>
          <w:p>
            <w:pPr>
              <w:spacing w:after="0"/>
              <w:rPr>
                <w:sz w:val="1"/>
                <w:szCs w:val="1"/>
                <w:color w:val="auto"/>
              </w:rPr>
            </w:pPr>
          </w:p>
        </w:tc>
      </w:tr>
      <w:tr>
        <w:trPr>
          <w:trHeight w:val="185"/>
        </w:trPr>
        <w:tc>
          <w:tcPr>
            <w:tcW w:w="322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Total</w:t>
            </w: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5"/>
        </w:trPr>
        <w:tc>
          <w:tcPr>
            <w:tcW w:w="3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7,671,064</w:t>
            </w:r>
          </w:p>
        </w:tc>
        <w:tc>
          <w:tcPr>
            <w:tcW w:w="2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8,766,719</w:t>
            </w:r>
          </w:p>
        </w:tc>
        <w:tc>
          <w:tcPr>
            <w:tcW w:w="28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7,671,064</w:t>
            </w:r>
          </w:p>
        </w:tc>
        <w:tc>
          <w:tcPr>
            <w:tcW w:w="14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8,049,478</w:t>
            </w: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3"/>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Net income (loss) per share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w:t>
            </w:r>
          </w:p>
        </w:tc>
        <w:tc>
          <w:tcPr>
            <w:tcW w:w="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3"/>
        </w:trPr>
        <w:tc>
          <w:tcPr>
            <w:tcW w:w="3220" w:type="dxa"/>
            <w:vAlign w:val="bottom"/>
          </w:tcPr>
          <w:p>
            <w:pPr>
              <w:spacing w:after="0"/>
              <w:rPr>
                <w:sz w:val="20"/>
                <w:szCs w:val="20"/>
                <w:color w:val="auto"/>
              </w:rPr>
            </w:pPr>
            <w:r>
              <w:rPr>
                <w:rFonts w:ascii="Courier New" w:cs="Courier New" w:eastAsia="Courier New" w:hAnsi="Courier New"/>
                <w:sz w:val="16"/>
                <w:szCs w:val="16"/>
                <w:color w:val="auto"/>
              </w:rPr>
              <w:t>Fully diluted:</w:t>
            </w:r>
          </w:p>
        </w:tc>
        <w:tc>
          <w:tcPr>
            <w:tcW w:w="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vMerge w:val="restart"/>
          </w:tcPr>
          <w:p>
            <w:pPr>
              <w:jc w:val="right"/>
              <w:ind w:right="160"/>
              <w:spacing w:after="0"/>
              <w:rPr>
                <w:sz w:val="20"/>
                <w:szCs w:val="20"/>
                <w:color w:val="auto"/>
              </w:rPr>
            </w:pPr>
            <w:r>
              <w:rPr>
                <w:rFonts w:ascii="Courier New" w:cs="Courier New" w:eastAsia="Courier New" w:hAnsi="Courier New"/>
                <w:sz w:val="16"/>
                <w:szCs w:val="16"/>
                <w:color w:val="auto"/>
              </w:rPr>
              <w:t>(608,760)</w:t>
            </w:r>
          </w:p>
        </w:tc>
        <w:tc>
          <w:tcPr>
            <w:tcW w:w="1340" w:type="dxa"/>
            <w:vAlign w:val="bottom"/>
            <w:gridSpan w:val="2"/>
            <w:vMerge w:val="restart"/>
          </w:tcPr>
          <w:p>
            <w:pPr>
              <w:jc w:val="right"/>
              <w:ind w:right="60"/>
              <w:spacing w:after="0"/>
              <w:rPr>
                <w:sz w:val="20"/>
                <w:szCs w:val="20"/>
                <w:color w:val="auto"/>
              </w:rPr>
            </w:pPr>
            <w:r>
              <w:rPr>
                <w:rFonts w:ascii="Courier New" w:cs="Courier New" w:eastAsia="Courier New" w:hAnsi="Courier New"/>
                <w:sz w:val="16"/>
                <w:szCs w:val="16"/>
                <w:color w:val="auto"/>
              </w:rPr>
              <w:t>$(1,522,280)</w:t>
            </w:r>
          </w:p>
        </w:tc>
        <w:tc>
          <w:tcPr>
            <w:tcW w:w="1580" w:type="dxa"/>
            <w:vAlign w:val="bottom"/>
            <w:gridSpan w:val="2"/>
            <w:vMerge w:val="restart"/>
          </w:tcPr>
          <w:p>
            <w:pPr>
              <w:jc w:val="right"/>
              <w:ind w:right="200"/>
              <w:spacing w:after="0"/>
              <w:rPr>
                <w:sz w:val="20"/>
                <w:szCs w:val="20"/>
                <w:color w:val="auto"/>
              </w:rPr>
            </w:pPr>
            <w:r>
              <w:rPr>
                <w:rFonts w:ascii="Courier New" w:cs="Courier New" w:eastAsia="Courier New" w:hAnsi="Courier New"/>
                <w:sz w:val="16"/>
                <w:szCs w:val="16"/>
                <w:color w:val="auto"/>
              </w:rPr>
              <w:t>$(1,119,625)</w:t>
            </w:r>
          </w:p>
        </w:tc>
        <w:tc>
          <w:tcPr>
            <w:tcW w:w="116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8"/>
              </w:rPr>
              <w:t>$(2,086,813)</w:t>
            </w:r>
          </w:p>
        </w:tc>
        <w:tc>
          <w:tcPr>
            <w:tcW w:w="0" w:type="dxa"/>
            <w:vAlign w:val="bottom"/>
          </w:tcPr>
          <w:p>
            <w:pPr>
              <w:spacing w:after="0"/>
              <w:rPr>
                <w:sz w:val="1"/>
                <w:szCs w:val="1"/>
                <w:color w:val="auto"/>
              </w:rPr>
            </w:pPr>
          </w:p>
        </w:tc>
      </w:tr>
      <w:tr>
        <w:trPr>
          <w:trHeight w:val="185"/>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Net income (loss)</w:t>
            </w:r>
          </w:p>
        </w:tc>
        <w:tc>
          <w:tcPr>
            <w:tcW w:w="28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3"/>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Common stock outstanding</w:t>
            </w:r>
          </w:p>
        </w:tc>
        <w:tc>
          <w:tcPr>
            <w:tcW w:w="280" w:type="dxa"/>
            <w:vAlign w:val="bottom"/>
          </w:tcPr>
          <w:p>
            <w:pPr>
              <w:spacing w:after="0"/>
              <w:rPr>
                <w:sz w:val="24"/>
                <w:szCs w:val="24"/>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6,497,664</w:t>
            </w:r>
          </w:p>
        </w:tc>
        <w:tc>
          <w:tcPr>
            <w:tcW w:w="240" w:type="dxa"/>
            <w:vAlign w:val="bottom"/>
          </w:tcPr>
          <w:p>
            <w:pPr>
              <w:spacing w:after="0"/>
              <w:rPr>
                <w:sz w:val="24"/>
                <w:szCs w:val="24"/>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8,766,719</w:t>
            </w:r>
          </w:p>
        </w:tc>
        <w:tc>
          <w:tcPr>
            <w:tcW w:w="280" w:type="dxa"/>
            <w:vAlign w:val="bottom"/>
          </w:tcPr>
          <w:p>
            <w:pPr>
              <w:spacing w:after="0"/>
              <w:rPr>
                <w:sz w:val="24"/>
                <w:szCs w:val="24"/>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6,497,664</w:t>
            </w:r>
          </w:p>
        </w:tc>
        <w:tc>
          <w:tcPr>
            <w:tcW w:w="14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7,482,247</w:t>
            </w:r>
          </w:p>
        </w:tc>
        <w:tc>
          <w:tcPr>
            <w:tcW w:w="0" w:type="dxa"/>
            <w:vAlign w:val="bottom"/>
          </w:tcPr>
          <w:p>
            <w:pPr>
              <w:spacing w:after="0"/>
              <w:rPr>
                <w:sz w:val="1"/>
                <w:szCs w:val="1"/>
                <w:color w:val="auto"/>
              </w:rPr>
            </w:pPr>
          </w:p>
        </w:tc>
      </w:tr>
      <w:tr>
        <w:trPr>
          <w:trHeight w:val="185"/>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Common stock equivalents</w:t>
            </w:r>
          </w:p>
        </w:tc>
        <w:tc>
          <w:tcPr>
            <w:tcW w:w="2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1,173,400</w:t>
            </w:r>
          </w:p>
        </w:tc>
        <w:tc>
          <w:tcPr>
            <w:tcW w:w="2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1,173,400</w:t>
            </w:r>
          </w:p>
        </w:tc>
        <w:tc>
          <w:tcPr>
            <w:tcW w:w="14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574,896</w:t>
            </w:r>
          </w:p>
        </w:tc>
        <w:tc>
          <w:tcPr>
            <w:tcW w:w="0" w:type="dxa"/>
            <w:vAlign w:val="bottom"/>
          </w:tcPr>
          <w:p>
            <w:pPr>
              <w:spacing w:after="0"/>
              <w:rPr>
                <w:sz w:val="1"/>
                <w:szCs w:val="1"/>
                <w:color w:val="auto"/>
              </w:rPr>
            </w:pPr>
          </w:p>
        </w:tc>
      </w:tr>
      <w:tr>
        <w:trPr>
          <w:trHeight w:val="185"/>
        </w:trPr>
        <w:tc>
          <w:tcPr>
            <w:tcW w:w="322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Total</w:t>
            </w: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5"/>
        </w:trPr>
        <w:tc>
          <w:tcPr>
            <w:tcW w:w="3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7,671,064</w:t>
            </w:r>
          </w:p>
        </w:tc>
        <w:tc>
          <w:tcPr>
            <w:tcW w:w="240" w:type="dxa"/>
            <w:vAlign w:val="bottom"/>
          </w:tcPr>
          <w:p>
            <w:pPr>
              <w:spacing w:after="0"/>
              <w:rPr>
                <w:sz w:val="16"/>
                <w:szCs w:val="16"/>
                <w:color w:val="auto"/>
              </w:rPr>
            </w:pPr>
          </w:p>
        </w:tc>
        <w:tc>
          <w:tcPr>
            <w:tcW w:w="110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7"/>
              </w:rPr>
              <w:t>8,766,719</w:t>
            </w:r>
          </w:p>
        </w:tc>
        <w:tc>
          <w:tcPr>
            <w:tcW w:w="280" w:type="dxa"/>
            <w:vAlign w:val="bottom"/>
          </w:tcPr>
          <w:p>
            <w:pPr>
              <w:spacing w:after="0"/>
              <w:rPr>
                <w:sz w:val="16"/>
                <w:szCs w:val="16"/>
                <w:color w:val="auto"/>
              </w:rPr>
            </w:pPr>
          </w:p>
        </w:tc>
        <w:tc>
          <w:tcPr>
            <w:tcW w:w="13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7,671,064</w:t>
            </w:r>
          </w:p>
        </w:tc>
        <w:tc>
          <w:tcPr>
            <w:tcW w:w="14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8,057,143</w:t>
            </w: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3"/>
        </w:trPr>
        <w:tc>
          <w:tcPr>
            <w:tcW w:w="3220" w:type="dxa"/>
            <w:vAlign w:val="bottom"/>
          </w:tcPr>
          <w:p>
            <w:pPr>
              <w:ind w:left="480"/>
              <w:spacing w:after="0"/>
              <w:rPr>
                <w:sz w:val="20"/>
                <w:szCs w:val="20"/>
                <w:color w:val="auto"/>
              </w:rPr>
            </w:pPr>
            <w:r>
              <w:rPr>
                <w:rFonts w:ascii="Courier New" w:cs="Courier New" w:eastAsia="Courier New" w:hAnsi="Courier New"/>
                <w:sz w:val="16"/>
                <w:szCs w:val="16"/>
                <w:color w:val="auto"/>
              </w:rPr>
              <w:t>Net income (loss) per share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(.08)</w:t>
            </w:r>
          </w:p>
        </w:tc>
        <w:tc>
          <w:tcPr>
            <w:tcW w:w="2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271"/>
        </w:trPr>
        <w:tc>
          <w:tcPr>
            <w:tcW w:w="322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580" w:type="dxa"/>
            <w:vAlign w:val="bottom"/>
            <w:gridSpan w:val="2"/>
          </w:tcPr>
          <w:p>
            <w:pPr>
              <w:jc w:val="right"/>
              <w:ind w:right="300"/>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96" w:right="1440" w:bottom="1440" w:gutter="0" w:footer="0" w:header="0"/>
        </w:sectPr>
      </w:pPr>
    </w:p>
    <w:bookmarkStart w:id="18" w:name="page19"/>
    <w:bookmarkEnd w:id="18"/>
    <w:p>
      <w:pPr>
        <w:ind w:left="2000"/>
        <w:spacing w:after="0"/>
        <w:rPr>
          <w:sz w:val="20"/>
          <w:szCs w:val="20"/>
          <w:color w:val="auto"/>
        </w:rPr>
      </w:pPr>
      <w:r>
        <w:rPr>
          <w:rFonts w:ascii="Courier New" w:cs="Courier New" w:eastAsia="Courier New" w:hAnsi="Courier New"/>
          <w:sz w:val="16"/>
          <w:szCs w:val="16"/>
          <w:color w:val="auto"/>
        </w:rPr>
        <w:t>5</w:t>
      </w:r>
    </w:p>
    <w:p>
      <w:pPr>
        <w:spacing w:after="0" w:line="188" w:lineRule="exact"/>
        <w:rPr>
          <w:sz w:val="20"/>
          <w:szCs w:val="20"/>
          <w:color w:val="auto"/>
        </w:rPr>
      </w:pPr>
    </w:p>
    <w:p>
      <w:pPr>
        <w:ind w:right="3479"/>
        <w:spacing w:after="0" w:line="282" w:lineRule="auto"/>
        <w:rPr>
          <w:sz w:val="20"/>
          <w:szCs w:val="20"/>
          <w:color w:val="auto"/>
        </w:rPr>
      </w:pPr>
      <w:r>
        <w:rPr>
          <w:rFonts w:ascii="Courier New" w:cs="Courier New" w:eastAsia="Courier New" w:hAnsi="Courier New"/>
          <w:sz w:val="15"/>
          <w:szCs w:val="15"/>
          <w:color w:val="auto"/>
        </w:rPr>
        <w:t>THE SCHEDULE CONTAINS SUMMARY FINANCIAL INFORMATION EXTRACTED FROM THE COMPANY'S FINANCIAL STATEMENT INCLUDED IN THIS QUARTERLY REPORT ON</w:t>
      </w:r>
    </w:p>
    <w:p>
      <w:pPr>
        <w:ind w:right="2899"/>
        <w:spacing w:after="0" w:line="324" w:lineRule="auto"/>
        <w:rPr>
          <w:sz w:val="20"/>
          <w:szCs w:val="20"/>
          <w:color w:val="auto"/>
        </w:rPr>
      </w:pPr>
      <w:r>
        <w:rPr>
          <w:rFonts w:ascii="Courier New" w:cs="Courier New" w:eastAsia="Courier New" w:hAnsi="Courier New"/>
          <w:sz w:val="16"/>
          <w:szCs w:val="16"/>
          <w:color w:val="auto"/>
        </w:rPr>
        <w:t>FORM 10-QSB, AND IS QUALIFIED IN ITS ENTIRETY BY REFERENCE TO SUCH FINANCIAL STATEMENTS.</w:t>
      </w:r>
    </w:p>
    <w:p>
      <w:pPr>
        <w:spacing w:after="0" w:line="200" w:lineRule="exact"/>
        <w:rPr>
          <w:sz w:val="20"/>
          <w:szCs w:val="20"/>
          <w:color w:val="auto"/>
        </w:rPr>
      </w:pPr>
    </w:p>
    <w:p>
      <w:pPr>
        <w:spacing w:after="0" w:line="38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9-MOS</w:t>
      </w:r>
    </w:p>
    <w:p>
      <w:pPr>
        <w:spacing w:after="0" w:line="34"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Oct-31-1997</w:t>
      </w:r>
    </w:p>
    <w:p>
      <w:pPr>
        <w:spacing w:after="0" w:line="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Jul-31-1997</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3,769,544</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3,038,095</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456,022</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8,872,417</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2,128,258</w:t>
      </w:r>
    </w:p>
    <w:p>
      <w:pPr>
        <w:spacing w:after="0" w:line="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823,523</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20,914,562</w:t>
      </w:r>
    </w:p>
    <w:p>
      <w:pPr>
        <w:spacing w:after="0" w:line="4"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7,202,497</w:t>
      </w:r>
    </w:p>
    <w:p>
      <w:pPr>
        <w:spacing w:after="0" w:line="4"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317</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91,800</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11,379,364</w:t>
      </w:r>
    </w:p>
    <w:p>
      <w:pPr>
        <w:spacing w:after="0" w:line="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20,914,562</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12,480,137</w:t>
      </w:r>
    </w:p>
    <w:p>
      <w:pPr>
        <w:spacing w:after="0" w:line="4"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12,480,137</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7,701,026</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7,701,026</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1,384,575</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600,599</w:t>
      </w:r>
    </w:p>
    <w:p>
      <w:pPr>
        <w:spacing w:after="0" w:line="4"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(1,757,499)</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18,104</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6"/>
          <w:szCs w:val="16"/>
          <w:color w:val="auto"/>
        </w:rPr>
        <w:t>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(1,775,603)</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(0.26)</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(0.26)</w:t>
      </w:r>
    </w:p>
    <w:sectPr>
      <w:pgSz w:w="11900" w:h="16838" w:orient="portrait"/>
      <w:cols w:equalWidth="0" w:num="1">
        <w:col w:w="10199"/>
      </w:cols>
      <w:pgMar w:left="260" w:top="6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8"/>
    </w:lvl>
  </w:abstractNum>
  <w:abstractNum w:abstractNumId="6">
    <w:nsid w:val="515F007C"/>
    <w:multiLevelType w:val="hybridMultilevel"/>
    <w:lvl w:ilvl="0">
      <w:lvlJc w:val="left"/>
      <w:lvlText w:val="%1."/>
      <w:numFmt w:val="decimal"/>
      <w:start w:val="9"/>
    </w:lvl>
  </w:abstractNum>
  <w:abstractNum w:abstractNumId="7">
    <w:nsid w:val="5BD062C2"/>
    <w:multiLevelType w:val="hybridMultilevel"/>
    <w:lvl w:ilvl="0">
      <w:lvlJc w:val="left"/>
      <w:lvlText w:val="%1."/>
      <w:numFmt w:val="decimal"/>
      <w:start w:val="10"/>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2019-12-14T05:43:50Z</dcterms:created>
  <dcterms:modified xsi:type="dcterms:W3CDTF">2019-12-14T05:43:50Z</dcterms:modified>
</cp:coreProperties>
</file>