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Emerson Daniel P</w:t>
              </w:r>
            </w:hyperlink>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TAKE TWO INTERACTIVE</w:t>
              </w:r>
            </w:hyperlink>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4"/>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tcPr>
          <w:p>
            <w:pPr>
              <w:spacing w:after="0"/>
              <w:rPr>
                <w:sz w:val="4"/>
                <w:szCs w:val="4"/>
                <w:color w:val="auto"/>
              </w:rPr>
            </w:pPr>
          </w:p>
        </w:tc>
        <w:tc>
          <w:tcPr>
            <w:tcW w:w="74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15"/>
                <w:szCs w:val="15"/>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Legal Officer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8"/>
            <w:vMerge w:val="continue"/>
          </w:tcPr>
          <w:p>
            <w:pPr>
              <w:spacing w:after="0"/>
              <w:rPr>
                <w:sz w:val="5"/>
                <w:szCs w:val="5"/>
                <w:color w:val="auto"/>
              </w:rPr>
            </w:pPr>
          </w:p>
        </w:tc>
        <w:tc>
          <w:tcPr>
            <w:tcW w:w="3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13"/>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777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187.64</w:t>
            </w:r>
          </w:p>
        </w:tc>
        <w:tc>
          <w:tcPr>
            <w:tcW w:w="120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rPr>
              <w:t>149,379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12/03/2024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13"/>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618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188.35</w:t>
            </w:r>
          </w:p>
        </w:tc>
        <w:tc>
          <w:tcPr>
            <w:tcW w:w="1200" w:type="dxa"/>
            <w:vAlign w:val="bottom"/>
            <w:tcBorders>
              <w:bottom w:val="single" w:sz="8" w:color="2C2C2C"/>
            </w:tcBorders>
            <w:gridSpan w:val="2"/>
          </w:tcPr>
          <w:p>
            <w:pPr>
              <w:jc w:val="center"/>
              <w:ind w:right="197"/>
              <w:spacing w:after="0"/>
              <w:rPr>
                <w:sz w:val="20"/>
                <w:szCs w:val="20"/>
                <w:color w:val="auto"/>
              </w:rPr>
            </w:pPr>
            <w:r>
              <w:rPr>
                <w:rFonts w:ascii="Times New Roman" w:cs="Times New Roman" w:eastAsia="Times New Roman" w:hAnsi="Times New Roman"/>
                <w:sz w:val="17"/>
                <w:szCs w:val="17"/>
                <w:color w:val="0000FF"/>
              </w:rPr>
              <w:t>148,761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"sell to cover" election made by the Reporting Person for the sole purpose to satisfy the Reporting Person's tax withholding obligation upon the settlement of previously granted restricted units. This sale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834 shares of Common Stock, (ii) 20,567 unvested time-based restricted stock units and (iii) 127,360 unvested performance-based restricted stock units. Such unvested awards will vest, or fail to vest, in accordance with the terms of the applicable award agreements.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Emerson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3654"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2024-12-04T16:15:11Z</dcterms:created>
  <dcterms:modified xsi:type="dcterms:W3CDTF">2024-12-04T16:15:11Z</dcterms:modified>
</cp:coreProperties>
</file>